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8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June 11, 2026, Pharvaris N.V. (the “Company”) issued a press release announcing its 2026 annual general meeting of shareholders to be held on June 26, 2026 and made available to its shareholders certain other materials in connection with such meeting. A copy of the press release is attached hereto as Exhibit 99.1 and is incorporated by reference herein. The materials made available to the Company’s shareholders are attached as Exhibits 99.2 and 99.3 hereto and are incorporated by reference herein. Exhibit 99.4 contains the Company’s Annual Report for the year ended December 31, 2025, which is furnished herewith.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940" w:type="dxa"/>
            <w:vAlign w:val="bottom"/>
            <w:gridSpan w:val="2"/>
          </w:tcPr>
          <w:p>
            <w:pPr>
              <w:ind w:left="2340"/>
              <w:spacing w:after="0"/>
              <w:rPr>
                <w:sz w:val="20"/>
                <w:szCs w:val="20"/>
                <w:color w:val="auto"/>
              </w:rPr>
            </w:pPr>
            <w:r>
              <w:rPr>
                <w:rFonts w:ascii="Arial" w:cs="Arial" w:eastAsia="Arial" w:hAnsi="Arial"/>
                <w:sz w:val="18"/>
                <w:szCs w:val="18"/>
                <w:b w:val="1"/>
                <w:bCs w:val="1"/>
                <w:color w:val="auto"/>
              </w:rPr>
              <w:t>PHARVARIS N.V.</w:t>
            </w:r>
          </w:p>
        </w:tc>
      </w:tr>
      <w:tr>
        <w:trPr>
          <w:trHeight w:val="414"/>
        </w:trPr>
        <w:tc>
          <w:tcPr>
            <w:tcW w:w="3300" w:type="dxa"/>
            <w:vAlign w:val="bottom"/>
            <w:gridSpan w:val="3"/>
          </w:tcPr>
          <w:p>
            <w:pPr>
              <w:spacing w:after="0"/>
              <w:rPr>
                <w:sz w:val="20"/>
                <w:szCs w:val="20"/>
                <w:color w:val="auto"/>
              </w:rPr>
            </w:pPr>
            <w:r>
              <w:rPr>
                <w:rFonts w:ascii="Arial" w:cs="Arial" w:eastAsia="Arial" w:hAnsi="Arial"/>
                <w:sz w:val="18"/>
                <w:szCs w:val="18"/>
                <w:color w:val="auto"/>
              </w:rPr>
              <w:t>Date: June 11, 2026</w:t>
            </w:r>
          </w:p>
        </w:tc>
        <w:tc>
          <w:tcPr>
            <w:tcW w:w="3260" w:type="dxa"/>
            <w:vAlign w:val="bottom"/>
          </w:tcPr>
          <w:p>
            <w:pPr>
              <w:ind w:left="23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97"/>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60" w:type="dxa"/>
            <w:vAlign w:val="bottom"/>
          </w:tcPr>
          <w:p>
            <w:pPr>
              <w:ind w:left="2340"/>
              <w:spacing w:after="0" w:line="197"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7" w:lineRule="exact"/>
              <w:rPr>
                <w:sz w:val="20"/>
                <w:szCs w:val="20"/>
                <w:color w:val="auto"/>
              </w:rPr>
            </w:pPr>
            <w:r>
              <w:rPr>
                <w:rFonts w:ascii="Arial" w:cs="Arial" w:eastAsia="Arial" w:hAnsi="Arial"/>
                <w:sz w:val="18"/>
                <w:szCs w:val="18"/>
                <w:color w:val="auto"/>
              </w:rPr>
              <w:t>Berndt Modig</w:t>
            </w:r>
          </w:p>
        </w:tc>
      </w:tr>
      <w:tr>
        <w:trPr>
          <w:trHeight w:val="239"/>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60" w:type="dxa"/>
            <w:vAlign w:val="bottom"/>
          </w:tcPr>
          <w:p>
            <w:pPr>
              <w:ind w:left="234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60" w:type="dxa"/>
            <w:vAlign w:val="bottom"/>
          </w:tcPr>
          <w:p>
            <w:pPr>
              <w:ind w:left="1660"/>
              <w:spacing w:after="0"/>
              <w:rPr>
                <w:sz w:val="20"/>
                <w:szCs w:val="20"/>
                <w:color w:val="auto"/>
              </w:rPr>
            </w:pPr>
            <w:r>
              <w:rPr>
                <w:rFonts w:ascii="Arial" w:cs="Arial" w:eastAsia="Arial" w:hAnsi="Arial"/>
                <w:sz w:val="18"/>
                <w:szCs w:val="18"/>
                <w:b w:val="1"/>
                <w:bCs w:val="1"/>
                <w:color w:val="auto"/>
              </w:rPr>
              <w:t>EXHIBIT INDEX</w:t>
            </w:r>
          </w:p>
        </w:tc>
        <w:tc>
          <w:tcPr>
            <w:tcW w:w="4680" w:type="dxa"/>
            <w:vAlign w:val="bottom"/>
          </w:tcPr>
          <w:p>
            <w:pPr>
              <w:spacing w:after="0"/>
              <w:rPr>
                <w:sz w:val="24"/>
                <w:szCs w:val="24"/>
                <w:color w:val="auto"/>
              </w:rPr>
            </w:pPr>
          </w:p>
        </w:tc>
      </w:tr>
      <w:tr>
        <w:trPr>
          <w:trHeight w:val="379"/>
        </w:trPr>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ind w:left="2400"/>
              <w:spacing w:after="0"/>
              <w:rPr>
                <w:sz w:val="20"/>
                <w:szCs w:val="20"/>
                <w:color w:val="auto"/>
              </w:rPr>
            </w:pPr>
            <w:r>
              <w:rPr>
                <w:rFonts w:ascii="Arial" w:cs="Arial" w:eastAsia="Arial" w:hAnsi="Arial"/>
                <w:sz w:val="16"/>
                <w:szCs w:val="16"/>
                <w:b w:val="1"/>
                <w:bCs w:val="1"/>
                <w:color w:val="auto"/>
              </w:rPr>
              <w:t>Description</w:t>
            </w:r>
          </w:p>
        </w:tc>
      </w:tr>
    </w:tbl>
    <w:p>
      <w:pPr>
        <w:spacing w:after="0" w:line="10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June 11, 2026.</w:t>
      </w:r>
    </w:p>
    <w:p>
      <w:pPr>
        <w:spacing w:after="0" w:line="27"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99.2</w:t>
      </w:r>
      <w:r>
        <w:rPr>
          <w:sz w:val="20"/>
          <w:szCs w:val="20"/>
          <w:color w:val="auto"/>
        </w:rPr>
        <w:tab/>
      </w:r>
      <w:r>
        <w:rPr>
          <w:rFonts w:ascii="Arial" w:cs="Arial" w:eastAsia="Arial" w:hAnsi="Arial"/>
          <w:sz w:val="16"/>
          <w:szCs w:val="16"/>
          <w:u w:val="single" w:color="auto"/>
          <w:color w:val="0000FF"/>
        </w:rPr>
        <w:t>Convening Notice, including Agenda and Explanatory Notes.</w:t>
      </w:r>
    </w:p>
    <w:p>
      <w:pPr>
        <w:spacing w:after="0" w:line="7"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99.3</w:t>
      </w:r>
      <w:r>
        <w:rPr>
          <w:sz w:val="20"/>
          <w:szCs w:val="20"/>
          <w:color w:val="auto"/>
        </w:rPr>
        <w:tab/>
      </w:r>
      <w:r>
        <w:rPr>
          <w:rFonts w:ascii="Arial" w:cs="Arial" w:eastAsia="Arial" w:hAnsi="Arial"/>
          <w:sz w:val="16"/>
          <w:szCs w:val="16"/>
          <w:u w:val="single" w:color="auto"/>
          <w:color w:val="0000FF"/>
        </w:rPr>
        <w:t>Voting Proxy</w:t>
      </w:r>
    </w:p>
    <w:p>
      <w:pPr>
        <w:spacing w:after="0" w:line="5"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6"/>
          <w:szCs w:val="16"/>
          <w:u w:val="single" w:color="auto"/>
          <w:color w:val="0000FF"/>
        </w:rPr>
        <w:t>99.4</w:t>
      </w:r>
      <w:r>
        <w:rPr>
          <w:sz w:val="20"/>
          <w:szCs w:val="20"/>
          <w:color w:val="auto"/>
        </w:rPr>
        <w:tab/>
      </w:r>
      <w:r>
        <w:rPr>
          <w:rFonts w:ascii="Arial" w:cs="Arial" w:eastAsia="Arial" w:hAnsi="Arial"/>
          <w:sz w:val="16"/>
          <w:szCs w:val="16"/>
          <w:u w:val="single" w:color="auto"/>
          <w:color w:val="0000FF"/>
        </w:rPr>
        <w:t>Pharvaris N.V. Annual Report for the year ended December 31, 2025 (prepared in accordance with IFRS-EU).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3654425</wp:posOffset>
            </wp:positionH>
            <wp:positionV relativeFrom="page">
              <wp:posOffset>500380</wp:posOffset>
            </wp:positionV>
            <wp:extent cx="306895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68955" cy="454660"/>
                    </a:xfrm>
                    <a:prstGeom prst="rect">
                      <a:avLst/>
                    </a:prstGeom>
                    <a:noFill/>
                  </pic:spPr>
                </pic:pic>
              </a:graphicData>
            </a:graphic>
          </wp:anchor>
        </w:drawing>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Announces Annual General Meeting of Shareholders</w:t>
      </w:r>
    </w:p>
    <w:p>
      <w:pPr>
        <w:spacing w:after="0" w:line="2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Zug, Switzerland, June 11, 2026 </w:t>
      </w:r>
      <w:r>
        <w:rPr>
          <w:rFonts w:ascii="Times New Roman" w:cs="Times New Roman" w:eastAsia="Times New Roman" w:hAnsi="Times New Roman"/>
          <w:sz w:val="20"/>
          <w:szCs w:val="20"/>
          <w:color w:val="auto"/>
        </w:rPr>
        <w:t>– Pharvaris (Nasdaq: PHVS), a late-stage biopharmaceutical company developing novel, oral bradykinin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B2 receptor antagonists to help address unmet needs of those living with bradykinin-mediated diseases such as hereditary angioedema (HAE) and acquired angioedema due to C1 inhibitor deficiency (AAE-C1INH), today announced the annual general meeting of shareholders will take place on Friday, June 26, 2026, at 16:00 CEST (10:00 a.m. EDT).</w:t>
      </w:r>
    </w:p>
    <w:p>
      <w:pPr>
        <w:spacing w:after="0" w:line="19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www.sec.gov. Shareholders who wish to attend the meeting should register as described in the notice and agenda for the annual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 delivering on this aspiration, Pharvaris aims to provide a new standard of care in bradykinin-mediated angioedema. Pharvaris is preparing marketing authorization applications for deucrictibant immediate-release capsule as an on-demand treatment of HAE attacks, and a global pivotal Phase 3 study of deucrictibant extended-release tablet for the prevention of HAE attacks (CHAPTER-3) is ongoing with topline data anticipated in the third quarter of 2026. In addition, CREAATE is an ongoing Phase 3 study of deucrictibant for the prophylactic and on-demand treatment of AAE-C1INH attacks. For more information, visit https://pharvaris.com/.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Vice President, Head of Corporate and Investor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This is the convening notice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26, 2026 at 4:00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AGM is as follows:</w:t>
      </w:r>
    </w:p>
    <w:p>
      <w:pPr>
        <w:spacing w:after="0" w:line="22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22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Dutch statutory board report for the fiscal year ended December 31, 2025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PricewaterhouseCoopers Accountants N.V. as the Company’s external independent auditor for the fiscal year ending December 31, 2026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from liability of the Company's directors with respect to the performance of their duties during the fiscal year ended December 31,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Company's dividend and reservation policy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 of authorization for the Company's board of directors to acquire shares and depository receipts for shares in the Company's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Dr. Margareta Elisabeth Björk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AGM, except such items as included in the foregoing agenda.</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record date for the AGM is May 29, 2026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All shareholders of record on the Record Date, including those who otherwise have voting rights and/or meeting rights with respect to shares in the Company's capital and who are recorded as such in the Company's shareholders' register or in the register maintained by the Company's U.S. transfer agent may attend and, if relevant, vote at the AGM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Record Date.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Those who beneficially own shares in the Company's capital in an account at a bank, a financial institution, an account holder or other financial intermediary (the "</w:t>
      </w:r>
      <w:r>
        <w:rPr>
          <w:rFonts w:ascii="Times New Roman" w:cs="Times New Roman" w:eastAsia="Times New Roman" w:hAnsi="Times New Roman"/>
          <w:sz w:val="20"/>
          <w:szCs w:val="20"/>
          <w:b w:val="1"/>
          <w:bCs w:val="1"/>
          <w:color w:val="auto"/>
        </w:rPr>
        <w:t>Beneficial Owners</w:t>
      </w:r>
      <w:r>
        <w:rPr>
          <w:rFonts w:ascii="Times New Roman" w:cs="Times New Roman" w:eastAsia="Times New Roman" w:hAnsi="Times New Roman"/>
          <w:sz w:val="20"/>
          <w:szCs w:val="20"/>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20"/>
          <w:szCs w:val="20"/>
          <w:color w:val="auto"/>
        </w:rPr>
        <w:t>Persons with Meeting Rights and Beneficial Owners who wish to attend the AGM, in person or represented by proxy, must notify the Company in writing of their identity and intention to attend the AGM (an "</w:t>
      </w:r>
      <w:r>
        <w:rPr>
          <w:rFonts w:ascii="Times New Roman" w:cs="Times New Roman" w:eastAsia="Times New Roman" w:hAnsi="Times New Roman"/>
          <w:sz w:val="20"/>
          <w:szCs w:val="20"/>
          <w:b w:val="1"/>
          <w:bCs w:val="1"/>
          <w:color w:val="auto"/>
        </w:rPr>
        <w:t>Attendance Notice</w:t>
      </w:r>
      <w:r>
        <w:rPr>
          <w:rFonts w:ascii="Times New Roman" w:cs="Times New Roman" w:eastAsia="Times New Roman" w:hAnsi="Times New Roman"/>
          <w:sz w:val="20"/>
          <w:szCs w:val="20"/>
          <w:color w:val="auto"/>
        </w:rPr>
        <w:t>") no later than 5:59 a.m. CEST on June 24, 2026 (such time, the "</w:t>
      </w:r>
      <w:r>
        <w:rPr>
          <w:rFonts w:ascii="Times New Roman" w:cs="Times New Roman" w:eastAsia="Times New Roman" w:hAnsi="Times New Roman"/>
          <w:sz w:val="20"/>
          <w:szCs w:val="20"/>
          <w:b w:val="1"/>
          <w:bCs w:val="1"/>
          <w:color w:val="auto"/>
        </w:rPr>
        <w:t>Cut-off Time</w:t>
      </w:r>
      <w:r>
        <w:rPr>
          <w:rFonts w:ascii="Times New Roman" w:cs="Times New Roman" w:eastAsia="Times New Roman" w:hAnsi="Times New Roman"/>
          <w:sz w:val="20"/>
          <w:szCs w:val="20"/>
          <w:color w:val="auto"/>
        </w:rPr>
        <w:t>"). The Attendance Notice must contain the name and number of shares the person will represent in the AGM. Beneficial Owners must also enclose with their Attendance Notice (i) proof of their beneficial ownership of the relevant underlying shares in the Company's capital, such as a recent account statement, and (ii) their signed proxy from their financial intermediary or agent with whom the shares are on deposit.</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Persons with Meeting Rights and Beneficial Owners who have duly provided an Attendance Notice to the Company may have themselves represented at the AGM using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Attendance Notice, proof of beneficial ownership or signed proxy to be sent to the Company as part of the procedures described above must be provided via regular mail or e-mail to: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 Chief Legal Officer</w:t>
      </w:r>
    </w:p>
    <w:p>
      <w:pPr>
        <w:jc w:val="center"/>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Broadridge Voting Instructions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engaged Broadridge to assist in soliciting voting proxies in connection with the AGM. Broadridge will mail this notice and a voting proxy card to all Persons with Meeting Rights. Persons with Meetings Rights who choose to give voting instructions through Broadridge may do so on the internet, by telephone or by returning the proxy card as explained in more detail below.</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Beneficial Owners will not be mailed by Broadridge, but should receive a notice containing voting instructions from their bank, a financial institution, an account holder or other financial intermediary. Follow the instructions from your bank, a financial institution, an account holder or other financial intermediary, or contact such organization to request a proxy card.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Online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 Rights may provide voting instructions through the internet before the AGM. Go to www.proxyvote.com to complete an electronic proxy card. You will be asked to provide the 16-digit control number from the proxy card. Your voting instruction must be received by the Cut-off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Telephone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over the telephone from a location in the United States by dialing toll-free 1-800-690-6903, using a touch-tone phone and follow the recorded instructions.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Mail</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using a proxy card by simply completing, signing and dating the proxy card mailed to you and returning it promptly in the envelope provided. If you return your signed proxy card to us before the AGM, we will vote your shares as you direct. Your vote must be received by the Cut-off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2.</w:t>
        <w:tab/>
        <w:t>Discussion of Dutch statutory board report for the fiscal year ended December 31, 2025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Company's statutory board report over the fiscal year ended December 31, 2025 has been made available on the Company's website (http://www.pharvaris.com) and at the Company's office address.</w:t>
      </w:r>
    </w:p>
    <w:p>
      <w:pPr>
        <w:spacing w:after="0" w:line="16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Dutch statutory annual accounts for the fiscal year ended December 31, 2025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Company's annual accounts over the fiscal year ended December 31, 2025 have been made available on the Company's website (http://www.pharvaris.com) and at the Company's office address. It is proposed that these annual accounts be adopted.</w:t>
      </w:r>
    </w:p>
    <w:p>
      <w:pPr>
        <w:spacing w:after="0" w:line="169" w:lineRule="exact"/>
        <w:rPr>
          <w:sz w:val="20"/>
          <w:szCs w:val="20"/>
          <w:color w:val="auto"/>
        </w:rPr>
      </w:pPr>
    </w:p>
    <w:p>
      <w:pPr>
        <w:ind w:left="740" w:right="20" w:hanging="732"/>
        <w:spacing w:after="0" w:line="273" w:lineRule="auto"/>
        <w:tabs>
          <w:tab w:leader="none" w:pos="39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PricewaterhouseCoopers Accountants N.V. as the Company's external independent auditor for the fiscal year ending December 31, 2026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Under Dutch law, the General Meeting is, in principle, the corporate body authorized to annually appoint the external independent auditor for the audit of the Company's annual accounts, annual report and, to the extent required by law, the Company's sustainability reporting. It is now proposed to appoint PricewaterhouseCoopers Accountants N.V. as the external independent auditor for the fiscal year ending December 31, 2026.</w:t>
      </w:r>
    </w:p>
    <w:p>
      <w:pPr>
        <w:spacing w:after="0" w:line="189" w:lineRule="exact"/>
        <w:rPr>
          <w:sz w:val="20"/>
          <w:szCs w:val="20"/>
          <w:color w:val="auto"/>
        </w:rPr>
      </w:pPr>
    </w:p>
    <w:p>
      <w:pPr>
        <w:ind w:left="740" w:right="20" w:hanging="732"/>
        <w:spacing w:after="0" w:line="273" w:lineRule="auto"/>
        <w:tabs>
          <w:tab w:leader="none" w:pos="39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Discharge from liability of the Company's directors with respect to the performance of their duties during the fiscal year ended December 31, 2025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It is proposed that the Company's directors be released from liability for the exercise of their duties during the fiscal year ended December 31, 2025. The scope of this release from liability extends to the exercise of their respective duties insofar as these are reflected in the Company's statutory board report or annual accounts over the fiscal year ended December 31, 2025 or in other public disclosures.</w:t>
      </w:r>
    </w:p>
    <w:p>
      <w:pPr>
        <w:spacing w:after="0" w:line="189"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the Company's dividend and reservation policy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Times New Roman" w:cs="Times New Roman" w:eastAsia="Times New Roman" w:hAnsi="Times New Roman"/>
          <w:sz w:val="20"/>
          <w:szCs w:val="20"/>
          <w:i w:val="1"/>
          <w:iCs w:val="1"/>
          <w:color w:val="auto"/>
        </w:rPr>
        <w:t>eigen vermogen</w:t>
      </w:r>
      <w:r>
        <w:rPr>
          <w:rFonts w:ascii="Times New Roman" w:cs="Times New Roman" w:eastAsia="Times New Roman" w:hAnsi="Times New Roman"/>
          <w:sz w:val="20"/>
          <w:szCs w:val="20"/>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will depend upon a number of factors, including the Company's results of operations, financial condition, future prospects, contractual restrictions, restrictions imposed by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7" w:name="page8"/>
    <w:bookmarkEnd w:id="7"/>
    <w:p>
      <w:pPr>
        <w:jc w:val="both"/>
        <w:ind w:left="732"/>
        <w:spacing w:after="0" w:line="254" w:lineRule="auto"/>
        <w:rPr>
          <w:sz w:val="20"/>
          <w:szCs w:val="20"/>
          <w:color w:val="auto"/>
        </w:rPr>
      </w:pPr>
      <w:r>
        <w:rPr>
          <w:rFonts w:ascii="Times New Roman" w:cs="Times New Roman" w:eastAsia="Times New Roman" w:hAnsi="Times New Roman"/>
          <w:sz w:val="20"/>
          <w:szCs w:val="20"/>
          <w:color w:val="auto"/>
        </w:rPr>
        <w:t>other factors the Board deem relevant.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84" w:lineRule="exact"/>
        <w:rPr>
          <w:sz w:val="20"/>
          <w:szCs w:val="20"/>
          <w:color w:val="auto"/>
        </w:rPr>
      </w:pPr>
    </w:p>
    <w:p>
      <w:pPr>
        <w:ind w:left="732" w:right="100" w:hanging="732"/>
        <w:spacing w:after="0" w:line="273" w:lineRule="auto"/>
        <w:tabs>
          <w:tab w:leader="none" w:pos="39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of authorization for the Board to acquire ordinary shares and depository receipts for ordinary shares in the Company's capital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32"/>
        <w:spacing w:after="0" w:line="244" w:lineRule="auto"/>
        <w:rPr>
          <w:sz w:val="20"/>
          <w:szCs w:val="20"/>
          <w:color w:val="auto"/>
        </w:rPr>
      </w:pPr>
      <w:r>
        <w:rPr>
          <w:rFonts w:ascii="Times New Roman" w:cs="Times New Roman" w:eastAsia="Times New Roman" w:hAnsi="Times New Roman"/>
          <w:sz w:val="20"/>
          <w:szCs w:val="20"/>
          <w:color w:val="auto"/>
        </w:rPr>
        <w:t>The General Meeting has authorized the Board, for a period of 18 months following June 27, 2025, to resolve for the Company to acquire fully paid-up ordinary shares in the Company's capital (and depository receipts for such ordinary shares), by any means, including through derivative products, purchases on a stock exchange, private purchases, block trades, or otherwise, for a price which is higher than nil and does not exceed 110% of the average market price of the Company's ordinary shares on the Nasdaq Stock Market (such average market price being the average of the closing prices on each of the five consecutive trading days preceding the date the acquisition is agreed upon by the Company), up to 10% of the Company's issued share capital (determined as at the close of business on June 27, 2025).</w:t>
      </w:r>
    </w:p>
    <w:p>
      <w:pPr>
        <w:spacing w:after="0" w:line="199" w:lineRule="exact"/>
        <w:rPr>
          <w:sz w:val="20"/>
          <w:szCs w:val="20"/>
          <w:color w:val="auto"/>
        </w:rPr>
      </w:pPr>
    </w:p>
    <w:p>
      <w:pPr>
        <w:jc w:val="both"/>
        <w:ind w:left="732"/>
        <w:spacing w:after="0" w:line="249" w:lineRule="auto"/>
        <w:rPr>
          <w:sz w:val="20"/>
          <w:szCs w:val="20"/>
          <w:color w:val="auto"/>
        </w:rPr>
      </w:pPr>
      <w:r>
        <w:rPr>
          <w:rFonts w:ascii="Times New Roman" w:cs="Times New Roman" w:eastAsia="Times New Roman" w:hAnsi="Times New Roman"/>
          <w:sz w:val="20"/>
          <w:szCs w:val="20"/>
          <w:color w:val="auto"/>
        </w:rPr>
        <w:t>It is proposed that this authorization be renewed for a period of, and effectively extended to expire, 18 months following the date of this AGM, provided that the authorization shall be limited to 10% of the Company's issued share capital determined as at the close of business on the date of the AGM. If the resolution proposed under this agenda item 7. is passed, the proposed authorization shall replace the currently existing authorization.</w:t>
      </w:r>
    </w:p>
    <w:p>
      <w:pPr>
        <w:spacing w:after="0" w:line="189" w:lineRule="exact"/>
        <w:rPr>
          <w:sz w:val="20"/>
          <w:szCs w:val="20"/>
          <w:color w:val="auto"/>
        </w:rPr>
      </w:pPr>
    </w:p>
    <w:p>
      <w:pPr>
        <w:ind w:left="392" w:hanging="392"/>
        <w:spacing w:after="0"/>
        <w:tabs>
          <w:tab w:leader="none" w:pos="39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Dr. Margareta Elisabeth Björk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732" w:right="20"/>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Dr. Elisabeth Björk as non-executive director of the Company for a period of four years, ending at the end of the annual General Meeting to be held in the year 2030.</w:t>
      </w:r>
    </w:p>
    <w:p>
      <w:pPr>
        <w:spacing w:after="0" w:line="173" w:lineRule="exact"/>
        <w:rPr>
          <w:sz w:val="20"/>
          <w:szCs w:val="20"/>
          <w:color w:val="auto"/>
        </w:rPr>
      </w:pPr>
    </w:p>
    <w:p>
      <w:pPr>
        <w:jc w:val="both"/>
        <w:ind w:left="732"/>
        <w:spacing w:after="0" w:line="249" w:lineRule="auto"/>
        <w:rPr>
          <w:sz w:val="20"/>
          <w:szCs w:val="20"/>
          <w:color w:val="auto"/>
        </w:rPr>
      </w:pPr>
      <w:r>
        <w:rPr>
          <w:rFonts w:ascii="Times New Roman" w:cs="Times New Roman" w:eastAsia="Times New Roman" w:hAnsi="Times New Roman"/>
          <w:sz w:val="20"/>
          <w:szCs w:val="20"/>
          <w:color w:val="auto"/>
        </w:rPr>
        <w:t>Dr. Björk is being nominated for re-appointment in view of her knowledge of the Company and the dedication with which she has performed her duties as non-executive director of the Company during her previous term of office, her board and executive experience in international business, her knowledge and experience in finance, accounting and remuneration, her understanding of corporate governance and compliance and her experience in the life sciences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1264285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color w:val="auto"/>
        </w:rPr>
        <w:t>Exhibit 99.3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PROXY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UNDERSIGNED</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1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acting on behalf of </w:t>
      </w:r>
      <w:r>
        <w:rPr>
          <w:rFonts w:ascii="Times New Roman" w:cs="Times New Roman" w:eastAsia="Times New Roman" w:hAnsi="Times New Roman"/>
          <w:sz w:val="20"/>
          <w:szCs w:val="20"/>
          <w:i w:val="1"/>
          <w:iCs w:val="1"/>
          <w:color w:val="auto"/>
        </w:rPr>
        <w:t>(only to be completed if relevant)</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Principal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DECLARES AS FOLLOWS</w:t>
      </w:r>
    </w:p>
    <w:p>
      <w:pPr>
        <w:spacing w:after="0" w:line="229" w:lineRule="exact"/>
        <w:rPr>
          <w:sz w:val="20"/>
          <w:szCs w:val="20"/>
          <w:color w:val="auto"/>
        </w:rPr>
      </w:pPr>
    </w:p>
    <w:p>
      <w:pPr>
        <w:jc w:val="both"/>
        <w:ind w:left="760" w:hanging="752"/>
        <w:spacing w:after="0" w:line="250" w:lineRule="auto"/>
        <w:tabs>
          <w:tab w:leader="none" w:pos="7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hereby registers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26, 2026 at 4:00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and, for purposes of being represented at the AGM, grants a power of attorney to each civil law notary and candidate civil law notary working with NautaDutilh N.V. (the "</w:t>
      </w:r>
      <w:r>
        <w:rPr>
          <w:rFonts w:ascii="Times New Roman" w:cs="Times New Roman" w:eastAsia="Times New Roman" w:hAnsi="Times New Roman"/>
          <w:sz w:val="20"/>
          <w:szCs w:val="20"/>
          <w:b w:val="1"/>
          <w:bCs w:val="1"/>
          <w:color w:val="auto"/>
        </w:rPr>
        <w:t>Proxyholder</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scope of this power of attorney extends to the performance of the following acts on behalf of the Principal at the AGM:</w:t>
      </w:r>
    </w:p>
    <w:p>
      <w:pPr>
        <w:spacing w:after="0" w:line="21" w:lineRule="exact"/>
        <w:rPr>
          <w:rFonts w:ascii="Times New Roman" w:cs="Times New Roman" w:eastAsia="Times New Roman" w:hAnsi="Times New Roman"/>
          <w:sz w:val="20"/>
          <w:szCs w:val="20"/>
          <w:b w:val="1"/>
          <w:bCs w:val="1"/>
          <w:color w:val="auto"/>
        </w:rPr>
      </w:pPr>
    </w:p>
    <w:p>
      <w:pPr>
        <w:ind w:left="1500" w:hanging="758"/>
        <w:spacing w:after="0"/>
        <w:tabs>
          <w:tab w:leader="none" w:pos="1500" w:val="left"/>
        </w:tabs>
        <w:numPr>
          <w:ilvl w:val="1"/>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the voting rights of the Principal in accordance with paragraph 3 below; and</w:t>
      </w:r>
    </w:p>
    <w:p>
      <w:pPr>
        <w:ind w:left="1500" w:hanging="758"/>
        <w:spacing w:after="0"/>
        <w:tabs>
          <w:tab w:leader="none" w:pos="1500" w:val="left"/>
        </w:tabs>
        <w:numPr>
          <w:ilvl w:val="1"/>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any other right of the Principal which the Principal would be allowed to exercise at the AGM.</w:t>
      </w:r>
    </w:p>
    <w:p>
      <w:pPr>
        <w:spacing w:after="0" w:line="207"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shall be used by the Proxyholder to exercise the Principal's voting rights in the manner directed as set out below.</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Note: If no choice is specified, if multiple choices are specified, or if the voting instruction is otherwise unclear with respect to one or more agenda items, the relevant Proxyholder shall vote "FOR" such agenda item(s).</w:t>
      </w:r>
    </w:p>
    <w:p>
      <w:pPr>
        <w:spacing w:after="0" w:line="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6340" w:type="dxa"/>
            <w:vAlign w:val="bottom"/>
            <w:tcBorders>
              <w:top w:val="single" w:sz="8" w:color="auto"/>
              <w:left w:val="single" w:sz="8" w:color="auto"/>
            </w:tcBorders>
            <w:shd w:val="clear" w:color="auto" w:fill="DBE5F1"/>
          </w:tcPr>
          <w:p>
            <w:pPr>
              <w:ind w:left="120"/>
              <w:spacing w:after="0"/>
              <w:rPr>
                <w:sz w:val="20"/>
                <w:szCs w:val="20"/>
                <w:color w:val="auto"/>
              </w:rPr>
            </w:pPr>
            <w:r>
              <w:rPr>
                <w:rFonts w:ascii="Times New Roman" w:cs="Times New Roman" w:eastAsia="Times New Roman" w:hAnsi="Times New Roman"/>
                <w:sz w:val="20"/>
                <w:szCs w:val="20"/>
                <w:i w:val="1"/>
                <w:iCs w:val="1"/>
                <w:color w:val="auto"/>
              </w:rPr>
              <w:t>Agenda item</w:t>
            </w:r>
          </w:p>
        </w:tc>
        <w:tc>
          <w:tcPr>
            <w:tcW w:w="460" w:type="dxa"/>
            <w:vAlign w:val="bottom"/>
            <w:tcBorders>
              <w:top w:val="single" w:sz="8" w:color="auto"/>
              <w:right w:val="single" w:sz="8" w:color="auto"/>
            </w:tcBorders>
            <w:shd w:val="clear" w:color="auto" w:fill="DBE5F1"/>
          </w:tcPr>
          <w:p>
            <w:pPr>
              <w:spacing w:after="0"/>
              <w:rPr>
                <w:sz w:val="22"/>
                <w:szCs w:val="22"/>
                <w:color w:val="auto"/>
              </w:rPr>
            </w:pPr>
          </w:p>
        </w:tc>
        <w:tc>
          <w:tcPr>
            <w:tcW w:w="960" w:type="dxa"/>
            <w:vAlign w:val="bottom"/>
            <w:tcBorders>
              <w:top w:val="single" w:sz="8" w:color="auto"/>
              <w:right w:val="single" w:sz="8" w:color="auto"/>
            </w:tcBorders>
            <w:shd w:val="clear" w:color="auto" w:fill="DBE5F1"/>
          </w:tcPr>
          <w:p>
            <w:pPr>
              <w:ind w:left="260"/>
              <w:spacing w:after="0"/>
              <w:rPr>
                <w:sz w:val="20"/>
                <w:szCs w:val="20"/>
                <w:color w:val="auto"/>
              </w:rPr>
            </w:pPr>
            <w:r>
              <w:rPr>
                <w:rFonts w:ascii="Times New Roman" w:cs="Times New Roman" w:eastAsia="Times New Roman" w:hAnsi="Times New Roman"/>
                <w:sz w:val="20"/>
                <w:szCs w:val="20"/>
                <w:i w:val="1"/>
                <w:iCs w:val="1"/>
                <w:color w:val="auto"/>
              </w:rPr>
              <w:t>FOR</w:t>
            </w:r>
          </w:p>
        </w:tc>
        <w:tc>
          <w:tcPr>
            <w:tcW w:w="1380" w:type="dxa"/>
            <w:vAlign w:val="bottom"/>
            <w:tcBorders>
              <w:top w:val="single" w:sz="8" w:color="auto"/>
              <w:right w:val="single" w:sz="8" w:color="auto"/>
            </w:tcBorders>
            <w:shd w:val="clear" w:color="auto" w:fill="DBE5F1"/>
          </w:tcPr>
          <w:p>
            <w:pPr>
              <w:ind w:left="280"/>
              <w:spacing w:after="0"/>
              <w:rPr>
                <w:sz w:val="20"/>
                <w:szCs w:val="20"/>
                <w:color w:val="auto"/>
              </w:rPr>
            </w:pPr>
            <w:r>
              <w:rPr>
                <w:rFonts w:ascii="Times New Roman" w:cs="Times New Roman" w:eastAsia="Times New Roman" w:hAnsi="Times New Roman"/>
                <w:sz w:val="20"/>
                <w:szCs w:val="20"/>
                <w:i w:val="1"/>
                <w:iCs w:val="1"/>
                <w:color w:val="auto"/>
              </w:rPr>
              <w:t>AGAINST</w:t>
            </w:r>
          </w:p>
        </w:tc>
        <w:tc>
          <w:tcPr>
            <w:tcW w:w="1300" w:type="dxa"/>
            <w:vAlign w:val="bottom"/>
            <w:tcBorders>
              <w:top w:val="single" w:sz="8" w:color="auto"/>
              <w:right w:val="single" w:sz="8" w:color="auto"/>
            </w:tcBorders>
            <w:shd w:val="clear" w:color="auto" w:fill="DBE5F1"/>
          </w:tcPr>
          <w:p>
            <w:pPr>
              <w:ind w:left="260"/>
              <w:spacing w:after="0"/>
              <w:rPr>
                <w:sz w:val="20"/>
                <w:szCs w:val="20"/>
                <w:color w:val="auto"/>
              </w:rPr>
            </w:pPr>
            <w:r>
              <w:rPr>
                <w:rFonts w:ascii="Times New Roman" w:cs="Times New Roman" w:eastAsia="Times New Roman" w:hAnsi="Times New Roman"/>
                <w:sz w:val="20"/>
                <w:szCs w:val="20"/>
                <w:i w:val="1"/>
                <w:iCs w:val="1"/>
                <w:color w:val="auto"/>
              </w:rPr>
              <w:t>ABSTAIN</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6800" w:type="dxa"/>
            <w:vAlign w:val="bottom"/>
            <w:tcBorders>
              <w:left w:val="single" w:sz="8" w:color="auto"/>
              <w:bottom w:val="single" w:sz="8" w:color="auto"/>
              <w:right w:val="single" w:sz="8" w:color="auto"/>
            </w:tcBorders>
            <w:gridSpan w:val="2"/>
            <w:shd w:val="clear" w:color="auto" w:fill="DBE5F1"/>
          </w:tcPr>
          <w:p>
            <w:pPr>
              <w:spacing w:after="0"/>
              <w:rPr>
                <w:sz w:val="7"/>
                <w:szCs w:val="7"/>
                <w:color w:val="auto"/>
              </w:rPr>
            </w:pPr>
          </w:p>
        </w:tc>
        <w:tc>
          <w:tcPr>
            <w:tcW w:w="960" w:type="dxa"/>
            <w:vAlign w:val="bottom"/>
            <w:tcBorders>
              <w:bottom w:val="single" w:sz="8" w:color="auto"/>
              <w:right w:val="single" w:sz="8" w:color="auto"/>
            </w:tcBorders>
            <w:shd w:val="clear" w:color="auto" w:fill="DBE5F1"/>
          </w:tcPr>
          <w:p>
            <w:pPr>
              <w:spacing w:after="0"/>
              <w:rPr>
                <w:sz w:val="7"/>
                <w:szCs w:val="7"/>
                <w:color w:val="auto"/>
              </w:rPr>
            </w:pPr>
          </w:p>
        </w:tc>
        <w:tc>
          <w:tcPr>
            <w:tcW w:w="1380" w:type="dxa"/>
            <w:vAlign w:val="bottom"/>
            <w:tcBorders>
              <w:bottom w:val="single" w:sz="8" w:color="auto"/>
              <w:right w:val="single" w:sz="8" w:color="auto"/>
            </w:tcBorders>
            <w:shd w:val="clear" w:color="auto" w:fill="DBE5F1"/>
          </w:tcPr>
          <w:p>
            <w:pPr>
              <w:spacing w:after="0"/>
              <w:rPr>
                <w:sz w:val="7"/>
                <w:szCs w:val="7"/>
                <w:color w:val="auto"/>
              </w:rPr>
            </w:pPr>
          </w:p>
        </w:tc>
        <w:tc>
          <w:tcPr>
            <w:tcW w:w="1300" w:type="dxa"/>
            <w:vAlign w:val="bottom"/>
            <w:tcBorders>
              <w:bottom w:val="single" w:sz="8" w:color="auto"/>
              <w:right w:val="single" w:sz="8" w:color="auto"/>
            </w:tcBorders>
            <w:shd w:val="clear" w:color="auto" w:fill="DBE5F1"/>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80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w:t>
            </w: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31, 2025</w:t>
            </w:r>
          </w:p>
        </w:tc>
        <w:tc>
          <w:tcPr>
            <w:tcW w:w="4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34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auto"/>
              <w:right w:val="single" w:sz="8" w:color="auto"/>
            </w:tcBorders>
            <w:gridSpan w:val="2"/>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0" w:type="dxa"/>
            <w:vAlign w:val="bottom"/>
            <w:tcBorders>
              <w:right w:val="single" w:sz="8" w:color="auto"/>
            </w:tcBorders>
            <w:gridSpan w:val="2"/>
          </w:tcPr>
          <w:p>
            <w:pPr>
              <w:ind w:left="120"/>
              <w:spacing w:after="0" w:line="200" w:lineRule="exact"/>
              <w:rPr>
                <w:sz w:val="20"/>
                <w:szCs w:val="20"/>
                <w:color w:val="auto"/>
              </w:rPr>
            </w:pPr>
            <w:r>
              <w:rPr>
                <w:rFonts w:ascii="Times New Roman" w:cs="Times New Roman" w:eastAsia="Times New Roman" w:hAnsi="Times New Roman"/>
                <w:sz w:val="20"/>
                <w:szCs w:val="20"/>
                <w:color w:val="auto"/>
              </w:rPr>
              <w:t>Appointment of PricewaterhouseCoopers Accountants N.V. as the Company’s</w:t>
            </w: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external independent auditor for the fiscal year ending December 31, 2026</w:t>
            </w:r>
          </w:p>
        </w:tc>
        <w:tc>
          <w:tcPr>
            <w:tcW w:w="4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34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34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Discharge  from  liability  for  the  Company's  directors  with  respect  to</w:t>
            </w:r>
          </w:p>
        </w:tc>
        <w:tc>
          <w:tcPr>
            <w:tcW w:w="46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the</w:t>
            </w: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performance of their duties during the fiscal year ended December 31, 2025</w:t>
            </w:r>
          </w:p>
        </w:tc>
        <w:tc>
          <w:tcPr>
            <w:tcW w:w="4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34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2"/>
        </w:trPr>
        <w:tc>
          <w:tcPr>
            <w:tcW w:w="6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23"/>
        </w:trPr>
        <w:tc>
          <w:tcPr>
            <w:tcW w:w="6760" w:type="dxa"/>
            <w:vAlign w:val="bottom"/>
            <w:tcBorders>
              <w:top w:val="single" w:sz="8" w:color="auto"/>
              <w:left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0"/>
                <w:szCs w:val="20"/>
                <w:color w:val="auto"/>
              </w:rPr>
              <w:t>Extension of authorization for the Board to acquire shares and depository receipts</w:t>
            </w:r>
          </w:p>
        </w:tc>
        <w:tc>
          <w:tcPr>
            <w:tcW w:w="100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5"/>
        </w:trPr>
        <w:tc>
          <w:tcPr>
            <w:tcW w:w="6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for shares in the Company's capital</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760" w:type="dxa"/>
            <w:vAlign w:val="bottom"/>
            <w:tcBorders>
              <w:left w:val="single" w:sz="8" w:color="auto"/>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760" w:type="dxa"/>
            <w:vAlign w:val="bottom"/>
            <w:tcBorders>
              <w:left w:val="single" w:sz="8" w:color="auto"/>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Re-appointment of Dr. Björk as non-executive director of the Company</w:t>
            </w:r>
          </w:p>
        </w:tc>
        <w:tc>
          <w:tcPr>
            <w:tcW w:w="10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0"/>
        </w:trPr>
        <w:tc>
          <w:tcPr>
            <w:tcW w:w="6760" w:type="dxa"/>
            <w:vAlign w:val="bottom"/>
            <w:tcBorders>
              <w:left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676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is granted with full power of substitution.</w:t>
      </w:r>
    </w:p>
    <w:p>
      <w:pPr>
        <w:spacing w:after="0" w:line="229" w:lineRule="exact"/>
        <w:rPr>
          <w:rFonts w:ascii="Times New Roman" w:cs="Times New Roman" w:eastAsia="Times New Roman" w:hAnsi="Times New Roman"/>
          <w:sz w:val="20"/>
          <w:szCs w:val="20"/>
          <w:b w:val="1"/>
          <w:bCs w:val="1"/>
          <w:color w:val="auto"/>
        </w:rPr>
      </w:pPr>
    </w:p>
    <w:p>
      <w:pPr>
        <w:jc w:val="both"/>
        <w:ind w:left="760" w:hanging="752"/>
        <w:spacing w:after="0" w:line="254" w:lineRule="auto"/>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relationship between the Principal and each Proxyholder under this power of attorney is governed exclusively by the laws of the Netherlands. Any dispute arising out of or in connection with this power of attorney shall be submitted exclusively to the District Court of Amsterdam, the Netherlands.</w:t>
      </w:r>
    </w:p>
    <w:p>
      <w:pPr>
        <w:spacing w:after="0" w:line="187" w:lineRule="exact"/>
        <w:rPr>
          <w:rFonts w:ascii="Times New Roman" w:cs="Times New Roman" w:eastAsia="Times New Roman" w:hAnsi="Times New Roman"/>
          <w:sz w:val="20"/>
          <w:szCs w:val="20"/>
          <w:b w:val="1"/>
          <w:bCs w:val="1"/>
          <w:color w:val="auto"/>
        </w:rPr>
      </w:pPr>
    </w:p>
    <w:p>
      <w:pPr>
        <w:jc w:val="both"/>
        <w:ind w:left="760" w:hanging="752"/>
        <w:spacing w:after="0" w:line="246" w:lineRule="auto"/>
        <w:tabs>
          <w:tab w:leader="none" w:pos="7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accepts and agrees that the legal relations with NautaDutilh N.V. arising from this power of attorney are subject to the general terms and conditions of NautaDutilh N.V., on the understanding that references to the Client (as defined therein) are deemed to refer to the Shareholder for such purpose. These general terms and conditions contain, among other provisions, a provision regarding limitation of liability and have been filed with the District Court of Rotterdam. They can be consulted at www.nautadutilh.com and will be provided free of charge upon request.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160655</wp:posOffset>
            </wp:positionV>
            <wp:extent cx="3638550" cy="749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8550" cy="74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return this signed proxy via regular mail or e-mail 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ind w:right="-1100"/>
        <w:spacing w:after="0"/>
        <w:rPr>
          <w:sz w:val="20"/>
          <w:szCs w:val="20"/>
          <w:color w:val="auto"/>
        </w:rPr>
      </w:pPr>
      <w:r>
        <w:rPr>
          <w:rFonts w:ascii="Times New Roman" w:cs="Times New Roman" w:eastAsia="Times New Roman" w:hAnsi="Times New Roman"/>
          <w:sz w:val="20"/>
          <w:szCs w:val="20"/>
          <w:i w:val="1"/>
          <w:iCs w:val="1"/>
          <w:color w:val="auto"/>
        </w:rPr>
        <w:t>the Netherlands</w:t>
      </w:r>
    </w:p>
    <w:p>
      <w:pPr>
        <w:ind w:left="4260"/>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Principal is a beneficial owner of shares in the Company's capital, please enclose:</w:t>
      </w:r>
    </w:p>
    <w:p>
      <w:pPr>
        <w:spacing w:after="0" w:line="2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proof of beneficial ownership of the underlying shares, such as a recent account statement; and</w:t>
      </w:r>
    </w:p>
    <w:p>
      <w:pPr>
        <w:spacing w:after="0" w:line="11" w:lineRule="exact"/>
        <w:rPr>
          <w:rFonts w:ascii="Times New Roman" w:cs="Times New Roman" w:eastAsia="Times New Roman" w:hAnsi="Times New Roman"/>
          <w:sz w:val="19"/>
          <w:szCs w:val="19"/>
          <w:i w:val="1"/>
          <w:iCs w:val="1"/>
          <w:color w:val="auto"/>
        </w:rPr>
      </w:pPr>
    </w:p>
    <w:p>
      <w:pPr>
        <w:ind w:left="400" w:hanging="392"/>
        <w:spacing w:after="0"/>
        <w:tabs>
          <w:tab w:leader="none" w:pos="400" w:val="left"/>
        </w:tabs>
        <w:numPr>
          <w:ilvl w:val="0"/>
          <w:numId w:val="1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 signed proxy from its financial intermediary or its agent with whom the shares are on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b w:val="1"/>
          <w:bCs w:val="1"/>
          <w:u w:val="single" w:color="auto"/>
          <w:color w:val="0000FF"/>
        </w:rPr>
        <w:t>Table of Contents</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Pharvaris N.V.</w:t>
      </w:r>
    </w:p>
    <w:p>
      <w:pPr>
        <w:spacing w:after="0" w:line="202"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Annual Report</w:t>
      </w:r>
    </w:p>
    <w:p>
      <w:pPr>
        <w:spacing w:after="0" w:line="6" w:lineRule="exact"/>
        <w:rPr>
          <w:sz w:val="20"/>
          <w:szCs w:val="20"/>
          <w:color w:val="auto"/>
        </w:rPr>
      </w:pPr>
    </w:p>
    <w:p>
      <w:pPr>
        <w:jc w:val="right"/>
        <w:ind w:right="2459"/>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9400" w:type="dxa"/>
            <w:vAlign w:val="bottom"/>
          </w:tcPr>
          <w:p>
            <w:pPr>
              <w:ind w:left="4220"/>
              <w:spacing w:after="0"/>
              <w:rPr>
                <w:sz w:val="20"/>
                <w:szCs w:val="20"/>
                <w:color w:val="auto"/>
              </w:rPr>
            </w:pPr>
            <w:r>
              <w:rPr>
                <w:rFonts w:ascii="Arial" w:cs="Arial" w:eastAsia="Arial" w:hAnsi="Arial"/>
                <w:sz w:val="16"/>
                <w:szCs w:val="16"/>
                <w:b w:val="1"/>
                <w:bCs w:val="1"/>
                <w:color w:val="auto"/>
              </w:rPr>
              <w:t>Pharvaris N.V.</w:t>
            </w:r>
          </w:p>
        </w:tc>
        <w:tc>
          <w:tcPr>
            <w:tcW w:w="980" w:type="dxa"/>
            <w:vAlign w:val="bottom"/>
          </w:tcPr>
          <w:p>
            <w:pPr>
              <w:spacing w:after="0"/>
              <w:rPr>
                <w:sz w:val="19"/>
                <w:szCs w:val="19"/>
                <w:color w:val="auto"/>
              </w:rPr>
            </w:pPr>
          </w:p>
        </w:tc>
      </w:tr>
      <w:tr>
        <w:trPr>
          <w:trHeight w:val="405"/>
        </w:trPr>
        <w:tc>
          <w:tcPr>
            <w:tcW w:w="860" w:type="dxa"/>
            <w:vAlign w:val="bottom"/>
          </w:tcPr>
          <w:p>
            <w:pPr>
              <w:spacing w:after="0"/>
              <w:rPr>
                <w:sz w:val="24"/>
                <w:szCs w:val="24"/>
                <w:color w:val="auto"/>
              </w:rPr>
            </w:pPr>
          </w:p>
        </w:tc>
        <w:tc>
          <w:tcPr>
            <w:tcW w:w="9400" w:type="dxa"/>
            <w:vAlign w:val="bottom"/>
          </w:tcPr>
          <w:p>
            <w:pPr>
              <w:ind w:left="3900"/>
              <w:spacing w:after="0"/>
              <w:rPr>
                <w:sz w:val="20"/>
                <w:szCs w:val="20"/>
                <w:color w:val="auto"/>
              </w:rPr>
            </w:pPr>
            <w:r>
              <w:rPr>
                <w:rFonts w:ascii="Arial" w:cs="Arial" w:eastAsia="Arial" w:hAnsi="Arial"/>
                <w:sz w:val="16"/>
                <w:szCs w:val="16"/>
                <w:b w:val="1"/>
                <w:bCs w:val="1"/>
                <w:color w:val="auto"/>
              </w:rPr>
              <w:t>TABLE OF CONTENTS</w:t>
            </w:r>
          </w:p>
        </w:tc>
        <w:tc>
          <w:tcPr>
            <w:tcW w:w="980" w:type="dxa"/>
            <w:vAlign w:val="bottom"/>
          </w:tcPr>
          <w:p>
            <w:pPr>
              <w:spacing w:after="0"/>
              <w:rPr>
                <w:sz w:val="24"/>
                <w:szCs w:val="24"/>
                <w:color w:val="auto"/>
              </w:rPr>
            </w:pPr>
          </w:p>
        </w:tc>
      </w:tr>
      <w:tr>
        <w:trPr>
          <w:trHeight w:val="359"/>
        </w:trPr>
        <w:tc>
          <w:tcPr>
            <w:tcW w:w="8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Page</w:t>
            </w:r>
          </w:p>
        </w:tc>
      </w:tr>
      <w:tr>
        <w:trPr>
          <w:trHeight w:val="357"/>
        </w:trPr>
        <w:tc>
          <w:tcPr>
            <w:tcW w:w="10260" w:type="dxa"/>
            <w:vAlign w:val="bottom"/>
            <w:gridSpan w:val="2"/>
          </w:tcPr>
          <w:p>
            <w:pPr>
              <w:spacing w:after="0"/>
              <w:rPr>
                <w:sz w:val="20"/>
                <w:szCs w:val="20"/>
                <w:color w:val="auto"/>
              </w:rPr>
            </w:pPr>
            <w:r>
              <w:rPr>
                <w:rFonts w:ascii="Arial" w:cs="Arial" w:eastAsia="Arial" w:hAnsi="Arial"/>
                <w:sz w:val="16"/>
                <w:szCs w:val="16"/>
                <w:color w:val="auto"/>
              </w:rPr>
              <w:t>Report of Board of Directors</w:t>
            </w:r>
          </w:p>
        </w:tc>
        <w:tc>
          <w:tcPr>
            <w:tcW w:w="980" w:type="dxa"/>
            <w:vAlign w:val="bottom"/>
          </w:tcPr>
          <w:p>
            <w:pPr>
              <w:spacing w:after="0"/>
              <w:rPr>
                <w:sz w:val="24"/>
                <w:szCs w:val="24"/>
                <w:color w:val="auto"/>
              </w:rPr>
            </w:pP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9400" w:type="dxa"/>
            <w:vAlign w:val="bottom"/>
          </w:tcPr>
          <w:p>
            <w:pPr>
              <w:ind w:left="60"/>
              <w:spacing w:after="0"/>
              <w:rPr>
                <w:sz w:val="20"/>
                <w:szCs w:val="20"/>
                <w:color w:val="auto"/>
              </w:rPr>
            </w:pPr>
            <w:r>
              <w:rPr>
                <w:rFonts w:ascii="Arial" w:cs="Arial" w:eastAsia="Arial" w:hAnsi="Arial"/>
                <w:sz w:val="16"/>
                <w:szCs w:val="16"/>
                <w:color w:val="auto"/>
              </w:rPr>
              <w:t>Introduction</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9400" w:type="dxa"/>
            <w:vAlign w:val="bottom"/>
          </w:tcPr>
          <w:p>
            <w:pPr>
              <w:ind w:left="60"/>
              <w:spacing w:after="0"/>
              <w:rPr>
                <w:sz w:val="20"/>
                <w:szCs w:val="20"/>
                <w:color w:val="auto"/>
              </w:rPr>
            </w:pPr>
            <w:r>
              <w:rPr>
                <w:rFonts w:ascii="Arial" w:cs="Arial" w:eastAsia="Arial" w:hAnsi="Arial"/>
                <w:sz w:val="16"/>
                <w:szCs w:val="16"/>
                <w:color w:val="auto"/>
              </w:rPr>
              <w:t>Preparation</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9400" w:type="dxa"/>
            <w:vAlign w:val="bottom"/>
          </w:tcPr>
          <w:p>
            <w:pPr>
              <w:ind w:left="60"/>
              <w:spacing w:after="0"/>
              <w:rPr>
                <w:sz w:val="20"/>
                <w:szCs w:val="20"/>
                <w:color w:val="auto"/>
              </w:rPr>
            </w:pPr>
            <w:r>
              <w:rPr>
                <w:rFonts w:ascii="Arial" w:cs="Arial" w:eastAsia="Arial" w:hAnsi="Arial"/>
                <w:sz w:val="16"/>
                <w:szCs w:val="16"/>
                <w:color w:val="auto"/>
              </w:rPr>
              <w:t>Forward-looking statements</w:t>
            </w:r>
          </w:p>
        </w:tc>
        <w:tc>
          <w:tcPr>
            <w:tcW w:w="98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9400" w:type="dxa"/>
            <w:vAlign w:val="bottom"/>
          </w:tcPr>
          <w:p>
            <w:pPr>
              <w:ind w:left="60"/>
              <w:spacing w:after="0"/>
              <w:rPr>
                <w:sz w:val="20"/>
                <w:szCs w:val="20"/>
                <w:color w:val="auto"/>
              </w:rPr>
            </w:pPr>
            <w:r>
              <w:rPr>
                <w:rFonts w:ascii="Arial" w:cs="Arial" w:eastAsia="Arial" w:hAnsi="Arial"/>
                <w:sz w:val="16"/>
                <w:szCs w:val="16"/>
                <w:color w:val="auto"/>
              </w:rPr>
              <w:t>Business</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9400" w:type="dxa"/>
            <w:vAlign w:val="bottom"/>
          </w:tcPr>
          <w:p>
            <w:pPr>
              <w:ind w:left="60"/>
              <w:spacing w:after="0"/>
              <w:rPr>
                <w:sz w:val="20"/>
                <w:szCs w:val="20"/>
                <w:color w:val="auto"/>
              </w:rPr>
            </w:pPr>
            <w:r>
              <w:rPr>
                <w:rFonts w:ascii="Arial" w:cs="Arial" w:eastAsia="Arial" w:hAnsi="Arial"/>
                <w:sz w:val="16"/>
                <w:szCs w:val="16"/>
                <w:color w:val="auto"/>
              </w:rPr>
              <w:t>History and development of the company</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9400" w:type="dxa"/>
            <w:vAlign w:val="bottom"/>
          </w:tcPr>
          <w:p>
            <w:pPr>
              <w:ind w:left="60"/>
              <w:spacing w:after="0"/>
              <w:rPr>
                <w:sz w:val="20"/>
                <w:szCs w:val="20"/>
                <w:color w:val="auto"/>
              </w:rPr>
            </w:pPr>
            <w:r>
              <w:rPr>
                <w:rFonts w:ascii="Arial" w:cs="Arial" w:eastAsia="Arial" w:hAnsi="Arial"/>
                <w:sz w:val="16"/>
                <w:szCs w:val="16"/>
                <w:color w:val="auto"/>
              </w:rPr>
              <w:t>Overview</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15"/>
        </w:trPr>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9400" w:type="dxa"/>
            <w:vAlign w:val="bottom"/>
          </w:tcPr>
          <w:p>
            <w:pPr>
              <w:ind w:left="60"/>
              <w:spacing w:after="0"/>
              <w:rPr>
                <w:sz w:val="20"/>
                <w:szCs w:val="20"/>
                <w:color w:val="auto"/>
              </w:rPr>
            </w:pPr>
            <w:r>
              <w:rPr>
                <w:rFonts w:ascii="Arial" w:cs="Arial" w:eastAsia="Arial" w:hAnsi="Arial"/>
                <w:sz w:val="16"/>
                <w:szCs w:val="16"/>
                <w:color w:val="auto"/>
              </w:rPr>
              <w:t>Organizational structure</w:t>
            </w:r>
          </w:p>
        </w:tc>
        <w:tc>
          <w:tcPr>
            <w:tcW w:w="98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594"/>
        </w:trPr>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9400" w:type="dxa"/>
            <w:vAlign w:val="bottom"/>
          </w:tcPr>
          <w:p>
            <w:pPr>
              <w:ind w:left="60"/>
              <w:spacing w:after="0"/>
              <w:rPr>
                <w:sz w:val="20"/>
                <w:szCs w:val="20"/>
                <w:color w:val="auto"/>
              </w:rPr>
            </w:pPr>
            <w:r>
              <w:rPr>
                <w:rFonts w:ascii="Arial" w:cs="Arial" w:eastAsia="Arial" w:hAnsi="Arial"/>
                <w:sz w:val="16"/>
                <w:szCs w:val="16"/>
                <w:color w:val="auto"/>
              </w:rPr>
              <w:t>Property, plants and equipment</w:t>
            </w:r>
          </w:p>
        </w:tc>
        <w:tc>
          <w:tcPr>
            <w:tcW w:w="98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352"/>
        </w:trPr>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9400" w:type="dxa"/>
            <w:vAlign w:val="bottom"/>
          </w:tcPr>
          <w:p>
            <w:pPr>
              <w:ind w:left="60"/>
              <w:spacing w:after="0"/>
              <w:rPr>
                <w:sz w:val="20"/>
                <w:szCs w:val="20"/>
                <w:color w:val="auto"/>
              </w:rPr>
            </w:pPr>
            <w:r>
              <w:rPr>
                <w:rFonts w:ascii="Arial" w:cs="Arial" w:eastAsia="Arial" w:hAnsi="Arial"/>
                <w:sz w:val="16"/>
                <w:szCs w:val="16"/>
                <w:color w:val="auto"/>
              </w:rPr>
              <w:t>Operating results</w:t>
            </w:r>
          </w:p>
        </w:tc>
        <w:tc>
          <w:tcPr>
            <w:tcW w:w="980" w:type="dxa"/>
            <w:vAlign w:val="bottom"/>
          </w:tcPr>
          <w:p>
            <w:pPr>
              <w:jc w:val="center"/>
              <w:spacing w:after="0"/>
              <w:rPr>
                <w:sz w:val="20"/>
                <w:szCs w:val="20"/>
                <w:color w:val="auto"/>
              </w:rPr>
            </w:pPr>
            <w:r>
              <w:rPr>
                <w:rFonts w:ascii="Arial" w:cs="Arial" w:eastAsia="Arial" w:hAnsi="Arial"/>
                <w:sz w:val="16"/>
                <w:szCs w:val="16"/>
                <w:color w:val="auto"/>
              </w:rPr>
              <w:t>36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9400" w:type="dxa"/>
            <w:vAlign w:val="bottom"/>
          </w:tcPr>
          <w:p>
            <w:pPr>
              <w:ind w:left="60"/>
              <w:spacing w:after="0"/>
              <w:rPr>
                <w:sz w:val="20"/>
                <w:szCs w:val="20"/>
                <w:color w:val="auto"/>
              </w:rPr>
            </w:pPr>
            <w:r>
              <w:rPr>
                <w:rFonts w:ascii="Arial" w:cs="Arial" w:eastAsia="Arial" w:hAnsi="Arial"/>
                <w:sz w:val="16"/>
                <w:szCs w:val="16"/>
                <w:color w:val="auto"/>
              </w:rPr>
              <w:t>Material subsequent events</w:t>
            </w:r>
          </w:p>
        </w:tc>
        <w:tc>
          <w:tcPr>
            <w:tcW w:w="980" w:type="dxa"/>
            <w:vAlign w:val="bottom"/>
          </w:tcPr>
          <w:p>
            <w:pPr>
              <w:jc w:val="center"/>
              <w:spacing w:after="0"/>
              <w:rPr>
                <w:sz w:val="20"/>
                <w:szCs w:val="20"/>
                <w:color w:val="auto"/>
              </w:rPr>
            </w:pPr>
            <w:r>
              <w:rPr>
                <w:rFonts w:ascii="Arial" w:cs="Arial" w:eastAsia="Arial" w:hAnsi="Arial"/>
                <w:sz w:val="16"/>
                <w:szCs w:val="16"/>
                <w:color w:val="auto"/>
              </w:rPr>
              <w:t>44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9400" w:type="dxa"/>
            <w:vAlign w:val="bottom"/>
          </w:tcPr>
          <w:p>
            <w:pPr>
              <w:ind w:left="60"/>
              <w:spacing w:after="0"/>
              <w:rPr>
                <w:sz w:val="20"/>
                <w:szCs w:val="20"/>
                <w:color w:val="auto"/>
              </w:rPr>
            </w:pPr>
            <w:r>
              <w:rPr>
                <w:rFonts w:ascii="Arial" w:cs="Arial" w:eastAsia="Arial" w:hAnsi="Arial"/>
                <w:sz w:val="16"/>
                <w:szCs w:val="16"/>
                <w:color w:val="auto"/>
              </w:rPr>
              <w:t>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9400" w:type="dxa"/>
            <w:vAlign w:val="bottom"/>
          </w:tcPr>
          <w:p>
            <w:pPr>
              <w:ind w:left="60"/>
              <w:spacing w:after="0"/>
              <w:rPr>
                <w:sz w:val="20"/>
                <w:szCs w:val="20"/>
                <w:color w:val="auto"/>
              </w:rPr>
            </w:pPr>
            <w:r>
              <w:rPr>
                <w:rFonts w:ascii="Arial" w:cs="Arial" w:eastAsia="Arial" w:hAnsi="Arial"/>
                <w:sz w:val="16"/>
                <w:szCs w:val="16"/>
                <w:color w:val="auto"/>
              </w:rPr>
              <w:t>Summary of key 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9400" w:type="dxa"/>
            <w:vAlign w:val="bottom"/>
          </w:tcPr>
          <w:p>
            <w:pPr>
              <w:ind w:left="60"/>
              <w:spacing w:after="0"/>
              <w:rPr>
                <w:sz w:val="20"/>
                <w:szCs w:val="20"/>
                <w:color w:val="auto"/>
              </w:rPr>
            </w:pPr>
            <w:r>
              <w:rPr>
                <w:rFonts w:ascii="Arial" w:cs="Arial" w:eastAsia="Arial" w:hAnsi="Arial"/>
                <w:sz w:val="16"/>
                <w:szCs w:val="16"/>
                <w:color w:val="auto"/>
              </w:rPr>
              <w:t>Risk factors</w:t>
            </w:r>
          </w:p>
        </w:tc>
        <w:tc>
          <w:tcPr>
            <w:tcW w:w="980" w:type="dxa"/>
            <w:vAlign w:val="bottom"/>
          </w:tcPr>
          <w:p>
            <w:pPr>
              <w:jc w:val="center"/>
              <w:spacing w:after="0"/>
              <w:rPr>
                <w:sz w:val="20"/>
                <w:szCs w:val="20"/>
                <w:color w:val="auto"/>
              </w:rPr>
            </w:pPr>
            <w:r>
              <w:rPr>
                <w:rFonts w:ascii="Arial" w:cs="Arial" w:eastAsia="Arial" w:hAnsi="Arial"/>
                <w:sz w:val="16"/>
                <w:szCs w:val="16"/>
                <w:color w:val="auto"/>
              </w:rPr>
              <w:t>46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9400" w:type="dxa"/>
            <w:vAlign w:val="bottom"/>
          </w:tcPr>
          <w:p>
            <w:pPr>
              <w:ind w:left="60"/>
              <w:spacing w:after="0"/>
              <w:rPr>
                <w:sz w:val="20"/>
                <w:szCs w:val="20"/>
                <w:color w:val="auto"/>
              </w:rPr>
            </w:pPr>
            <w:r>
              <w:rPr>
                <w:rFonts w:ascii="Arial" w:cs="Arial" w:eastAsia="Arial" w:hAnsi="Arial"/>
                <w:sz w:val="16"/>
                <w:szCs w:val="16"/>
                <w:color w:val="auto"/>
              </w:rPr>
              <w:t>Controls and procedures</w:t>
            </w:r>
          </w:p>
        </w:tc>
        <w:tc>
          <w:tcPr>
            <w:tcW w:w="98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9400" w:type="dxa"/>
            <w:vAlign w:val="bottom"/>
          </w:tcPr>
          <w:p>
            <w:pPr>
              <w:ind w:left="60"/>
              <w:spacing w:after="0"/>
              <w:rPr>
                <w:sz w:val="20"/>
                <w:szCs w:val="20"/>
                <w:color w:val="auto"/>
              </w:rPr>
            </w:pPr>
            <w:r>
              <w:rPr>
                <w:rFonts w:ascii="Arial" w:cs="Arial" w:eastAsia="Arial" w:hAnsi="Arial"/>
                <w:sz w:val="16"/>
                <w:szCs w:val="16"/>
                <w:color w:val="auto"/>
              </w:rPr>
              <w:t>Risk management and control systems</w:t>
            </w:r>
          </w:p>
        </w:tc>
        <w:tc>
          <w:tcPr>
            <w:tcW w:w="98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9400" w:type="dxa"/>
            <w:vAlign w:val="bottom"/>
          </w:tcPr>
          <w:p>
            <w:pPr>
              <w:ind w:left="60"/>
              <w:spacing w:after="0"/>
              <w:rPr>
                <w:sz w:val="20"/>
                <w:szCs w:val="20"/>
                <w:color w:val="auto"/>
              </w:rPr>
            </w:pPr>
            <w:r>
              <w:rPr>
                <w:rFonts w:ascii="Arial" w:cs="Arial" w:eastAsia="Arial" w:hAnsi="Arial"/>
                <w:sz w:val="16"/>
                <w:szCs w:val="16"/>
                <w:color w:val="auto"/>
              </w:rPr>
              <w:t>In control statement</w:t>
            </w:r>
          </w:p>
        </w:tc>
        <w:tc>
          <w:tcPr>
            <w:tcW w:w="98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9400" w:type="dxa"/>
            <w:vAlign w:val="bottom"/>
          </w:tcPr>
          <w:p>
            <w:pPr>
              <w:ind w:left="60"/>
              <w:spacing w:after="0"/>
              <w:rPr>
                <w:sz w:val="20"/>
                <w:szCs w:val="20"/>
                <w:color w:val="auto"/>
              </w:rPr>
            </w:pPr>
            <w:r>
              <w:rPr>
                <w:rFonts w:ascii="Arial" w:cs="Arial" w:eastAsia="Arial" w:hAnsi="Arial"/>
                <w:sz w:val="16"/>
                <w:szCs w:val="16"/>
                <w:color w:val="auto"/>
              </w:rPr>
              <w:t>Corporate Governance</w:t>
            </w:r>
          </w:p>
        </w:tc>
        <w:tc>
          <w:tcPr>
            <w:tcW w:w="980" w:type="dxa"/>
            <w:vAlign w:val="bottom"/>
          </w:tcPr>
          <w:p>
            <w:pPr>
              <w:jc w:val="center"/>
              <w:spacing w:after="0"/>
              <w:rPr>
                <w:sz w:val="20"/>
                <w:szCs w:val="20"/>
                <w:color w:val="auto"/>
              </w:rPr>
            </w:pPr>
            <w:r>
              <w:rPr>
                <w:rFonts w:ascii="Arial" w:cs="Arial" w:eastAsia="Arial" w:hAnsi="Arial"/>
                <w:sz w:val="16"/>
                <w:szCs w:val="16"/>
                <w:color w:val="auto"/>
              </w:rPr>
              <w:t>82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9400" w:type="dxa"/>
            <w:vAlign w:val="bottom"/>
          </w:tcPr>
          <w:p>
            <w:pPr>
              <w:ind w:left="60"/>
              <w:spacing w:after="0"/>
              <w:rPr>
                <w:sz w:val="20"/>
                <w:szCs w:val="20"/>
                <w:color w:val="auto"/>
              </w:rPr>
            </w:pPr>
            <w:r>
              <w:rPr>
                <w:rFonts w:ascii="Arial" w:cs="Arial" w:eastAsia="Arial" w:hAnsi="Arial"/>
                <w:sz w:val="16"/>
                <w:szCs w:val="16"/>
                <w:color w:val="auto"/>
              </w:rPr>
              <w:t>Dutch Corporate Governance Code</w:t>
            </w:r>
          </w:p>
        </w:tc>
        <w:tc>
          <w:tcPr>
            <w:tcW w:w="980" w:type="dxa"/>
            <w:vAlign w:val="bottom"/>
          </w:tcPr>
          <w:p>
            <w:pPr>
              <w:jc w:val="center"/>
              <w:spacing w:after="0"/>
              <w:rPr>
                <w:sz w:val="20"/>
                <w:szCs w:val="20"/>
                <w:color w:val="auto"/>
              </w:rPr>
            </w:pPr>
            <w:r>
              <w:rPr>
                <w:rFonts w:ascii="Arial" w:cs="Arial" w:eastAsia="Arial" w:hAnsi="Arial"/>
                <w:sz w:val="16"/>
                <w:szCs w:val="16"/>
                <w:color w:val="auto"/>
              </w:rPr>
              <w:t>82</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9400" w:type="dxa"/>
            <w:vAlign w:val="bottom"/>
          </w:tcPr>
          <w:p>
            <w:pPr>
              <w:ind w:left="60"/>
              <w:spacing w:after="0"/>
              <w:rPr>
                <w:sz w:val="20"/>
                <w:szCs w:val="20"/>
                <w:color w:val="auto"/>
              </w:rPr>
            </w:pPr>
            <w:r>
              <w:rPr>
                <w:rFonts w:ascii="Arial" w:cs="Arial" w:eastAsia="Arial" w:hAnsi="Arial"/>
                <w:sz w:val="16"/>
                <w:szCs w:val="16"/>
                <w:color w:val="auto"/>
              </w:rPr>
              <w:t>Code of business conduct and ethics and other corporate governance practices</w:t>
            </w:r>
          </w:p>
        </w:tc>
        <w:tc>
          <w:tcPr>
            <w:tcW w:w="98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9400" w:type="dxa"/>
            <w:vAlign w:val="bottom"/>
          </w:tcPr>
          <w:p>
            <w:pPr>
              <w:ind w:left="60"/>
              <w:spacing w:after="0"/>
              <w:rPr>
                <w:sz w:val="20"/>
                <w:szCs w:val="20"/>
                <w:color w:val="auto"/>
              </w:rPr>
            </w:pPr>
            <w:r>
              <w:rPr>
                <w:rFonts w:ascii="Arial" w:cs="Arial" w:eastAsia="Arial" w:hAnsi="Arial"/>
                <w:sz w:val="16"/>
                <w:szCs w:val="16"/>
                <w:color w:val="auto"/>
              </w:rPr>
              <w:t>Risk management and control systems</w:t>
            </w:r>
          </w:p>
        </w:tc>
        <w:tc>
          <w:tcPr>
            <w:tcW w:w="98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9400" w:type="dxa"/>
            <w:vAlign w:val="bottom"/>
          </w:tcPr>
          <w:p>
            <w:pPr>
              <w:ind w:left="60"/>
              <w:spacing w:after="0"/>
              <w:rPr>
                <w:sz w:val="20"/>
                <w:szCs w:val="20"/>
                <w:color w:val="auto"/>
              </w:rPr>
            </w:pPr>
            <w:r>
              <w:rPr>
                <w:rFonts w:ascii="Arial" w:cs="Arial" w:eastAsia="Arial" w:hAnsi="Arial"/>
                <w:sz w:val="16"/>
                <w:szCs w:val="16"/>
                <w:color w:val="auto"/>
              </w:rPr>
              <w:t>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5.4.1</w:t>
            </w:r>
          </w:p>
        </w:tc>
        <w:tc>
          <w:tcPr>
            <w:tcW w:w="9400" w:type="dxa"/>
            <w:vAlign w:val="bottom"/>
          </w:tcPr>
          <w:p>
            <w:pPr>
              <w:ind w:left="60"/>
              <w:spacing w:after="0"/>
              <w:rPr>
                <w:sz w:val="20"/>
                <w:szCs w:val="20"/>
                <w:color w:val="auto"/>
              </w:rPr>
            </w:pPr>
            <w:r>
              <w:rPr>
                <w:rFonts w:ascii="Arial" w:cs="Arial" w:eastAsia="Arial" w:hAnsi="Arial"/>
                <w:sz w:val="16"/>
                <w:szCs w:val="16"/>
                <w:color w:val="auto"/>
              </w:rPr>
              <w:t>Functioning of the 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5.4.2</w:t>
            </w:r>
          </w:p>
        </w:tc>
        <w:tc>
          <w:tcPr>
            <w:tcW w:w="9400" w:type="dxa"/>
            <w:vAlign w:val="bottom"/>
          </w:tcPr>
          <w:p>
            <w:pPr>
              <w:ind w:left="60"/>
              <w:spacing w:after="0"/>
              <w:rPr>
                <w:sz w:val="20"/>
                <w:szCs w:val="20"/>
                <w:color w:val="auto"/>
              </w:rPr>
            </w:pPr>
            <w:r>
              <w:rPr>
                <w:rFonts w:ascii="Arial" w:cs="Arial" w:eastAsia="Arial" w:hAnsi="Arial"/>
                <w:sz w:val="16"/>
                <w:szCs w:val="16"/>
                <w:color w:val="auto"/>
              </w:rPr>
              <w:t>Powers of the General Meeting</w:t>
            </w:r>
          </w:p>
        </w:tc>
        <w:tc>
          <w:tcPr>
            <w:tcW w:w="98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9400" w:type="dxa"/>
            <w:vAlign w:val="bottom"/>
          </w:tcPr>
          <w:p>
            <w:pPr>
              <w:ind w:left="60"/>
              <w:spacing w:after="0"/>
              <w:rPr>
                <w:sz w:val="20"/>
                <w:szCs w:val="20"/>
                <w:color w:val="auto"/>
              </w:rPr>
            </w:pPr>
            <w:r>
              <w:rPr>
                <w:rFonts w:ascii="Arial" w:cs="Arial" w:eastAsia="Arial" w:hAnsi="Arial"/>
                <w:sz w:val="16"/>
                <w:szCs w:val="16"/>
                <w:color w:val="auto"/>
              </w:rPr>
              <w:t>Shareholder rights</w:t>
            </w:r>
          </w:p>
        </w:tc>
        <w:tc>
          <w:tcPr>
            <w:tcW w:w="98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9400" w:type="dxa"/>
            <w:vAlign w:val="bottom"/>
          </w:tcPr>
          <w:p>
            <w:pPr>
              <w:ind w:left="60"/>
              <w:spacing w:after="0"/>
              <w:rPr>
                <w:sz w:val="20"/>
                <w:szCs w:val="20"/>
                <w:color w:val="auto"/>
              </w:rPr>
            </w:pPr>
            <w:r>
              <w:rPr>
                <w:rFonts w:ascii="Arial" w:cs="Arial" w:eastAsia="Arial" w:hAnsi="Arial"/>
                <w:sz w:val="16"/>
                <w:szCs w:val="16"/>
                <w:color w:val="auto"/>
              </w:rPr>
              <w:t>Board</w:t>
            </w:r>
          </w:p>
        </w:tc>
        <w:tc>
          <w:tcPr>
            <w:tcW w:w="98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9400" w:type="dxa"/>
            <w:vAlign w:val="bottom"/>
          </w:tcPr>
          <w:p>
            <w:pPr>
              <w:ind w:left="60"/>
              <w:spacing w:after="0"/>
              <w:rPr>
                <w:sz w:val="20"/>
                <w:szCs w:val="20"/>
                <w:color w:val="auto"/>
              </w:rPr>
            </w:pPr>
            <w:r>
              <w:rPr>
                <w:rFonts w:ascii="Arial" w:cs="Arial" w:eastAsia="Arial" w:hAnsi="Arial"/>
                <w:sz w:val="16"/>
                <w:szCs w:val="16"/>
                <w:color w:val="auto"/>
              </w:rPr>
              <w:t>Committees</w:t>
            </w:r>
          </w:p>
        </w:tc>
        <w:tc>
          <w:tcPr>
            <w:tcW w:w="980" w:type="dxa"/>
            <w:vAlign w:val="bottom"/>
          </w:tcPr>
          <w:p>
            <w:pPr>
              <w:jc w:val="center"/>
              <w:spacing w:after="0"/>
              <w:rPr>
                <w:sz w:val="20"/>
                <w:szCs w:val="20"/>
                <w:color w:val="auto"/>
              </w:rPr>
            </w:pPr>
            <w:r>
              <w:rPr>
                <w:rFonts w:ascii="Arial" w:cs="Arial" w:eastAsia="Arial" w:hAnsi="Arial"/>
                <w:sz w:val="16"/>
                <w:szCs w:val="16"/>
                <w:color w:val="auto"/>
              </w:rPr>
              <w:t>85</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5.6.1</w:t>
            </w:r>
          </w:p>
        </w:tc>
        <w:tc>
          <w:tcPr>
            <w:tcW w:w="9400" w:type="dxa"/>
            <w:vAlign w:val="bottom"/>
          </w:tcPr>
          <w:p>
            <w:pPr>
              <w:ind w:left="60"/>
              <w:spacing w:after="0"/>
              <w:rPr>
                <w:sz w:val="20"/>
                <w:szCs w:val="20"/>
                <w:color w:val="auto"/>
              </w:rPr>
            </w:pPr>
            <w:r>
              <w:rPr>
                <w:rFonts w:ascii="Arial" w:cs="Arial" w:eastAsia="Arial" w:hAnsi="Arial"/>
                <w:sz w:val="16"/>
                <w:szCs w:val="16"/>
                <w:color w:val="auto"/>
              </w:rPr>
              <w:t>General</w:t>
            </w:r>
          </w:p>
        </w:tc>
        <w:tc>
          <w:tcPr>
            <w:tcW w:w="980" w:type="dxa"/>
            <w:vAlign w:val="bottom"/>
          </w:tcPr>
          <w:p>
            <w:pPr>
              <w:jc w:val="center"/>
              <w:spacing w:after="0"/>
              <w:rPr>
                <w:sz w:val="20"/>
                <w:szCs w:val="20"/>
                <w:color w:val="auto"/>
              </w:rPr>
            </w:pPr>
            <w:r>
              <w:rPr>
                <w:rFonts w:ascii="Arial" w:cs="Arial" w:eastAsia="Arial" w:hAnsi="Arial"/>
                <w:sz w:val="16"/>
                <w:szCs w:val="16"/>
                <w:color w:val="auto"/>
              </w:rPr>
              <w:t>85</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5.6.2</w:t>
            </w:r>
          </w:p>
        </w:tc>
        <w:tc>
          <w:tcPr>
            <w:tcW w:w="940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86</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5.6.3</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87</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5.6.4</w:t>
            </w:r>
          </w:p>
        </w:tc>
        <w:tc>
          <w:tcPr>
            <w:tcW w:w="9400" w:type="dxa"/>
            <w:vAlign w:val="bottom"/>
          </w:tcPr>
          <w:p>
            <w:pPr>
              <w:ind w:left="60"/>
              <w:spacing w:after="0"/>
              <w:rPr>
                <w:sz w:val="20"/>
                <w:szCs w:val="20"/>
                <w:color w:val="auto"/>
              </w:rPr>
            </w:pPr>
            <w:r>
              <w:rPr>
                <w:rFonts w:ascii="Arial" w:cs="Arial" w:eastAsia="Arial" w:hAnsi="Arial"/>
                <w:sz w:val="16"/>
                <w:szCs w:val="16"/>
                <w:color w:val="auto"/>
              </w:rPr>
              <w:t>Nomination and corporate governance committee</w:t>
            </w:r>
          </w:p>
        </w:tc>
        <w:tc>
          <w:tcPr>
            <w:tcW w:w="980" w:type="dxa"/>
            <w:vAlign w:val="bottom"/>
          </w:tcPr>
          <w:p>
            <w:pPr>
              <w:jc w:val="center"/>
              <w:spacing w:after="0"/>
              <w:rPr>
                <w:sz w:val="20"/>
                <w:szCs w:val="20"/>
                <w:color w:val="auto"/>
              </w:rPr>
            </w:pPr>
            <w:r>
              <w:rPr>
                <w:rFonts w:ascii="Arial" w:cs="Arial" w:eastAsia="Arial" w:hAnsi="Arial"/>
                <w:sz w:val="16"/>
                <w:szCs w:val="16"/>
                <w:color w:val="auto"/>
              </w:rPr>
              <w:t>88</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9400" w:type="dxa"/>
            <w:vAlign w:val="bottom"/>
          </w:tcPr>
          <w:p>
            <w:pPr>
              <w:ind w:left="60"/>
              <w:spacing w:after="0"/>
              <w:rPr>
                <w:sz w:val="20"/>
                <w:szCs w:val="20"/>
                <w:color w:val="auto"/>
              </w:rPr>
            </w:pPr>
            <w:r>
              <w:rPr>
                <w:rFonts w:ascii="Arial" w:cs="Arial" w:eastAsia="Arial" w:hAnsi="Arial"/>
                <w:sz w:val="16"/>
                <w:szCs w:val="16"/>
                <w:color w:val="auto"/>
              </w:rPr>
              <w:t>Evaluation</w:t>
            </w:r>
          </w:p>
        </w:tc>
        <w:tc>
          <w:tcPr>
            <w:tcW w:w="98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9400" w:type="dxa"/>
            <w:vAlign w:val="bottom"/>
          </w:tcPr>
          <w:p>
            <w:pPr>
              <w:ind w:left="60"/>
              <w:spacing w:after="0"/>
              <w:rPr>
                <w:sz w:val="20"/>
                <w:szCs w:val="20"/>
                <w:color w:val="auto"/>
              </w:rPr>
            </w:pPr>
            <w:r>
              <w:rPr>
                <w:rFonts w:ascii="Arial" w:cs="Arial" w:eastAsia="Arial" w:hAnsi="Arial"/>
                <w:sz w:val="16"/>
                <w:szCs w:val="16"/>
                <w:color w:val="auto"/>
              </w:rPr>
              <w:t>Diversity</w:t>
            </w:r>
          </w:p>
        </w:tc>
        <w:tc>
          <w:tcPr>
            <w:tcW w:w="98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9400" w:type="dxa"/>
            <w:vAlign w:val="bottom"/>
          </w:tcPr>
          <w:p>
            <w:pPr>
              <w:ind w:left="60"/>
              <w:spacing w:after="0"/>
              <w:rPr>
                <w:sz w:val="20"/>
                <w:szCs w:val="20"/>
                <w:color w:val="auto"/>
              </w:rPr>
            </w:pPr>
            <w:r>
              <w:rPr>
                <w:rFonts w:ascii="Arial" w:cs="Arial" w:eastAsia="Arial" w:hAnsi="Arial"/>
                <w:sz w:val="16"/>
                <w:szCs w:val="16"/>
                <w:color w:val="auto"/>
              </w:rPr>
              <w:t>Corporate values and code of business conduct and ethics</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policy</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9400" w:type="dxa"/>
            <w:vAlign w:val="bottom"/>
          </w:tcPr>
          <w:p>
            <w:pPr>
              <w:ind w:left="60"/>
              <w:spacing w:after="0"/>
              <w:rPr>
                <w:sz w:val="20"/>
                <w:szCs w:val="20"/>
                <w:color w:val="auto"/>
              </w:rPr>
            </w:pPr>
            <w:r>
              <w:rPr>
                <w:rFonts w:ascii="Arial" w:cs="Arial" w:eastAsia="Arial" w:hAnsi="Arial"/>
                <w:sz w:val="16"/>
                <w:szCs w:val="16"/>
                <w:color w:val="auto"/>
              </w:rPr>
              <w:t>Compensation of directors</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9400" w:type="dxa"/>
            <w:vAlign w:val="bottom"/>
          </w:tcPr>
          <w:p>
            <w:pPr>
              <w:ind w:left="60"/>
              <w:spacing w:after="0"/>
              <w:rPr>
                <w:sz w:val="20"/>
                <w:szCs w:val="20"/>
                <w:color w:val="auto"/>
              </w:rPr>
            </w:pPr>
            <w:r>
              <w:rPr>
                <w:rFonts w:ascii="Arial" w:cs="Arial" w:eastAsia="Arial" w:hAnsi="Arial"/>
                <w:sz w:val="16"/>
                <w:szCs w:val="16"/>
                <w:color w:val="auto"/>
              </w:rPr>
              <w:t>Pay ratio</w:t>
            </w:r>
          </w:p>
        </w:tc>
        <w:tc>
          <w:tcPr>
            <w:tcW w:w="98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189"/>
        </w:trPr>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9400" w:type="dxa"/>
            <w:vAlign w:val="bottom"/>
          </w:tcPr>
          <w:p>
            <w:pPr>
              <w:ind w:left="60"/>
              <w:spacing w:after="0"/>
              <w:rPr>
                <w:sz w:val="20"/>
                <w:szCs w:val="20"/>
                <w:color w:val="auto"/>
              </w:rPr>
            </w:pPr>
            <w:r>
              <w:rPr>
                <w:rFonts w:ascii="Arial" w:cs="Arial" w:eastAsia="Arial" w:hAnsi="Arial"/>
                <w:sz w:val="16"/>
                <w:szCs w:val="16"/>
                <w:color w:val="auto"/>
              </w:rPr>
              <w:t>Related party transactions</w:t>
            </w:r>
          </w:p>
        </w:tc>
        <w:tc>
          <w:tcPr>
            <w:tcW w:w="98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15"/>
        </w:trPr>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9400" w:type="dxa"/>
            <w:vAlign w:val="bottom"/>
          </w:tcPr>
          <w:p>
            <w:pPr>
              <w:ind w:left="60"/>
              <w:spacing w:after="0"/>
              <w:rPr>
                <w:sz w:val="20"/>
                <w:szCs w:val="20"/>
                <w:color w:val="auto"/>
              </w:rPr>
            </w:pPr>
            <w:r>
              <w:rPr>
                <w:rFonts w:ascii="Arial" w:cs="Arial" w:eastAsia="Arial" w:hAnsi="Arial"/>
                <w:sz w:val="16"/>
                <w:szCs w:val="16"/>
                <w:color w:val="auto"/>
              </w:rPr>
              <w:t>Protective Measures</w:t>
            </w:r>
          </w:p>
        </w:tc>
        <w:tc>
          <w:tcPr>
            <w:tcW w:w="980" w:type="dxa"/>
            <w:vAlign w:val="bottom"/>
          </w:tcPr>
          <w:p>
            <w:pPr>
              <w:jc w:val="center"/>
              <w:spacing w:after="0"/>
              <w:rPr>
                <w:sz w:val="20"/>
                <w:szCs w:val="20"/>
                <w:color w:val="auto"/>
              </w:rPr>
            </w:pPr>
            <w:r>
              <w:rPr>
                <w:rFonts w:ascii="Arial" w:cs="Arial" w:eastAsia="Arial" w:hAnsi="Arial"/>
                <w:sz w:val="16"/>
                <w:szCs w:val="16"/>
                <w:color w:val="auto"/>
              </w:rPr>
              <w:t>91</w:t>
            </w:r>
          </w:p>
        </w:tc>
      </w:tr>
    </w:tbl>
    <w:p>
      <w:pPr>
        <w:spacing w:after="0" w:line="163" w:lineRule="exact"/>
        <w:rPr>
          <w:sz w:val="20"/>
          <w:szCs w:val="20"/>
          <w:color w:val="auto"/>
        </w:rPr>
      </w:pPr>
    </w:p>
    <w:p>
      <w:pPr>
        <w:ind w:left="920" w:right="7820" w:hanging="218"/>
        <w:spacing w:after="0" w:line="266"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Company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Independent auditor's report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Profit appropriation provisions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Shares carrying limited economic entitlement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Branches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Introduction</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1.1 Preparation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this report, the terms "we", "us", "our" and "the Company" refer to Pharvaris N.V. and, where appropriate, its subsidiaries.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report has been prepared by the Company's board (the "Board") pursuant to Section 2:391 of the Dutch Civil Code ("DCC") and also contains</w:t>
      </w:r>
    </w:p>
    <w:p>
      <w:pPr>
        <w:spacing w:after="0" w:line="21" w:lineRule="exact"/>
        <w:rPr>
          <w:sz w:val="20"/>
          <w:szCs w:val="20"/>
          <w:color w:val="auto"/>
        </w:rPr>
      </w:pPr>
    </w:p>
    <w:p>
      <w:pPr>
        <w:ind w:left="140" w:right="80" w:hanging="8"/>
        <w:spacing w:after="0" w:line="250"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statutory annual accounts within the meaning of Section 2:361(1) DCC and (ii) to the extent applicable, the information to be added pursuant to Section 2:392 DCC. The 2025 consolidated financial statements are prepared in accordance with the IFRS as issued by the European Union (IFRS-EU) and the company financial statements including the notes thereon have been prepared in accordance with Part 9 of Book 2 of the Dutch Civil Code. Section 2:362 (8) of the Dutch Civil Code, which allows companies that apply IFRS-EU in their consolidated financial statements to use the same measurement principles in their company financial statements. This report relates to the fiscal year ended December 31, 2025 and, unless explicitly stated otherwise, information presented in this report is as at December 31, 2025.</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1.2 Forward-looking statements</w:t>
      </w:r>
    </w:p>
    <w:p>
      <w:pPr>
        <w:spacing w:after="0" w:line="221" w:lineRule="exact"/>
        <w:rPr>
          <w:sz w:val="20"/>
          <w:szCs w:val="20"/>
          <w:color w:val="auto"/>
        </w:rPr>
      </w:pPr>
    </w:p>
    <w:p>
      <w:pPr>
        <w:ind w:left="140" w:firstLine="458"/>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266" w:lineRule="exact"/>
        <w:rPr>
          <w:sz w:val="20"/>
          <w:szCs w:val="20"/>
          <w:color w:val="auto"/>
        </w:rPr>
      </w:pPr>
    </w:p>
    <w:p>
      <w:pPr>
        <w:ind w:left="1020" w:right="2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product candidates, especially for XR (extended-release deucrictibant tablets), which is in late-stage global clinical trials;</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CHAPTER-1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(immediate-release deucrictibant capsules)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6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4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6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 and</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conflict between Russia and Ukraine and the conflict in the Middle East.</w:t>
      </w:r>
    </w:p>
    <w:p>
      <w:pPr>
        <w:spacing w:after="0" w:line="156" w:lineRule="exact"/>
        <w:rPr>
          <w:sz w:val="20"/>
          <w:szCs w:val="20"/>
          <w:color w:val="auto"/>
        </w:rPr>
      </w:pPr>
    </w:p>
    <w:p>
      <w:pPr>
        <w:ind w:left="140" w:firstLine="458"/>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left="140" w:right="100" w:firstLine="458"/>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History and development of the Company</w:t>
      </w:r>
    </w:p>
    <w:p>
      <w:pPr>
        <w:spacing w:after="0" w:line="22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with a well-tolerated profile and the convenience of an oral therapy for both the prophylactic and on-demand treatment of HAE attacks.</w:t>
      </w:r>
    </w:p>
    <w:p>
      <w:pPr>
        <w:spacing w:after="0" w:line="18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and can be caused by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1:30,000 to 1:80,000 individuals globally, or at least 7,000 patients in the U.S. and at least 15,000 patients in the EU.</w:t>
      </w:r>
    </w:p>
    <w:p>
      <w:pPr>
        <w:spacing w:after="0" w:line="375"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AAE-C1INH is a rare disorder with an estimated prevalence of approximately 1:500,000 patients. The disease manifests with episodes of unpredictable swelling that occur as a result of inadequate control of the kallikrein/kinin system, due to C1-inhibitor deficiency, resulting in excessive bradykinin formation. These episodes of swelling can be debilitating, painful, and even lethal, similar to HAE. However, AAE-C1INH results from underlying conditions such as lymphoproliferative disorders, plasma cell dyscrasias, or autoimmune disorders, and occurs either as a result of consumption of C1-inhibitor (C1INH) owing to activation of the classical complement pathway or as a result of neutralization by autoantibodies. There are no approved medicines available to treat or prevent AAE-C1INH.</w:t>
      </w:r>
    </w:p>
    <w:p>
      <w:pPr>
        <w:spacing w:after="0" w:line="18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Bradykinin-mediated vascular leakage and angioedema formation via activation of its bradykinin B2 receptor is involved in various types of angioedema (hereditary or acquired) with different underlying pathogenetic mechanisms. Bradykinin B2 receptor inhibition is a clinically validated mechanism for the treatment of HAE, as demonstrated by icatibant, which is a peptide bradykinin B2 receptor antagonist approved in Europe in 2008 and in the United States in 2011 (as FIRAZYR).</w:t>
      </w:r>
    </w:p>
    <w:p>
      <w:pPr>
        <w:spacing w:after="0" w:line="178"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Deucrictibant is designed to block the interaction of bradykinin with the bradykinin B2 receptor,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w:t>
      </w:r>
    </w:p>
    <w:p>
      <w:pPr>
        <w:spacing w:after="0" w:line="17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incorporated on September 30, 2015, and is based in Leiden, the Netherlands. Our principal executive offices are located in Emmy Noetherweg 2, 2333 BK Leiden, the Netherlands, telephone: +31 (0)71 2036 410. Our agent for service of process in the United States is Chris Deon, who is registered at PO Box 121, Buckingham, PA 19407-4550, USA.</w:t>
      </w:r>
    </w:p>
    <w:p>
      <w:pPr>
        <w:spacing w:after="0" w:line="182"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Overview</w:t>
      </w:r>
    </w:p>
    <w:p>
      <w:pPr>
        <w:spacing w:after="0" w:line="22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AE-BK by both preventing attacks from occurring, using an extended-release (XR) tablet formulation of deucrictibant (previously referred to as PHVS719), as well as treat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 We conducted a proof-of-concept clinical trial testing the effects of bradykinin in healthy volunteers in our bradykinin-challenge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trial, where we evaluated the effect of deucrictibant on cardiovascular parameters affected by bradykinin such as blood pressure, heart rate and cardiac output in healthy volunteers, and evaluated the pharmacodynamic (PD) and PK of deucrictibant to generate a PK/PD correlation model for deucrictibant. The bradykinin challenge was validated as a surrogate assessment for dose selection in the original development program for icatibant, as reviewed by the FDA and the EMA. From the bradykinin challenge model, we were able to predict the efficacious dose range and the duration of effect of a single oral dose of deucrictibant; the topline data from our Phase 2 RAPIDe-1 trial treating HAE attacks were consistent with the predictions of the bradykinin challenge in both onset of symptom relief and duration of effect (use of rescue medication).</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In our Phase 2 placebo-controlled trial evaluating the efficacy and tolerability of deucrictibant IR capsules for the on-demand treatment of attacks in patients with HAE type 1 and 2 (RAPIDe-1), a statistically significant and clinical meaningful reduction of the patient-reported symptoms of HAE was observed for the attacks treated with all doses of deucrictibant (10, 20, 30 mg) compared to placebo-treated attacks. The study’s primary endpoint— symptom relief at four hours after treatment with study drug—as well as all key secondary efficacy endpoints were met. Consistently with its pharmacokinetic profile, deucrictibant IR demonstrated rapid onset of action, symptom relief, and resolution of the manifestations of HAE attacks as well as sustained clinical effects, with consistent findings across outcome measures. In addition, deucrictibant IR substantially reduced the use of rescue medication compared to placebo. Deucrictibant was well tolerated at all dose levels. We commenced RAPIDe-1 in February 2021 and reported positive topline Phase 2 data in December 2022.</w:t>
      </w:r>
    </w:p>
    <w:p>
      <w:pPr>
        <w:spacing w:after="0" w:line="376"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Following the readout of RAPIDe-2, 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compared to placebo, deucrictibant reduced the time to onset of symptom relief (1.28 hours), time to End of Progression™ (17.47 minutes), time to complete symptom resolution (11.95 hours), as well as all other key secondary endpoints. Deucrictibant-treated attacks resulted in less second dose or rescue medication than placebo-treated attacks. In RAPIDe-3, deucrictibant was well tolerated with no treatment-related serious adverse events and no participants discontinuing treatment due to treatment-emergent adverse events. Pharvaris plans to submit a New Drug Application (NDA) with the U.S. Food and Drug Administration (FDA) in the first half of 2026 for the on-demand treatment of acute attacks of HAE.</w:t>
      </w:r>
    </w:p>
    <w:p>
      <w:pPr>
        <w:spacing w:after="0" w:line="17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 In the analysis of the secondary endpoints, deucrictibant demonstrated clinically meaningful improvement in the severity of attacks and a decrease in the number of attacks treated with on-demand medication. Participants on deucrictibant treatment experienced a meaningful improvement in their quality of life. Throughout 12 weeks of treatment in CHAPTER-1, both doses of deucrictibant were well-tolerated. There were no serious adverse events, no severe treatment-emergent adverse events, and no adverse events leading to treatment discontinuation. We commenced CHAPTER-1 in November 2021 using twice-daily dosing of deucrictibant IR capsules as a proof-of-concept for once-daily deucrictibant XR tablets, and announced positive topline data in December 2023. We believe these positive Phase 2 data support further development of deucrictibant as a potential oral prophylactic therapy for HAE attacks.</w:t>
      </w:r>
    </w:p>
    <w:p>
      <w:pPr>
        <w:spacing w:after="0" w:line="18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December 2024, we initiated CHAPTER-3,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18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(RAPIDe-2) and prophylactic (CHAPTER-4) settings to collect long-term safety and efficacy data in HAE patients.</w:t>
      </w:r>
    </w:p>
    <w:p>
      <w:pPr>
        <w:spacing w:after="0" w:line="15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October 2025, we initiated CREAATE, a global, pivotal Phase 3 study to assess the efficacy and safety of deucrictibant for the prophylactic and on-demand treatment of AAE-C1INH attacks. In part 1 of CREAATE, participants receive either deucrictibant XR tablet (40 mg) or placebo once daily for 12 weeks to evaluate deucrictibant XR as a prophylactic treatment of AAE-C1INH attacks. In part 2, participants treat two attacks in a cross-over fashion, one attack with deucrictibant IR capsule (20 mg) and one with placebo, to evaluate deucrictibant IR as an on-demand treatment of AAE-C1INH attacks. Part 3 of CREAATE is the open-label extension portion of the study assessing the long-term safety and efficacy of deucrictibant immediate-release capsule (20 mg) for on-demand treatment.</w:t>
      </w:r>
    </w:p>
    <w:p>
      <w:pPr>
        <w:spacing w:after="0" w:line="182" w:lineRule="exact"/>
        <w:rPr>
          <w:sz w:val="20"/>
          <w:szCs w:val="20"/>
          <w:color w:val="auto"/>
        </w:rPr>
      </w:pPr>
    </w:p>
    <w:p>
      <w:pPr>
        <w:ind w:right="400" w:firstLine="458"/>
        <w:spacing w:after="0" w:line="286" w:lineRule="auto"/>
        <w:rPr>
          <w:sz w:val="20"/>
          <w:szCs w:val="20"/>
          <w:color w:val="auto"/>
        </w:rPr>
      </w:pPr>
      <w:r>
        <w:rPr>
          <w:rFonts w:ascii="Arial" w:cs="Arial" w:eastAsia="Arial" w:hAnsi="Arial"/>
          <w:sz w:val="16"/>
          <w:szCs w:val="16"/>
          <w:color w:val="auto"/>
        </w:rPr>
        <w:t>Global sales of treatments for HAE in 2024 were estimated at approximately $2.7 billion based on publicly available information and, according to public research reports, are forecast to grow at an approximately 5% compound annual growth rate to $4.7 billion through 2036.</w:t>
      </w:r>
    </w:p>
    <w:p>
      <w:pPr>
        <w:spacing w:after="0" w:line="156"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mechanism of action of the most widely used on-demand HAE treatment is inhibition of the bradykinin B2 receptor; other mechanisms include replacement of C1INH or inhibition of plasma kallikrein. Most on-demand therapies are administered by injection, the burden of which causes people to delay or forego treatment of their attacks. An oral on-demand treatment could decrease the burden of therapy by improving convenience through easier administration, portability, and discretion. With the encouraging RAPIDe-3 results, combined with the trusted bradykinin B2 receptor antagonist mechanism seen in both icatibant and deucrictibant, we believe deucrictibant could become standard of care for on-demand treatment.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6</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the prophylactic space, there are several approved injectables, all of which have similar efficacy and tolerability, but continue to compete around less-frequent injections. An oral prophylactic that could offer injectable-like efficacy™, placebo-like tolerability, and the convenience of an oral, could potentially become a market leader in HAE. We believe HAE patients need alternatives that better meet their objectives for ease of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22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Deucrictibant is a novel, highly potent and selective, orally bioavailable small molecule bradykinin B2 receptor antagonist.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Annual Report refers to the amount of drug required to produce a pharmacological effect of given intensity and is not a measure of therapeutic efficacy. Deucrictibant demonstrated over 4000-fold selectivity for the bradykinin B2 receptor when compared to approximately 170 other molecular targets, including the bradykinin-B1-receptor. We designed deucrictibant as a new chemotype with properties compatible with oral delivery.</w:t>
      </w:r>
    </w:p>
    <w:p>
      <w:pPr>
        <w:spacing w:after="0" w:line="182"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believe that deucrictibant, as the molecule underlying both the IR capsule formulation and the XR tablet formulation, has the potential to be highly differentiated for both the on-demand and prophylactic settings with the key benefits below:</w:t>
      </w:r>
    </w:p>
    <w:p>
      <w:pPr>
        <w:spacing w:after="0" w:line="129" w:lineRule="exact"/>
        <w:rPr>
          <w:sz w:val="20"/>
          <w:szCs w:val="20"/>
          <w:color w:val="auto"/>
        </w:rPr>
      </w:pPr>
    </w:p>
    <w:p>
      <w:pPr>
        <w:jc w:val="both"/>
        <w:ind w:right="440" w:firstLine="464"/>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 To our knowledge, we are the only company that will offer this option to patients.</w:t>
      </w:r>
    </w:p>
    <w:p>
      <w:pPr>
        <w:spacing w:after="0" w:line="178"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i w:val="1"/>
          <w:iCs w:val="1"/>
          <w:color w:val="auto"/>
        </w:rPr>
        <w:t xml:space="preserve">Deucrictibant IR capsule. </w:t>
      </w:r>
      <w:r>
        <w:rPr>
          <w:rFonts w:ascii="Arial" w:cs="Arial" w:eastAsia="Arial" w:hAnsi="Arial"/>
          <w:sz w:val="16"/>
          <w:szCs w:val="16"/>
          <w:color w:val="auto"/>
        </w:rPr>
        <w:t>We believe that deucrictibant IR capsules, an on-demand, rapid exposure softgel capsule,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patients suffering from acute HAE attacks with the following benefits: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Efficacy</w:t>
            </w:r>
          </w:p>
        </w:tc>
        <w:tc>
          <w:tcPr>
            <w:tcW w:w="28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Faster onset of symptom relief</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Median time to onset of symptom resolution as measured by patient global impression of</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change (PGI-C) “a little better” of 1.28 hours versus over 12 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spacing w:after="0"/>
              <w:rPr>
                <w:sz w:val="14"/>
                <w:szCs w:val="14"/>
                <w:color w:val="auto"/>
              </w:rPr>
            </w:pP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End of Progression™ of 17.47 minutes versus 228.67 minutes for</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Shorter substantial symptom relief</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substantial symptom relief by PGI-C “better” of 2.85 hours versus over 12</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spacing w:after="0"/>
              <w:rPr>
                <w:sz w:val="14"/>
                <w:szCs w:val="14"/>
                <w:color w:val="auto"/>
              </w:rPr>
            </w:pP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substantial symptom relief by patient global impression of severity (PGI-</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 ≥1-level improvement of 2.41 hours versus over 12 hours for placebo</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Faster complete symptom resolution</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Median time to complete symptom resolution as measured by PGI-S “none” of 11.95</w:t>
            </w:r>
          </w:p>
        </w:tc>
      </w:tr>
      <w:tr>
        <w:trPr>
          <w:trHeight w:val="22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spacing w:after="0"/>
              <w:rPr>
                <w:sz w:val="19"/>
                <w:szCs w:val="19"/>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hours versus over 24 hours for placebo</w:t>
            </w:r>
          </w:p>
        </w:tc>
      </w:tr>
      <w:tr>
        <w:trPr>
          <w:trHeight w:val="152"/>
        </w:trPr>
        <w:tc>
          <w:tcPr>
            <w:tcW w:w="1760" w:type="dxa"/>
            <w:vAlign w:val="bottom"/>
            <w:tcBorders>
              <w:left w:val="single" w:sz="8" w:color="auto"/>
              <w:right w:val="single" w:sz="8" w:color="auto"/>
            </w:tcBorders>
          </w:tcPr>
          <w:p>
            <w:pPr>
              <w:ind w:left="120"/>
              <w:spacing w:after="0" w:line="152" w:lineRule="exact"/>
              <w:rPr>
                <w:sz w:val="20"/>
                <w:szCs w:val="20"/>
                <w:color w:val="auto"/>
              </w:rPr>
            </w:pPr>
            <w:r>
              <w:rPr>
                <w:rFonts w:ascii="Arial" w:cs="Arial" w:eastAsia="Arial" w:hAnsi="Arial"/>
                <w:sz w:val="16"/>
                <w:szCs w:val="16"/>
                <w:color w:val="auto"/>
              </w:rPr>
              <w:t>Safety/tolerability</w:t>
            </w:r>
          </w:p>
        </w:tc>
        <w:tc>
          <w:tcPr>
            <w:tcW w:w="28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Placebo-like safety/tolerability profile</w:t>
            </w:r>
          </w:p>
        </w:tc>
        <w:tc>
          <w:tcPr>
            <w:tcW w:w="6600" w:type="dxa"/>
            <w:vAlign w:val="bottom"/>
            <w:tcBorders>
              <w:right w:val="single" w:sz="8" w:color="auto"/>
            </w:tcBorders>
          </w:tcPr>
          <w:p>
            <w:pPr>
              <w:ind w:left="100"/>
              <w:spacing w:after="0" w:line="152" w:lineRule="exact"/>
              <w:rPr>
                <w:sz w:val="20"/>
                <w:szCs w:val="20"/>
                <w:color w:val="auto"/>
              </w:rPr>
            </w:pPr>
            <w:r>
              <w:rPr>
                <w:rFonts w:ascii="Arial" w:cs="Arial" w:eastAsia="Arial" w:hAnsi="Arial"/>
                <w:sz w:val="16"/>
                <w:szCs w:val="16"/>
                <w:color w:val="auto"/>
              </w:rPr>
              <w:t>No drug-related adverse events observed</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w:t>
            </w: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Well tolerated throughout therapeutic ranges as demonstrated by multiple clinical trials</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to-date</w:t>
            </w:r>
          </w:p>
        </w:tc>
      </w:tr>
      <w:tr>
        <w:trPr>
          <w:trHeight w:val="168"/>
        </w:trPr>
        <w:tc>
          <w:tcPr>
            <w:tcW w:w="176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Convenience</w:t>
            </w: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Oral capsule</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Easy to carry and swallow formulation with no injection required facilitates early</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treatment of acute AE-BK attacks</w:t>
            </w:r>
          </w:p>
        </w:tc>
      </w:tr>
      <w:tr>
        <w:trPr>
          <w:trHeight w:val="183"/>
        </w:trPr>
        <w:tc>
          <w:tcPr>
            <w:tcW w:w="1760" w:type="dxa"/>
            <w:vAlign w:val="bottom"/>
            <w:tcBorders>
              <w:left w:val="single" w:sz="8" w:color="auto"/>
              <w:bottom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Single dose resolution</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83% of all attacks completely resolved with a single dose</w:t>
            </w:r>
          </w:p>
        </w:tc>
      </w:tr>
      <w:tr>
        <w:trPr>
          <w:trHeight w:val="168"/>
        </w:trPr>
        <w:tc>
          <w:tcPr>
            <w:tcW w:w="176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color w:val="auto"/>
              </w:rPr>
              <w:t>MoA &amp; product</w:t>
            </w: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B2R antagonist</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Clinically validated mechanism that works directly on the inducer of AE attacks and</w:t>
            </w:r>
          </w:p>
        </w:tc>
      </w:tr>
      <w:tr>
        <w:trPr>
          <w:trHeight w:val="189"/>
        </w:trPr>
        <w:tc>
          <w:tcPr>
            <w:tcW w:w="1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features</w:t>
            </w:r>
          </w:p>
        </w:tc>
        <w:tc>
          <w:tcPr>
            <w:tcW w:w="2880" w:type="dxa"/>
            <w:vAlign w:val="bottom"/>
            <w:tcBorders>
              <w:right w:val="single" w:sz="8" w:color="auto"/>
            </w:tcBorders>
          </w:tcPr>
          <w:p>
            <w:pPr>
              <w:spacing w:after="0"/>
              <w:rPr>
                <w:sz w:val="16"/>
                <w:szCs w:val="16"/>
                <w:color w:val="auto"/>
              </w:rPr>
            </w:pP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therefore addresses a potentially wider patient population than agents acting upstream in</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 KKS pathway</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Treatment flexibility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Two formulations, each optimized for either treatment or prevention of angioedema</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attacks</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Potency</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More potent inhibitor than icatibant - Lowest dosage of any oral AE-BK on-demand</w:t>
            </w: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treatment</w:t>
            </w:r>
          </w:p>
        </w:tc>
      </w:tr>
      <w:tr>
        <w:trPr>
          <w:trHeight w:val="183"/>
        </w:trPr>
        <w:tc>
          <w:tcPr>
            <w:tcW w:w="1760" w:type="dxa"/>
            <w:vAlign w:val="bottom"/>
            <w:tcBorders>
              <w:left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Half-life</w:t>
            </w:r>
          </w:p>
        </w:tc>
        <w:tc>
          <w:tcPr>
            <w:tcW w:w="660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Longer half-life than icatibant</w:t>
            </w:r>
          </w:p>
        </w:tc>
      </w:tr>
      <w:tr>
        <w:trPr>
          <w:trHeight w:val="168"/>
        </w:trPr>
        <w:tc>
          <w:tcPr>
            <w:tcW w:w="1760" w:type="dxa"/>
            <w:vAlign w:val="bottom"/>
            <w:tcBorders>
              <w:left w:val="single" w:sz="8" w:color="auto"/>
              <w:right w:val="single" w:sz="8" w:color="auto"/>
            </w:tcBorders>
          </w:tcPr>
          <w:p>
            <w:pPr>
              <w:spacing w:after="0"/>
              <w:rPr>
                <w:sz w:val="14"/>
                <w:szCs w:val="14"/>
                <w:color w:val="auto"/>
              </w:rPr>
            </w:pPr>
          </w:p>
        </w:tc>
        <w:tc>
          <w:tcPr>
            <w:tcW w:w="28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Absorption</w:t>
            </w:r>
          </w:p>
        </w:tc>
        <w:tc>
          <w:tcPr>
            <w:tcW w:w="660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6"/>
                <w:szCs w:val="16"/>
                <w:color w:val="auto"/>
              </w:rPr>
              <w:t>Exposure exceeds the anticipated threshold therapeutic plasma level (EC85) in 30</w:t>
            </w:r>
          </w:p>
        </w:tc>
      </w:tr>
      <w:tr>
        <w:trPr>
          <w:trHeight w:val="203"/>
        </w:trPr>
        <w:tc>
          <w:tcPr>
            <w:tcW w:w="1760" w:type="dxa"/>
            <w:vAlign w:val="bottom"/>
            <w:tcBorders>
              <w:left w:val="single" w:sz="8" w:color="auto"/>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minutes, with or without food</w:t>
            </w:r>
          </w:p>
        </w:tc>
      </w:tr>
    </w:tbl>
    <w:p>
      <w:pPr>
        <w:spacing w:after="0" w:line="242" w:lineRule="exact"/>
        <w:rPr>
          <w:sz w:val="20"/>
          <w:szCs w:val="20"/>
          <w:color w:val="auto"/>
        </w:rPr>
      </w:pPr>
    </w:p>
    <w:p>
      <w:pPr>
        <w:ind w:right="240" w:firstLine="464"/>
        <w:spacing w:after="0" w:line="286" w:lineRule="auto"/>
        <w:rPr>
          <w:sz w:val="20"/>
          <w:szCs w:val="20"/>
          <w:color w:val="auto"/>
        </w:rPr>
      </w:pPr>
      <w:r>
        <w:rPr>
          <w:rFonts w:ascii="Arial" w:cs="Arial" w:eastAsia="Arial" w:hAnsi="Arial"/>
          <w:sz w:val="16"/>
          <w:szCs w:val="16"/>
          <w:i w:val="1"/>
          <w:iCs w:val="1"/>
          <w:color w:val="auto"/>
        </w:rPr>
        <w:t>Deucrictibant XR tablet</w:t>
      </w:r>
      <w:r>
        <w:rPr>
          <w:rFonts w:ascii="Arial" w:cs="Arial" w:eastAsia="Arial" w:hAnsi="Arial"/>
          <w:sz w:val="16"/>
          <w:szCs w:val="16"/>
          <w:color w:val="auto"/>
        </w:rPr>
        <w:t>. We believe that deucrictibant XR tablets, a prophylactic extended-release tablet designed to be as a daily oral therapy,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potential to be highly differentiated for HAE patients with the following benefits: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7</w:t>
      </w: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80645</wp:posOffset>
            </wp:positionV>
            <wp:extent cx="5254625" cy="1894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546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Lifecycle Management of Deucrictibant</w:t>
      </w:r>
    </w:p>
    <w:p>
      <w:pPr>
        <w:spacing w:after="0" w:line="327" w:lineRule="exact"/>
        <w:rPr>
          <w:sz w:val="20"/>
          <w:szCs w:val="20"/>
          <w:color w:val="auto"/>
        </w:rPr>
      </w:pPr>
    </w:p>
    <w:p>
      <w:pPr>
        <w:ind w:left="240" w:firstLine="520"/>
        <w:spacing w:after="0" w:line="259" w:lineRule="auto"/>
        <w:rPr>
          <w:sz w:val="20"/>
          <w:szCs w:val="20"/>
          <w:color w:val="auto"/>
        </w:rPr>
      </w:pPr>
      <w:r>
        <w:rPr>
          <w:rFonts w:ascii="Arial" w:cs="Arial" w:eastAsia="Arial" w:hAnsi="Arial"/>
          <w:sz w:val="16"/>
          <w:szCs w:val="16"/>
          <w:color w:val="auto"/>
        </w:rPr>
        <w:t>In June 2025, we shared initial exploratory data around the potential expansion of the treatable population for deucrictibant. Using a biomarker assay of cold-activated plasma samples of people with HAE-1/2, as well as AAE-C1INH and HAE with normal C1INH (HAE-nC1INH), and angioedema of unknown cause (AE-UNK). The data from this biomarker study demonstrate our ability to identify people living with bradykinin-mediated angioedema, potentially expanding the treatable population of deucrictibant.</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219"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Our goal is to expand our portfolio with additional programs addressing other bradykinin-mediated diseases, building on our strategic strength and expertise in the bradykinin B2 receptor pathway. Our approach is to identify additional disease areas and indications with strong scientific rationale, high unmet medical need, a defined target population and significant differentiation potential. In collaboration and discussion with key opinion leaders, we are considering exploratory proof-of-concept studies to validate the potential of bradykinin B2 receptor antagonism in new indications that could include cardiovascular, allergy and immunology and others.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302" w:lineRule="exact"/>
        <w:rPr>
          <w:sz w:val="20"/>
          <w:szCs w:val="20"/>
          <w:color w:val="auto"/>
        </w:rPr>
      </w:pPr>
    </w:p>
    <w:p>
      <w:pPr>
        <w:jc w:val="both"/>
        <w:ind w:left="1020" w:right="380" w:hanging="503"/>
        <w:spacing w:after="0" w:line="266"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 B2 receptor pathway. Members of the management team include the leadership team that developed FIRAZYR through European approval, and a key member from the TAKHZYRO development team. In addition, an inventor of icatibant is an advisor to the CEO;</w:t>
      </w:r>
    </w:p>
    <w:p>
      <w:pPr>
        <w:spacing w:after="0" w:line="62"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AE-BK;</w:t>
      </w:r>
    </w:p>
    <w:p>
      <w:pPr>
        <w:spacing w:after="0" w:line="48"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Positive RAPIDe-3 pivotal Phase 3 data clearly differentiate deucrictibant in the on-demand space by achieving statistical significance in the primary endpoint and all 11 secondary efficacy endpoints; faster time to onset of treatment response, shorter median time to substantial relief, earlier complete symptom resolution, and decreased use of second dose or rescue medication position deucrictibant IR to potentially become standard of care for on-demand treatment; RAPIDe-3 data will be the basis of our future marketing authorization applications;</w:t>
      </w:r>
    </w:p>
    <w:p>
      <w:pPr>
        <w:spacing w:after="0" w:line="69" w:lineRule="exact"/>
        <w:rPr>
          <w:rFonts w:ascii="Times New Roman" w:cs="Times New Roman" w:eastAsia="Times New Roman" w:hAnsi="Times New Roman"/>
          <w:sz w:val="16"/>
          <w:szCs w:val="16"/>
          <w:color w:val="auto"/>
        </w:rPr>
      </w:pPr>
    </w:p>
    <w:p>
      <w:pPr>
        <w:ind w:left="1020" w:right="440" w:hanging="503"/>
        <w:spacing w:after="0" w:line="266"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Derisked prophylactic program is supported by (1) positive CHAPTER-1 Phase 2 proof-of-concept data demonstrating injectable-like efficacy™, placebo-like tolerability, oral convenience, and improved quality of life; (2) optimized PK profile using XR formulation; and (3) demonstrated clinical excellence of Phase 2 to Phase 3 replicability seen in RAPIDe-1 and RAPIDe-3;</w:t>
      </w:r>
    </w:p>
    <w:p>
      <w:pPr>
        <w:spacing w:after="0" w:line="62" w:lineRule="exact"/>
        <w:rPr>
          <w:rFonts w:ascii="Times New Roman" w:cs="Times New Roman" w:eastAsia="Times New Roman" w:hAnsi="Times New Roman"/>
          <w:sz w:val="16"/>
          <w:szCs w:val="16"/>
          <w:color w:val="auto"/>
        </w:rPr>
      </w:pPr>
    </w:p>
    <w:p>
      <w:pPr>
        <w:ind w:left="1020" w:right="260" w:hanging="503"/>
        <w:spacing w:after="0" w:line="266"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issued, allowed and pending patent applications – covering deucrictibant and additional molecules, formulations and use. Our scientific experience allows us to leverage deep insight and experience in the bradykinin B2 receptor pathway to expand our portfolio into other bradykinin-mediated angioedema and bradykinin-mediated diseases beyond angioedema; and</w:t>
      </w:r>
    </w:p>
    <w:p>
      <w:pPr>
        <w:spacing w:after="0" w:line="62"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deep market expertise across the different functional areas of the company through the hiring of research, clinical development, medical and commercial staff with a long history in HAE.</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Strategy</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AE-BK is based upon extensive patient, physician, and payer research to identify the key needs in the market. According to our analysis, oral therapy remains the highest unmet need for both on-demand and prophylactic</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use in AE-BK. A therapy for AE-BK, whether for on-demand or prophylaxis, needs to offer strong efficacy, compelling tolerability and safety, and convenient administration. Our intention with the IR capsule formulation and the XR tablet formulation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1020" w:right="100" w:hanging="503"/>
        <w:spacing w:after="0" w:line="258"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Seek approval and access for deucrictibant for on-demand treatment of HAE utilizing a rapid-onset formulation, known as deucrictibant immediate-release (IR) capsules. </w:t>
      </w:r>
      <w:r>
        <w:rPr>
          <w:rFonts w:ascii="Arial" w:cs="Arial" w:eastAsia="Arial" w:hAnsi="Arial"/>
          <w:sz w:val="16"/>
          <w:szCs w:val="16"/>
          <w:color w:val="auto"/>
        </w:rPr>
        <w:t>We intend to file for approval and commercialize deucrictibant IR capsules as a fast-acting, orally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potent inhibitor and selective on-demand treatment for HAE attacks. We recently announced positive, pivotal topline data from RAPIDe-3, a global, pivotal Phase 3 clinical study of deucrictibant IR capsules for the on-demand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1020" w:right="40" w:hanging="503"/>
        <w:spacing w:after="0" w:line="25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deucrictibant extended-release (XR) tablets</w:t>
      </w:r>
      <w:r>
        <w:rPr>
          <w:rFonts w:ascii="Arial" w:cs="Arial" w:eastAsia="Arial" w:hAnsi="Arial"/>
          <w:sz w:val="16"/>
          <w:szCs w:val="16"/>
          <w:color w:val="auto"/>
        </w:rPr>
        <w:t>. We intend to advance deucrictibant XR tablets through clinical development as an extended-release</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treatment of HAE. We plan to leverage our clinical data and experience from the development of deucrictibant in the on-demand setting to expedite our efforts in the prophylactic setting. We are currently enrolling approximately 81 participants in CHAPTER-3, a global, pivotal Phase 3 clinical study of deucrictibant XR tablets for the prophylactic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deucrictibant can be applied. </w:t>
      </w:r>
      <w:r>
        <w:rPr>
          <w:rFonts w:ascii="Arial" w:cs="Arial" w:eastAsia="Arial" w:hAnsi="Arial"/>
          <w:sz w:val="16"/>
          <w:szCs w:val="16"/>
          <w:color w:val="auto"/>
        </w:rPr>
        <w:t>In addition to Type 1 or Type 2 HAE,</w:t>
      </w:r>
      <w:r>
        <w:rPr>
          <w:rFonts w:ascii="Arial" w:cs="Arial" w:eastAsia="Arial" w:hAnsi="Arial"/>
          <w:sz w:val="16"/>
          <w:szCs w:val="16"/>
          <w:i w:val="1"/>
          <w:iCs w:val="1"/>
          <w:color w:val="auto"/>
        </w:rPr>
        <w:t xml:space="preserve"> </w:t>
      </w:r>
      <w:r>
        <w:rPr>
          <w:rFonts w:ascii="Arial" w:cs="Arial" w:eastAsia="Arial" w:hAnsi="Arial"/>
          <w:sz w:val="16"/>
          <w:szCs w:val="16"/>
          <w:color w:val="auto"/>
        </w:rPr>
        <w:t>bradykinin is also an important mediator for other types of non-histaminergic angioedema, such as: hereditary angioedema with normal C1INH (HAE-nC1) and acquired angioedema (AAE) due to C1INH deficiency (AAE-C1INH). We included participants with HAE-nC1 in both RAPIDe-3 and CHAPTER-3 studies, enabling us to explore the efficacy and tolerability of deucrictibant in this population. Additionally, we initiated CREAATE, a clinical study to evaluate the efficacy and safety of deucrictibant for the prevention and treatment of AAE-C1INH.</w:t>
      </w:r>
    </w:p>
    <w:p>
      <w:pPr>
        <w:spacing w:after="0" w:line="70" w:lineRule="exact"/>
        <w:rPr>
          <w:rFonts w:ascii="Times New Roman" w:cs="Times New Roman" w:eastAsia="Times New Roman" w:hAnsi="Times New Roman"/>
          <w:sz w:val="16"/>
          <w:szCs w:val="16"/>
          <w:color w:val="auto"/>
        </w:rPr>
      </w:pPr>
    </w:p>
    <w:p>
      <w:pPr>
        <w:ind w:left="1020" w:right="20" w:hanging="503"/>
        <w:spacing w:after="0" w:line="256"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 B2 receptor pathway</w:t>
      </w:r>
      <w:r>
        <w:rPr>
          <w:rFonts w:ascii="Arial" w:cs="Arial" w:eastAsia="Arial" w:hAnsi="Arial"/>
          <w:sz w:val="16"/>
          <w:szCs w:val="16"/>
          <w:color w:val="auto"/>
        </w:rPr>
        <w:t>. We intend to leverage the strategic strengths, insight, and deep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team in the bradykinin B2 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bradykinin-mediated diseases beyond angioedema, such as cardiovascular, allergy and immunology, neurological disease or others.</w:t>
      </w:r>
    </w:p>
    <w:p>
      <w:pPr>
        <w:spacing w:after="0" w:line="70" w:lineRule="exact"/>
        <w:rPr>
          <w:rFonts w:ascii="Times New Roman" w:cs="Times New Roman" w:eastAsia="Times New Roman" w:hAnsi="Times New Roman"/>
          <w:sz w:val="16"/>
          <w:szCs w:val="16"/>
          <w:color w:val="auto"/>
        </w:rPr>
      </w:pPr>
    </w:p>
    <w:p>
      <w:pPr>
        <w:ind w:left="1020" w:right="140" w:hanging="503"/>
        <w:spacing w:after="0" w:line="259"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we expect to independently commercialize both deucrictibant XR and deucrictibant IR in the United States. In other geographies, we are evaluating both independent commercialization and corporate partnerships. In 2026, we intend to file for approval of deucrictibant IR, and establish a focused commercialization and sales infrastructure suitable for AE-BK in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Bradykinin-Mediated Angioedema</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Bradykinin-mediated angioedema (AE-BK) is a rare and potentially life-threatening condition. AE-BK includes HAE and AAE-C1INH.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C1-inhibitor protein (C1INH). Deficiency or malfunction of C1INH leads to uncontrolled synthesis and activity of plasma kallikrein and unconstrained bradykinin production. Excessive bradykinin production is the key mediator of symptoms in patients with AE-BK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(HAE-nC1INH), can occur in patients with normal levels of C1INH for a variety of reasons including mutations in genes for Factor XIIa, plasminogen, angiopoietin-1, kininogen-1 and others. Moreover, angioedema attacks may occur in people with underlying disease, referred to as AAE-nC1INH.</w:t>
      </w:r>
    </w:p>
    <w:p>
      <w:pPr>
        <w:spacing w:after="0" w:line="18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Excessive bradykinin generation and increased risks for edema attacks in AE-BK may occur during conditions associated with inflammation, infections, ischemia, and allergic reactions. Attacks often lead to discomfort, pain and nausea but can become life-threatening in the case of airway obstruction, with a 30% risk of asphyxiation if the attack remains untreated. Although rare, at least half of AE-BK patients have experienced a life-threatening airway swelling attack and airway attacks remain a major cause of mortality in AE_BK patients.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Swelling typically develops over 24 hours and resolves within five days without treatment. Symptoms typically first present in young children and may take 5-10 years (until early adolescence or young adulthood) to be diagnosed. HAE-C1INH affects 1:50,000 individuals globally, HAE-nC1INH affects 1:250,000 individuals globally, and AAE-C1INH affects 1:500,000 individuals globally.</w:t>
      </w:r>
    </w:p>
    <w:p>
      <w:pPr>
        <w:spacing w:after="0" w:line="189"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As a result of the lifelong nature of HAE, the severe attack burden occurring later and/or at distinct periods in the life of AAE-C1INH patients and the challenges related to the use of many of the injected therapies, patient surveys consistently indicate a desire for an oral</w:t>
      </w:r>
    </w:p>
    <w:p>
      <w:pPr>
        <w:sectPr>
          <w:pgSz w:w="11900" w:h="16838" w:orient="portrait"/>
          <w:cols w:equalWidth="0" w:num="1">
            <w:col w:w="11200"/>
          </w:cols>
          <w:pgMar w:left="320" w:top="773" w:right="37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therapy. We believe that an effective and tolerable oral agent has the potential to transform treatment for this disease and become standard of care for both prophylaxis and on-demand therapy.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There are currently two treatment approaches to the management of HAE: prevention of attacks (prophylaxis) and on-demand (acute) treatment of attacks.</w:t>
      </w:r>
    </w:p>
    <w:p>
      <w:pPr>
        <w:spacing w:after="0" w:line="48" w:lineRule="exact"/>
        <w:rPr>
          <w:sz w:val="20"/>
          <w:szCs w:val="20"/>
          <w:color w:val="auto"/>
        </w:rPr>
      </w:pPr>
    </w:p>
    <w:p>
      <w:pPr>
        <w:ind w:left="1020" w:hanging="503"/>
        <w:spacing w:after="0" w:line="259" w:lineRule="auto"/>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Currently approved on-demand therapies for HAE include C1INH replacement products such as human plasma-derived C1INH concentrates (BERINERT, CINRYZE, and CETOR) or recombinant human C1INH (RUCONEST); the plasma kallikrein inhibitor ecallantide (KALBITOR); the bradykinin B2 receptor antagonist icatibant (FIRAZYR, and available as a generic product—which is currently the most widely used therapy); and the oral kallikrein inhibitor sebetralstat (EKTERLY).</w:t>
      </w:r>
    </w:p>
    <w:p>
      <w:pPr>
        <w:spacing w:after="0" w:line="69" w:lineRule="exact"/>
        <w:rPr>
          <w:rFonts w:ascii="Times New Roman" w:cs="Times New Roman" w:eastAsia="Times New Roman" w:hAnsi="Times New Roman"/>
          <w:sz w:val="16"/>
          <w:szCs w:val="16"/>
          <w:color w:val="auto"/>
        </w:rPr>
      </w:pPr>
    </w:p>
    <w:p>
      <w:pPr>
        <w:ind w:left="1020" w:right="60" w:hanging="503"/>
        <w:spacing w:after="0" w:line="256" w:lineRule="auto"/>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bi-weekly injectable monoclonal antibody plasma kallikrein inhibitor lanadelumab-flyo (TAKHZYRO)—current market leader; the oral small-molecule plasma kallikrein inhibitor berotralstat (ORLADEYO); the once-monthly injectable monoclonal antibody Factor XII inhibitor garadacimab-gxii (ANDEMBRY); and the once-monthly injectable plasma kallikrein inhibitor donidalorsen (DAWNZERA).</w:t>
      </w:r>
    </w:p>
    <w:p>
      <w:pPr>
        <w:spacing w:after="0" w:line="7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Acquired Angioedema: </w:t>
      </w:r>
      <w:r>
        <w:rPr>
          <w:rFonts w:ascii="Arial" w:cs="Arial" w:eastAsia="Arial" w:hAnsi="Arial"/>
          <w:sz w:val="16"/>
          <w:szCs w:val="16"/>
          <w:color w:val="auto"/>
        </w:rPr>
        <w:t>There are currently no approved therapies for the treatment of AAE-C1INH.</w:t>
      </w:r>
    </w:p>
    <w:p>
      <w:pPr>
        <w:spacing w:after="0" w:line="247"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Building on the trusted mechanism of bradykinin B2 receptor antagonism, established through 10+ years of icatibant real-world clinical practice, and unmet need from the AE-BK community, we believe that deucrictibant could become standard of care across both prophylaxis and on-demand treatment of AE-BK attacks.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Since the 1990s, many companies have tried but failed to discover oral bradykinin B2 receptor antagonists, as the bradykinin B2 receptor has proved to be a difficult target for the development of orally available antagonists. Bradykinin is the principal mediator of the signs and symptoms that represent AE-BK attacks, acting as a potent and selective agonist of the bradykinin B2 receptor.</w:t>
      </w:r>
    </w:p>
    <w:p>
      <w:pPr>
        <w:spacing w:after="0" w:line="1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AE-BK,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 B2 receptor in vascular endothelium cells, leading to plasma extravasation and subcutaneous or submucosal tissue swelling typical of an angioedema attack.</w:t>
      </w:r>
    </w:p>
    <w:p>
      <w:pPr>
        <w:spacing w:after="0" w:line="178"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As the figure below illustrates, treatment with deucrictibant, a novel, orally-bioavailable, highly potent and selective bradykinin B2 receptor antagonist is intended to block activation of the bradykinin B2 receptor by bradykinin, and, therefore, prevent or halt the angioedema process. Deucrictibant has the therapeutic potential for both prevention and on-demand treatment of attacks in people with AE-BK.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117475</wp:posOffset>
            </wp:positionV>
            <wp:extent cx="6129020" cy="1868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902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Deucrictibant is an orally bioavailable competitive antagonist of the bradykinin B2 receptor with high affinity and high antagonist potency. Deucrictibant has been observed to be a potent inhibitor in vitro as assessed using human recombinant bradykinin B2 receptors (150 pM); ex vivo as studied against endogenous bradykinin B2 receptors in a human umbilical vein model (350 pM); and in vivo in the human bradykinin-challenge model (170 pM).</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six months in rats and up to nine months in non-human primates.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genotoxicity nor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phototoxic potential. No findings considered relevant to humans were observed in GLP (Good Laboratory Practices)-compliant general toxicity studies in rats up to 3-months duration and in cynomolgus monkeys up to 9-months duration at doses up to the maximum tolerated dose in each species. Deucrictibant has not demonstrated any adverse effects on embryo-fetal survival and development in the humanized bradykinin B2 receptor transgenic rat or in the rabbit. Furthermore, male and female fertility studies showed no adverse effects of deucrictibant on gonadal function, mating behavior, and reproductive performance.</w:t>
      </w:r>
    </w:p>
    <w:p>
      <w:pPr>
        <w:spacing w:after="0" w:line="181" w:lineRule="exact"/>
        <w:rPr>
          <w:sz w:val="20"/>
          <w:szCs w:val="20"/>
          <w:color w:val="auto"/>
        </w:rPr>
      </w:pPr>
    </w:p>
    <w:p>
      <w:pPr>
        <w:ind w:right="100" w:firstLine="503"/>
        <w:spacing w:after="0" w:line="254"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 B2 receptor antagonism. Based on review of these nonclinical findings, in 2022, the FDA put a clinical hold on trials of deucrictibant in the U.S. Pharvaris aligned with the FDA to conduct and complete a 26-week rodent toxicology study to address the clinical holds. Following review of data from a preplanned interim analysis of the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ectPr>
          <w:pgSz w:w="11900" w:h="16838" w:orient="portrait"/>
          <w:cols w:equalWidth="0" w:num="1">
            <w:col w:w="11200"/>
          </w:cols>
          <w:pgMar w:left="320" w:top="773" w:right="379" w:bottom="1440"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6"/>
                <w:szCs w:val="16"/>
                <w:color w:val="auto"/>
              </w:rPr>
            </w:pPr>
          </w:p>
        </w:tc>
        <w:tc>
          <w:tcPr>
            <w:tcW w:w="27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Short Description</w:t>
            </w:r>
          </w:p>
        </w:tc>
        <w:tc>
          <w:tcPr>
            <w:tcW w:w="0" w:type="dxa"/>
            <w:vAlign w:val="bottom"/>
          </w:tcPr>
          <w:p>
            <w:pPr>
              <w:spacing w:after="0"/>
              <w:rPr>
                <w:sz w:val="1"/>
                <w:szCs w:val="1"/>
                <w:color w:val="auto"/>
              </w:rPr>
            </w:pPr>
          </w:p>
        </w:tc>
      </w:tr>
      <w:tr>
        <w:trPr>
          <w:trHeight w:val="168"/>
        </w:trPr>
        <w:tc>
          <w:tcPr>
            <w:tcW w:w="1380" w:type="dxa"/>
            <w:vAlign w:val="bottom"/>
          </w:tcPr>
          <w:p>
            <w:pPr>
              <w:spacing w:after="0" w:line="168"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Single ascending dose (SAD)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and bradykinin challenge/SAD-proof</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of mechanism (POM)</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SAD extension</w:t>
            </w:r>
          </w:p>
        </w:tc>
        <w:tc>
          <w:tcPr>
            <w:tcW w:w="0" w:type="dxa"/>
            <w:vAlign w:val="bottom"/>
          </w:tcPr>
          <w:p>
            <w:pPr>
              <w:spacing w:after="0"/>
              <w:rPr>
                <w:sz w:val="1"/>
                <w:szCs w:val="1"/>
                <w:color w:val="auto"/>
              </w:rPr>
            </w:pPr>
          </w:p>
        </w:tc>
      </w:tr>
      <w:tr>
        <w:trPr>
          <w:trHeight w:val="352"/>
        </w:trPr>
        <w:tc>
          <w:tcPr>
            <w:tcW w:w="1380" w:type="dxa"/>
            <w:vAlign w:val="bottom"/>
          </w:tcPr>
          <w:p>
            <w:pPr>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Absorption, metabolism, 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excretion (mass balance)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Drug-drug interaction (DDI)—</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CYP3A4 inhibitor (itraconazole)</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interaction</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DDI—CYP interaction (cocktail)</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C006</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Multiple ascending dose (MAD)</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C009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Japanese PK bridging</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0"/>
                <w:szCs w:val="20"/>
                <w:color w:val="auto"/>
              </w:rPr>
            </w:pPr>
            <w:r>
              <w:rPr>
                <w:rFonts w:ascii="Arial" w:cs="Arial" w:eastAsia="Arial" w:hAnsi="Arial"/>
                <w:sz w:val="16"/>
                <w:szCs w:val="16"/>
                <w:color w:val="auto"/>
              </w:rPr>
              <w:t>C010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Exploratory XR PK bridging</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C012</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Hepatic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Renal impairment</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C014</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DDI Rabeprazole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Confirmatory XR PK</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0"/>
                <w:szCs w:val="20"/>
                <w:color w:val="auto"/>
              </w:rPr>
            </w:pPr>
            <w:r>
              <w:rPr>
                <w:rFonts w:ascii="Arial" w:cs="Arial" w:eastAsia="Arial" w:hAnsi="Arial"/>
                <w:sz w:val="16"/>
                <w:szCs w:val="16"/>
                <w:color w:val="auto"/>
              </w:rPr>
              <w:t>C016</w:t>
            </w:r>
          </w:p>
        </w:tc>
        <w:tc>
          <w:tcPr>
            <w:tcW w:w="12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DDI CYP3A4</w:t>
            </w:r>
          </w:p>
        </w:tc>
        <w:tc>
          <w:tcPr>
            <w:tcW w:w="0" w:type="dxa"/>
            <w:vAlign w:val="bottom"/>
          </w:tcPr>
          <w:p>
            <w:pPr>
              <w:spacing w:after="0"/>
              <w:rPr>
                <w:sz w:val="1"/>
                <w:szCs w:val="1"/>
                <w:color w:val="auto"/>
              </w:rPr>
            </w:pPr>
          </w:p>
        </w:tc>
      </w:tr>
      <w:tr>
        <w:trPr>
          <w:trHeight w:val="756"/>
        </w:trPr>
        <w:tc>
          <w:tcPr>
            <w:tcW w:w="1380" w:type="dxa"/>
            <w:vAlign w:val="bottom"/>
          </w:tcPr>
          <w:p>
            <w:pPr>
              <w:spacing w:after="0"/>
              <w:rPr>
                <w:sz w:val="20"/>
                <w:szCs w:val="20"/>
                <w:color w:val="auto"/>
              </w:rPr>
            </w:pPr>
            <w:r>
              <w:rPr>
                <w:rFonts w:ascii="Arial" w:cs="Arial" w:eastAsia="Arial" w:hAnsi="Arial"/>
                <w:sz w:val="16"/>
                <w:szCs w:val="16"/>
                <w:color w:val="auto"/>
              </w:rPr>
              <w:t>C017</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 digoxin and rosuvastatin</w:t>
            </w:r>
          </w:p>
        </w:tc>
        <w:tc>
          <w:tcPr>
            <w:tcW w:w="0" w:type="dxa"/>
            <w:vAlign w:val="bottom"/>
          </w:tcPr>
          <w:p>
            <w:pPr>
              <w:spacing w:after="0"/>
              <w:rPr>
                <w:sz w:val="1"/>
                <w:szCs w:val="1"/>
                <w:color w:val="auto"/>
              </w:rPr>
            </w:pPr>
          </w:p>
        </w:tc>
      </w:tr>
      <w:tr>
        <w:trPr>
          <w:trHeight w:val="473"/>
        </w:trPr>
        <w:tc>
          <w:tcPr>
            <w:tcW w:w="1380" w:type="dxa"/>
            <w:vAlign w:val="bottom"/>
          </w:tcPr>
          <w:p>
            <w:pPr>
              <w:spacing w:after="0"/>
              <w:rPr>
                <w:sz w:val="20"/>
                <w:szCs w:val="20"/>
                <w:color w:val="auto"/>
              </w:rPr>
            </w:pPr>
            <w:r>
              <w:rPr>
                <w:rFonts w:ascii="Arial" w:cs="Arial" w:eastAsia="Arial" w:hAnsi="Arial"/>
                <w:sz w:val="16"/>
                <w:szCs w:val="16"/>
                <w:color w:val="auto"/>
              </w:rPr>
              <w:t>C018</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Food Effect</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Arial" w:cs="Arial" w:eastAsia="Arial" w:hAnsi="Arial"/>
                <w:sz w:val="16"/>
                <w:szCs w:val="16"/>
                <w:color w:val="auto"/>
              </w:rPr>
              <w:t>C019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multi-ethnicity study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522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7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34"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 dose 14 C-deucrictibant to characterize the absorption,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metabolism, and excretion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Randomized, double-blind, placebo-controlled, multiple ascending doses to assess safety and different doses</w:t>
      </w:r>
    </w:p>
    <w:p>
      <w:pPr>
        <w:spacing w:after="0" w:line="3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1" w:lineRule="exact"/>
        <w:rPr>
          <w:sz w:val="20"/>
          <w:szCs w:val="20"/>
          <w:color w:val="auto"/>
        </w:rPr>
      </w:pPr>
    </w:p>
    <w:p>
      <w:pPr>
        <w:ind w:right="540"/>
        <w:spacing w:after="0" w:line="246"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Open-label, drug interaction study to investigate the effect of multiple doses of the gastric acid-reducing agent rabeprazole on the single dose pharmacokinetics of extended-release tablet.</w:t>
      </w:r>
    </w:p>
    <w:p>
      <w:pPr>
        <w:spacing w:after="0" w:line="1"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Open-label, single-sequence, drug-drug interaction study to evaluate the effect of multiple oral doses of the moderate CYP3A4 inhibitor verapamil on the single dose PK deucrictibant</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Open-label, drug interaction study to investigate the effect of the extended-release tablet administered once daily on the</w:t>
      </w:r>
    </w:p>
    <w:p>
      <w:pPr>
        <w:spacing w:after="0" w:line="1" w:lineRule="exact"/>
        <w:rPr>
          <w:sz w:val="20"/>
          <w:szCs w:val="20"/>
          <w:color w:val="auto"/>
        </w:rPr>
      </w:pPr>
    </w:p>
    <w:p>
      <w:pPr>
        <w:ind w:right="1060"/>
        <w:spacing w:after="0" w:line="246" w:lineRule="auto"/>
        <w:rPr>
          <w:sz w:val="20"/>
          <w:szCs w:val="20"/>
          <w:color w:val="auto"/>
        </w:rPr>
      </w:pPr>
      <w:r>
        <w:rPr>
          <w:rFonts w:ascii="Arial" w:cs="Arial" w:eastAsia="Arial" w:hAnsi="Arial"/>
          <w:sz w:val="16"/>
          <w:szCs w:val="16"/>
          <w:color w:val="auto"/>
        </w:rPr>
        <w:t>pharmacokinetics of the P-gp substrate digoxin and the BCRP substrate rosuvastatin, administered as a drug cocktail Open-label, randomized, two-period, two-way</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cross-over study to assess the influence of a high-calorie, high-fat meal on the bioavailability of extended-release formulation</w:t>
      </w:r>
    </w:p>
    <w:p>
      <w:pPr>
        <w:spacing w:after="0" w:line="5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wp:posOffset>
            </wp:positionV>
            <wp:extent cx="78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ind w:right="200"/>
        <w:spacing w:after="0" w:line="533" w:lineRule="auto"/>
        <w:rPr>
          <w:sz w:val="20"/>
          <w:szCs w:val="20"/>
          <w:color w:val="auto"/>
        </w:rPr>
      </w:pPr>
      <w:r>
        <w:rPr>
          <w:rFonts w:ascii="Arial" w:cs="Arial" w:eastAsia="Arial" w:hAnsi="Arial"/>
          <w:sz w:val="16"/>
          <w:szCs w:val="16"/>
          <w:color w:val="auto"/>
        </w:rPr>
        <w:t>Completed Completed</w:t>
      </w:r>
    </w:p>
    <w:p>
      <w:pPr>
        <w:spacing w:after="0" w:line="12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Ongoing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Ongoing</w:t>
      </w:r>
    </w:p>
    <w:p>
      <w:pPr>
        <w:spacing w:after="0" w:line="549" w:lineRule="exact"/>
        <w:rPr>
          <w:sz w:val="20"/>
          <w:szCs w:val="20"/>
          <w:color w:val="auto"/>
        </w:rPr>
      </w:pPr>
    </w:p>
    <w:p>
      <w:pPr>
        <w:sectPr>
          <w:pgSz w:w="11900" w:h="16838" w:orient="portrait"/>
          <w:cols w:equalWidth="0" w:num="3">
            <w:col w:w="4220" w:space="120"/>
            <w:col w:w="5500" w:space="380"/>
            <w:col w:w="980"/>
          </w:cols>
          <w:pgMar w:left="320" w:top="773" w:right="379" w:bottom="1440" w:gutter="0" w:footer="0" w:header="0"/>
          <w:type w:val="continuous"/>
        </w:sect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20"/>
                <w:szCs w:val="20"/>
                <w:color w:val="auto"/>
              </w:rPr>
            </w:pPr>
            <w:r>
              <w:rPr>
                <w:rFonts w:ascii="Arial" w:cs="Arial" w:eastAsia="Arial" w:hAnsi="Arial"/>
                <w:sz w:val="16"/>
                <w:szCs w:val="16"/>
                <w:color w:val="auto"/>
              </w:rPr>
              <w:t>C020</w:t>
            </w:r>
          </w:p>
        </w:tc>
        <w:tc>
          <w:tcPr>
            <w:tcW w:w="2960" w:type="dxa"/>
            <w:vAlign w:val="bottom"/>
          </w:tcPr>
          <w:p>
            <w:pPr>
              <w:ind w:left="300"/>
              <w:spacing w:after="0"/>
              <w:rPr>
                <w:sz w:val="20"/>
                <w:szCs w:val="20"/>
                <w:color w:val="auto"/>
              </w:rPr>
            </w:pPr>
            <w:r>
              <w:rPr>
                <w:rFonts w:ascii="Arial" w:cs="Arial" w:eastAsia="Arial" w:hAnsi="Arial"/>
                <w:sz w:val="16"/>
                <w:szCs w:val="16"/>
                <w:color w:val="auto"/>
              </w:rPr>
              <w:t>Biovailability study</w:t>
            </w: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0"/>
                <w:szCs w:val="20"/>
                <w:color w:val="auto"/>
              </w:rPr>
            </w:pPr>
            <w:r>
              <w:rPr>
                <w:rFonts w:ascii="Arial" w:cs="Arial" w:eastAsia="Arial" w:hAnsi="Arial"/>
                <w:sz w:val="16"/>
                <w:szCs w:val="16"/>
                <w:color w:val="auto"/>
              </w:rPr>
              <w:t>C021</w:t>
            </w:r>
          </w:p>
        </w:tc>
        <w:tc>
          <w:tcPr>
            <w:tcW w:w="2960" w:type="dxa"/>
            <w:vAlign w:val="bottom"/>
            <w:vMerge w:val="restart"/>
          </w:tcPr>
          <w:p>
            <w:pPr>
              <w:ind w:left="300"/>
              <w:spacing w:after="0"/>
              <w:rPr>
                <w:sz w:val="20"/>
                <w:szCs w:val="20"/>
                <w:color w:val="auto"/>
              </w:rPr>
            </w:pPr>
            <w:r>
              <w:rPr>
                <w:rFonts w:ascii="Arial" w:cs="Arial" w:eastAsia="Arial" w:hAnsi="Arial"/>
                <w:sz w:val="16"/>
                <w:szCs w:val="16"/>
                <w:color w:val="auto"/>
              </w:rPr>
              <w:t>XR4 Food Effect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200" w:type="dxa"/>
            <w:vAlign w:val="bottom"/>
          </w:tcPr>
          <w:p>
            <w:pPr>
              <w:spacing w:after="0"/>
              <w:rPr>
                <w:sz w:val="20"/>
                <w:szCs w:val="20"/>
                <w:color w:val="auto"/>
              </w:rPr>
            </w:pPr>
            <w:r>
              <w:rPr>
                <w:rFonts w:ascii="Arial" w:cs="Arial" w:eastAsia="Arial" w:hAnsi="Arial"/>
                <w:sz w:val="16"/>
                <w:szCs w:val="16"/>
                <w:b w:val="1"/>
                <w:bCs w:val="1"/>
                <w:color w:val="auto"/>
              </w:rPr>
              <w:t>Phase 2/3</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C201</w:t>
            </w:r>
          </w:p>
        </w:tc>
        <w:tc>
          <w:tcPr>
            <w:tcW w:w="2960" w:type="dxa"/>
            <w:vAlign w:val="bottom"/>
          </w:tcPr>
          <w:p>
            <w:pPr>
              <w:ind w:left="300"/>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RAPIDe-1</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C303</w:t>
            </w:r>
          </w:p>
        </w:tc>
        <w:tc>
          <w:tcPr>
            <w:tcW w:w="2960" w:type="dxa"/>
            <w:vAlign w:val="bottom"/>
          </w:tcPr>
          <w:p>
            <w:pPr>
              <w:ind w:left="300"/>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RAPIDe-2</w:t>
            </w:r>
          </w:p>
        </w:tc>
        <w:tc>
          <w:tcPr>
            <w:tcW w:w="2960" w:type="dxa"/>
            <w:vAlign w:val="bottom"/>
          </w:tcPr>
          <w:p>
            <w:pPr>
              <w:ind w:left="300"/>
              <w:spacing w:after="0"/>
              <w:rPr>
                <w:sz w:val="20"/>
                <w:szCs w:val="20"/>
                <w:color w:val="auto"/>
              </w:rPr>
            </w:pPr>
            <w:r>
              <w:rPr>
                <w:rFonts w:ascii="Arial" w:cs="Arial" w:eastAsia="Arial" w:hAnsi="Arial"/>
                <w:sz w:val="16"/>
                <w:szCs w:val="16"/>
                <w:color w:val="auto"/>
              </w:rPr>
              <w:t>open-label extension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C301</w:t>
            </w:r>
          </w:p>
        </w:tc>
        <w:tc>
          <w:tcPr>
            <w:tcW w:w="2960" w:type="dxa"/>
            <w:vAlign w:val="bottom"/>
          </w:tcPr>
          <w:p>
            <w:pPr>
              <w:ind w:left="300"/>
              <w:spacing w:after="0"/>
              <w:rPr>
                <w:sz w:val="20"/>
                <w:szCs w:val="20"/>
                <w:color w:val="auto"/>
              </w:rPr>
            </w:pPr>
            <w:r>
              <w:rPr>
                <w:rFonts w:ascii="Arial" w:cs="Arial" w:eastAsia="Arial" w:hAnsi="Arial"/>
                <w:sz w:val="16"/>
                <w:szCs w:val="16"/>
                <w:color w:val="auto"/>
              </w:rPr>
              <w:t>proof-of-concept deucrictibant</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20"/>
                <w:szCs w:val="20"/>
                <w:color w:val="auto"/>
              </w:rPr>
            </w:pPr>
            <w:r>
              <w:rPr>
                <w:rFonts w:ascii="Arial" w:cs="Arial" w:eastAsia="Arial" w:hAnsi="Arial"/>
                <w:sz w:val="16"/>
                <w:szCs w:val="16"/>
                <w:color w:val="auto"/>
              </w:rPr>
              <w:t>CHAPTER-1</w:t>
            </w:r>
          </w:p>
        </w:tc>
        <w:tc>
          <w:tcPr>
            <w:tcW w:w="2960" w:type="dxa"/>
            <w:vAlign w:val="bottom"/>
          </w:tcPr>
          <w:p>
            <w:pPr>
              <w:ind w:left="300"/>
              <w:spacing w:after="0"/>
              <w:rPr>
                <w:sz w:val="20"/>
                <w:szCs w:val="20"/>
                <w:color w:val="auto"/>
              </w:rPr>
            </w:pPr>
            <w:r>
              <w:rPr>
                <w:rFonts w:ascii="Arial" w:cs="Arial" w:eastAsia="Arial" w:hAnsi="Arial"/>
                <w:sz w:val="16"/>
                <w:szCs w:val="16"/>
                <w:color w:val="auto"/>
                <w:w w:val="99"/>
              </w:rPr>
              <w:t>prophylaxis and open-label extension</w:t>
            </w:r>
          </w:p>
        </w:tc>
        <w:tc>
          <w:tcPr>
            <w:tcW w:w="0" w:type="dxa"/>
            <w:vAlign w:val="bottom"/>
          </w:tcPr>
          <w:p>
            <w:pPr>
              <w:spacing w:after="0"/>
              <w:rPr>
                <w:sz w:val="1"/>
                <w:szCs w:val="1"/>
                <w:color w:val="auto"/>
              </w:rPr>
            </w:pPr>
          </w:p>
        </w:tc>
      </w:tr>
      <w:tr>
        <w:trPr>
          <w:trHeight w:val="541"/>
        </w:trPr>
        <w:tc>
          <w:tcPr>
            <w:tcW w:w="1200" w:type="dxa"/>
            <w:vAlign w:val="bottom"/>
          </w:tcPr>
          <w:p>
            <w:pPr>
              <w:spacing w:after="0"/>
              <w:rPr>
                <w:sz w:val="20"/>
                <w:szCs w:val="20"/>
                <w:color w:val="auto"/>
              </w:rPr>
            </w:pPr>
            <w:r>
              <w:rPr>
                <w:rFonts w:ascii="Arial" w:cs="Arial" w:eastAsia="Arial" w:hAnsi="Arial"/>
                <w:sz w:val="16"/>
                <w:szCs w:val="16"/>
                <w:color w:val="auto"/>
              </w:rPr>
              <w:t>C306</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20"/>
                <w:szCs w:val="20"/>
                <w:color w:val="auto"/>
              </w:rPr>
            </w:pPr>
            <w:r>
              <w:rPr>
                <w:rFonts w:ascii="Arial" w:cs="Arial" w:eastAsia="Arial" w:hAnsi="Arial"/>
                <w:sz w:val="16"/>
                <w:szCs w:val="16"/>
                <w:color w:val="auto"/>
              </w:rPr>
              <w:t>RAPIDe-3</w:t>
            </w:r>
          </w:p>
        </w:tc>
        <w:tc>
          <w:tcPr>
            <w:tcW w:w="2960" w:type="dxa"/>
            <w:vAlign w:val="bottom"/>
          </w:tcPr>
          <w:p>
            <w:pPr>
              <w:ind w:left="300"/>
              <w:spacing w:after="0"/>
              <w:rPr>
                <w:sz w:val="20"/>
                <w:szCs w:val="20"/>
                <w:color w:val="auto"/>
              </w:rPr>
            </w:pPr>
            <w:r>
              <w:rPr>
                <w:rFonts w:ascii="Arial" w:cs="Arial" w:eastAsia="Arial" w:hAnsi="Arial"/>
                <w:sz w:val="16"/>
                <w:szCs w:val="16"/>
                <w:color w:val="auto"/>
              </w:rPr>
              <w:t>deucrictibant IR capsule on demand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C305 CHAPTER-3</w:t>
        <w:tab/>
        <w:t>deucrictibant XR tablet prophylaxis</w:t>
      </w:r>
    </w:p>
    <w:p>
      <w:pPr>
        <w:spacing w:after="0" w:line="200" w:lineRule="exact"/>
        <w:rPr>
          <w:sz w:val="20"/>
          <w:szCs w:val="20"/>
          <w:color w:val="auto"/>
        </w:rPr>
      </w:pPr>
    </w:p>
    <w:p>
      <w:pPr>
        <w:spacing w:after="0" w:line="372" w:lineRule="exact"/>
        <w:rPr>
          <w:sz w:val="20"/>
          <w:szCs w:val="20"/>
          <w:color w:val="auto"/>
        </w:rPr>
      </w:pPr>
    </w:p>
    <w:p>
      <w:pPr>
        <w:ind w:left="1500" w:right="180" w:hanging="1484"/>
        <w:spacing w:after="0" w:line="286" w:lineRule="auto"/>
        <w:tabs>
          <w:tab w:leader="none" w:pos="1480" w:val="left"/>
        </w:tabs>
        <w:rPr>
          <w:sz w:val="20"/>
          <w:szCs w:val="20"/>
          <w:color w:val="auto"/>
        </w:rPr>
      </w:pPr>
      <w:r>
        <w:rPr>
          <w:rFonts w:ascii="Arial" w:cs="Arial" w:eastAsia="Arial" w:hAnsi="Arial"/>
          <w:sz w:val="16"/>
          <w:szCs w:val="16"/>
          <w:color w:val="auto"/>
        </w:rPr>
        <w:t>C307 CHAPTER-4</w:t>
        <w:tab/>
        <w:t>deucrictibant XR tablet prophylaxis open-label extension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20"/>
                <w:szCs w:val="20"/>
                <w:color w:val="auto"/>
              </w:rPr>
            </w:pPr>
            <w:r>
              <w:rPr>
                <w:rFonts w:ascii="Arial" w:cs="Arial" w:eastAsia="Arial" w:hAnsi="Arial"/>
                <w:sz w:val="16"/>
                <w:szCs w:val="16"/>
                <w:color w:val="333333"/>
              </w:rPr>
              <w:t>Open label, randomized, two-period, cross-over single-dose study under</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333333"/>
              </w:rPr>
              <w:t>fasting condition</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333333"/>
              </w:rPr>
              <w:t>Open-Label, randomized, two-period, cross-over single-dose study in healthy</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333333"/>
              </w:rPr>
              <w:t>subjects to assess the influence of a high-calorie, high-fat meal on the</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333333"/>
              </w:rPr>
              <w:t>bioavailability of a 40 mg extended-release (XR) formulation</w:t>
            </w:r>
          </w:p>
        </w:tc>
        <w:tc>
          <w:tcPr>
            <w:tcW w:w="960" w:type="dxa"/>
            <w:vAlign w:val="bottom"/>
          </w:tcPr>
          <w:p>
            <w:pPr>
              <w:spacing w:after="0"/>
              <w:rPr>
                <w:sz w:val="18"/>
                <w:szCs w:val="18"/>
                <w:color w:val="auto"/>
              </w:rPr>
            </w:pPr>
          </w:p>
        </w:tc>
      </w:tr>
      <w:tr>
        <w:trPr>
          <w:trHeight w:val="541"/>
        </w:trPr>
        <w:tc>
          <w:tcPr>
            <w:tcW w:w="5700" w:type="dxa"/>
            <w:vAlign w:val="bottom"/>
          </w:tcPr>
          <w:p>
            <w:pPr>
              <w:spacing w:after="0"/>
              <w:rPr>
                <w:sz w:val="20"/>
                <w:szCs w:val="20"/>
                <w:color w:val="auto"/>
              </w:rPr>
            </w:pPr>
            <w:r>
              <w:rPr>
                <w:rFonts w:ascii="Arial" w:cs="Arial" w:eastAsia="Arial" w:hAnsi="Arial"/>
                <w:sz w:val="16"/>
                <w:szCs w:val="16"/>
                <w:color w:val="auto"/>
              </w:rPr>
              <w:t>Phase 2, randomized, double blind, placebo-controlled,</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Completed</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dose ranging study to assess safety and efficacy</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Phase 2/3, Extension Study to evaluate the safety of long-term on-demand</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treatment with deucrictibant for acute HAE attacks</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 two-part Phase 2, randomized, double blind, placebo-controlled dose</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ranging study to Part 1: assess safety and efficacy of prophylactic treatment</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Completed</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with deucrictibant and Part 2: evaluate long-term safety and efficacy for</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prophylactic treatment with deucrictibant</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 Phase 3, Randomized, Double-blind, Placebo-controlled, Cross-over Study</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Completed</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of Oral Deucrictibant Soft Capsule for On-Demand Treatment of Attacks in</w:t>
            </w:r>
          </w:p>
        </w:tc>
        <w:tc>
          <w:tcPr>
            <w:tcW w:w="960" w:type="dxa"/>
            <w:vAlign w:val="bottom"/>
          </w:tcPr>
          <w:p>
            <w:pPr>
              <w:spacing w:after="0"/>
              <w:rPr>
                <w:sz w:val="16"/>
                <w:szCs w:val="16"/>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Adolescents and Adults with Hereditary Angioedema</w:t>
            </w:r>
          </w:p>
        </w:tc>
        <w:tc>
          <w:tcPr>
            <w:tcW w:w="960" w:type="dxa"/>
            <w:vAlign w:val="bottom"/>
          </w:tcPr>
          <w:p>
            <w:pPr>
              <w:spacing w:after="0"/>
              <w:rPr>
                <w:sz w:val="18"/>
                <w:szCs w:val="18"/>
                <w:color w:val="auto"/>
              </w:rPr>
            </w:pPr>
          </w:p>
        </w:tc>
      </w:tr>
      <w:tr>
        <w:trPr>
          <w:trHeight w:val="541"/>
        </w:trPr>
        <w:tc>
          <w:tcPr>
            <w:tcW w:w="5700" w:type="dxa"/>
            <w:vAlign w:val="bottom"/>
          </w:tcPr>
          <w:p>
            <w:pPr>
              <w:spacing w:after="0"/>
              <w:rPr>
                <w:sz w:val="20"/>
                <w:szCs w:val="20"/>
                <w:color w:val="auto"/>
              </w:rPr>
            </w:pPr>
            <w:r>
              <w:rPr>
                <w:rFonts w:ascii="Arial" w:cs="Arial" w:eastAsia="Arial" w:hAnsi="Arial"/>
                <w:sz w:val="16"/>
                <w:szCs w:val="16"/>
                <w:color w:val="auto"/>
              </w:rPr>
              <w:t>A Phase 3, Randomized, Double-blind, Placebo-controlled Study of Orally</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Administered Deucrictibant Extended-Release Tablet for Prophylaxis to</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Prevent Angioedema Attacks in Adolescents and Adults with Hereditary</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Angioedema</w:t>
            </w:r>
          </w:p>
        </w:tc>
        <w:tc>
          <w:tcPr>
            <w:tcW w:w="960" w:type="dxa"/>
            <w:vAlign w:val="bottom"/>
          </w:tcPr>
          <w:p>
            <w:pPr>
              <w:spacing w:after="0"/>
              <w:rPr>
                <w:sz w:val="16"/>
                <w:szCs w:val="16"/>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 Phase 3, Long-term, Open-label Study of Orally Administered</w:t>
            </w:r>
          </w:p>
        </w:tc>
        <w:tc>
          <w:tcPr>
            <w:tcW w:w="960" w:type="dxa"/>
            <w:vAlign w:val="bottom"/>
          </w:tcPr>
          <w:p>
            <w:pPr>
              <w:jc w:val="center"/>
              <w:ind w:left="99"/>
              <w:spacing w:after="0"/>
              <w:rPr>
                <w:sz w:val="20"/>
                <w:szCs w:val="20"/>
                <w:color w:val="auto"/>
              </w:rPr>
            </w:pPr>
            <w:r>
              <w:rPr>
                <w:rFonts w:ascii="Arial" w:cs="Arial" w:eastAsia="Arial" w:hAnsi="Arial"/>
                <w:sz w:val="16"/>
                <w:szCs w:val="16"/>
                <w:color w:val="auto"/>
              </w:rPr>
              <w:t>Ongoing</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Deucrictibant Extended-release Tablet for Prophylaxis to Prevent</w:t>
            </w:r>
          </w:p>
        </w:tc>
        <w:tc>
          <w:tcPr>
            <w:tcW w:w="960" w:type="dxa"/>
            <w:vAlign w:val="bottom"/>
          </w:tcPr>
          <w:p>
            <w:pPr>
              <w:spacing w:after="0"/>
              <w:rPr>
                <w:sz w:val="16"/>
                <w:szCs w:val="16"/>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Angioedema Attacks in Adolescents and Adults with Hereditary Angioedema</w:t>
            </w:r>
          </w:p>
        </w:tc>
        <w:tc>
          <w:tcPr>
            <w:tcW w:w="9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4160" w:space="180"/>
            <w:col w:w="6900"/>
          </w:cols>
          <w:pgMar w:left="320" w:top="773"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RAPIDe-1 Phase 2 On-Demand (C201)</w:t>
      </w:r>
    </w:p>
    <w:p>
      <w:pPr>
        <w:spacing w:after="0" w:line="30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deucrictibant IR capsule for the on-demand treatment of HAE type 1 and type 2 (HAE-1/2) attacks. The study, initiated in February 2021, enrolled 74 patients across 13 countries who were randomized into one of three single dose levels of deucrictibant and placebo. The study compared symptom relief during HAE attacks and the safety of each dose of deucrictibant with placebo. In Part I of the study, participants in a non-attack state received the assigned single dose of deucrictibant IR capsule at the study center to assess its pharmacokinetics and safety. In Part II, participants self-administered blinded study drug at home to treat three physician-confirmed HAE attacks with deucrictibant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227330</wp:posOffset>
            </wp:positionV>
            <wp:extent cx="6223635" cy="1937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6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21" w:lineRule="exact"/>
        <w:rPr>
          <w:sz w:val="20"/>
          <w:szCs w:val="20"/>
          <w:color w:val="auto"/>
        </w:rPr>
      </w:pPr>
    </w:p>
    <w:p>
      <w:pPr>
        <w:ind w:right="420" w:firstLine="8"/>
        <w:spacing w:after="0" w:line="265" w:lineRule="auto"/>
        <w:tabs>
          <w:tab w:leader="none" w:pos="1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deucrictibant significantly reduce attack symptoms.</w:t>
      </w:r>
    </w:p>
    <w:p>
      <w:pPr>
        <w:sectPr>
          <w:pgSz w:w="11900" w:h="16838" w:orient="portrait"/>
          <w:cols w:equalWidth="0" w:num="1">
            <w:col w:w="1124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12</w:t>
      </w: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200660</wp:posOffset>
            </wp:positionV>
            <wp:extent cx="3437255" cy="257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725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*VAS assessed every 30 minutes up to 4 hours post-treatment, then at 5, 6, 8, 24, 48 hours</w:t>
      </w:r>
    </w:p>
    <w:p>
      <w:pPr>
        <w:spacing w:after="0" w:line="29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Composite and individual VAS-3, mean symptom complex severity, or MSCS, and treatment outcome score, or TOS, were assessed up to 48-hours post-dose. All key secondary endpoints in the study were met, demonstrating that deucrictibant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deucrictibant also used substantially less rescue medication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107315</wp:posOffset>
            </wp:positionV>
            <wp:extent cx="6086475" cy="3060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647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firstLine="458"/>
        <w:spacing w:after="0" w:line="259" w:lineRule="auto"/>
        <w:rPr>
          <w:sz w:val="20"/>
          <w:szCs w:val="20"/>
          <w:color w:val="auto"/>
        </w:rPr>
      </w:pPr>
      <w:r>
        <w:rPr>
          <w:rFonts w:ascii="Arial" w:cs="Arial" w:eastAsia="Arial" w:hAnsi="Arial"/>
          <w:sz w:val="16"/>
          <w:szCs w:val="16"/>
          <w:color w:val="auto"/>
        </w:rPr>
        <w:t>Deucrictibant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deucrictibant 30 mg (2.8%) and one treatment-related adverse event was reported for one attack treated with placebo (1.9%).</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80645</wp:posOffset>
            </wp:positionV>
            <wp:extent cx="4440555" cy="2983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4055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RAPIDe-2 Phase 2/3 On-Demand Long-Term Extension (C201)</w:t>
      </w:r>
    </w:p>
    <w:p>
      <w:pPr>
        <w:spacing w:after="0" w:line="30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Following treatment of participation in RAPIDe-1, participants were eligible to either join the Phase 2 randomized clinical trial of deucrictibant for the prevention of HAE attacks (CHAPTER-1) or roll over to the long-term extension on-demand study (RAPIDe-2). In Part A of RAPIDe-2, participants remained blinded to their dose of deucrictibant (10 mg, 20 mg, 30 mg) but were able to treat every attack with active study drug. In the extension study, participants were able to treat upper airway attacks, including laryngeal attacks. The primary endpoint of the study is to evaluate the long-term safety of deucrictibant as an on-demand agent; secondary endpoints of efficacy were measured using patient global impression of change (PGI-C) and patient global impress of severity (PGI-S) patient reported outcome (PRO) scales.</w:t>
      </w:r>
    </w:p>
    <w:p>
      <w:pPr>
        <w:spacing w:after="0" w:line="74"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RAPIDe-2 includes 465 attacks from 19 participants, 14 of the attacks were upper airway attacks. Deucrictibant was well tolerated across all doses, with no treatment-related treatment-emergent adverse events (TEAEs), with no TEAEs leading to treatment discontinuation, study withdrawal, or death.</w:t>
      </w:r>
    </w:p>
    <w:p>
      <w:pPr>
        <w:spacing w:after="0" w:line="48"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Secondary endpoints from the RAPIDe-2 study included time to onset of symptom relief as measured by a PGI-C rating of at least “a little better” for two consecutive timepoints (1.1 hours), time to substantial symptom relief as measured by a PGI-C rating of at least “better” for two consecutive timepoints (2.5 hours), time to reduction in attack severity as measured by at least one level reduction in PGI-S from pre-treatment for two consecutive endpoints (2.8 hours), and time to complete attack resolution as measured by a PGI-S rating of “none” (10.6 hours). In the upper airway attacks treated, there were similar times to relief and resolution of attacks as seen in the full data set. The majority of the attacks were treated with a single dose of deucrictibant and without rescue medication within 24 hours. The final results from Part A of the RAPIDe-2 extension were consistent with the Phase 2 RAPIDe-1 study and provide evidence on the long-term safety and efficacy of deucrictibant IR capsule for treatment of repeat HAE attacks.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RAPIDe-2 study is still ongoing.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RAPIDe-3 Phase 3 Pivotal On-Demand (C306)</w:t>
      </w:r>
    </w:p>
    <w:p>
      <w:pPr>
        <w:spacing w:after="0" w:line="11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RAPIDe-3 global Phase 3, placebo-controlled study evaluated orally administered deucrictibant immediate-release (IR) capsule (20 mg) for the on-demand treatment of attacks in people 12 years and older with HAE. The study enrolled a total of 134 participants from 24 countries on six continents. The patient population studied included adolescents and adults; participants on and not on long-term prophylaxis (LTP); people with HAE type 1, HAE type 2, and HAE with normal C1 inhibitor; and attacks studied included those of varying severities and across all body locations. The primary endpoint and all 11 secondary efficacy endpoints, assessed sequentially under a multiplicity-control procedure, achieved statistical significance.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80645</wp:posOffset>
            </wp:positionV>
            <wp:extent cx="5563235" cy="128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323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*Adolescent participants receive a non-attack dose for PK sampling prior to randomization.</w:t>
      </w:r>
    </w:p>
    <w:p>
      <w:pPr>
        <w:spacing w:after="0" w:line="104" w:lineRule="exact"/>
        <w:rPr>
          <w:sz w:val="20"/>
          <w:szCs w:val="20"/>
          <w:color w:val="auto"/>
        </w:rPr>
      </w:pPr>
    </w:p>
    <w:p>
      <w:pPr>
        <w:ind w:right="300" w:firstLine="458"/>
        <w:spacing w:after="0" w:line="253" w:lineRule="auto"/>
        <w:rPr>
          <w:sz w:val="20"/>
          <w:szCs w:val="20"/>
          <w:color w:val="auto"/>
        </w:rPr>
      </w:pPr>
      <w:r>
        <w:rPr>
          <w:rFonts w:ascii="Arial" w:cs="Arial" w:eastAsia="Arial" w:hAnsi="Arial"/>
          <w:sz w:val="16"/>
          <w:szCs w:val="16"/>
          <w:color w:val="auto"/>
        </w:rPr>
        <w:t>The efficacy analysis included paired attacks (one participant contributed one deucrictibant-treated attack and one placebo-treated attack) from 88 participants. Compared to placebo, deucrictibant demonstrated compelling and differentiating efficacy: the primary endpoint of time to symptom relief as measured by a PGI-C rating of at least “a little better” for two consecutive timepoints (1.28 hours vs. over 12 hours), time to End of Progression™ as measured by PGI-C (17.47 minutes vs. 228.67 minutes), time to substantial symptom relief as measured by a PGI-C rating of at least “better” for two consecutive timepoints (2.85 hours vs. over 12 hours), time to reduction in attack severity as measured by at least one level reduction in PGI-S from pre-treatment for two consecutive endpoints (2.41 hours vs. over 12 hours), and time to complete attack resolution as measured by a PGI-S rating of “none” (11.95 hours vs. over 48 hours). Additionally, most attacks were treated with a single capsule of deucrictibant.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243840</wp:posOffset>
            </wp:positionV>
            <wp:extent cx="4920615" cy="2794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061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RAPIDe-3, deucrictibant was well tolerated with no treatment-related serious adverse events and no participants discontinuing treatment due to treatment-emergent adverse events.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15</w:t>
      </w: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80645</wp:posOffset>
            </wp:positionV>
            <wp:extent cx="5349240" cy="2280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 number of participants. n: number of participants with ≥1 event. % = n/N*100%</w:t>
      </w:r>
    </w:p>
    <w:p>
      <w:pPr>
        <w:spacing w:after="0" w:line="22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Pharvaris remains on track to submit a New Drug Application (NDA) with the U.S. Food and Drug Administration (FDA) in the first half of 2026 for the on-demand treatment of acute attacks of HAE.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CHAPTER-1 Phase 2 Prophylaxis (C301)</w:t>
      </w:r>
    </w:p>
    <w:p>
      <w:pPr>
        <w:spacing w:after="0" w:line="11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was dosed twice-a-day as a proof-of-concept for the once-daily deucrictibant extended-release tablet, which is the intended formulation for the prophylactic treatment of HAE. The open-label portion of the CHAPTER-1 study is ongoing at the 40 mg/day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106045</wp:posOffset>
            </wp:positionV>
            <wp:extent cx="4817745" cy="857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1774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40"/>
        <w:spacing w:after="0" w:line="234" w:lineRule="auto"/>
        <w:rPr>
          <w:sz w:val="20"/>
          <w:szCs w:val="20"/>
          <w:color w:val="auto"/>
        </w:rPr>
      </w:pPr>
      <w:r>
        <w:rPr>
          <w:rFonts w:ascii="Arial" w:cs="Arial" w:eastAsia="Arial" w:hAnsi="Arial"/>
          <w:sz w:val="14"/>
          <w:szCs w:val="14"/>
          <w:color w:val="auto"/>
        </w:rPr>
        <w:t xml:space="preserve">*20 mg/day = deucrictibant immediate-release (IR) capsules 10 mg twice daily; †40 mg/day = deucrictibant IR capsules 20 mg twice daily. </w:t>
      </w:r>
      <w:r>
        <w:rPr>
          <w:rFonts w:ascii="Arial" w:cs="Arial" w:eastAsia="Arial" w:hAnsi="Arial"/>
          <w:sz w:val="19"/>
          <w:szCs w:val="19"/>
          <w:color w:val="auto"/>
          <w:vertAlign w:val="superscript"/>
        </w:rPr>
        <w:t>b</w:t>
      </w:r>
      <w:r>
        <w:rPr>
          <w:rFonts w:ascii="Arial" w:cs="Arial" w:eastAsia="Arial" w:hAnsi="Arial"/>
          <w:sz w:val="14"/>
          <w:szCs w:val="14"/>
          <w:color w:val="auto"/>
        </w:rPr>
        <w:t>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133985</wp:posOffset>
            </wp:positionV>
            <wp:extent cx="4946015"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460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20" w:firstLine="458"/>
        <w:spacing w:after="0" w:line="259"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16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medication (92.6% fewer attacks treated with on-demand medication). Participants on deucrictibant treatment also experienced a meaningful improvement in their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116205</wp:posOffset>
            </wp:positionV>
            <wp:extent cx="5597525" cy="214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975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152400</wp:posOffset>
            </wp:positionV>
            <wp:extent cx="5280660" cy="2143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806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152400</wp:posOffset>
            </wp:positionV>
            <wp:extent cx="6086475" cy="2477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8647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17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116205</wp:posOffset>
            </wp:positionV>
            <wp:extent cx="5177790" cy="1954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777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*20 mg/day = deucrictibant immediate-release (IR) capsules 10 mg twice daily; †40 mg/day = deucrictibant IR capsules 20 mg twice daily.</w:t>
      </w:r>
    </w:p>
    <w:p>
      <w:pPr>
        <w:spacing w:after="0" w:line="266"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Following the randomized portion of CHAPTER-1 (Part 1), participants were eligible to roll over to the open-label extension (OLE) of the study (Part 2), where they received deucrictibant 40 mg/day to evaluate the long-term safety and efficacy of deucrictibant administered for prophylaxis against HAE attacks. All 30 participants who completed CHAPTER-1 Part 1 enrolled in the ongoing OLE. Deucrictibant was well tolerated with no safety signals in the OLE. The mean treatment duration in the OLE was 22.2 months. Maximum deucrictibant exposure during the entire study was 33.8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147320</wp:posOffset>
            </wp:positionV>
            <wp:extent cx="5589270" cy="1842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927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b</w:t>
      </w:r>
      <w:r>
        <w:rPr>
          <w:rFonts w:ascii="Arial" w:cs="Arial" w:eastAsia="Arial" w:hAnsi="Arial"/>
          <w:sz w:val="14"/>
          <w:szCs w:val="14"/>
          <w:color w:val="auto"/>
        </w:rPr>
        <w:t xml:space="preserve">40 mg/day = deucrictibant IR capsules 20 mg twice daily. </w:t>
      </w:r>
      <w:r>
        <w:rPr>
          <w:rFonts w:ascii="Arial" w:cs="Arial" w:eastAsia="Arial" w:hAnsi="Arial"/>
          <w:sz w:val="19"/>
          <w:szCs w:val="19"/>
          <w:color w:val="auto"/>
          <w:vertAlign w:val="superscript"/>
        </w:rPr>
        <w:t>c</w:t>
      </w:r>
      <w:r>
        <w:rPr>
          <w:rFonts w:ascii="Arial" w:cs="Arial" w:eastAsia="Arial" w:hAnsi="Arial"/>
          <w:sz w:val="14"/>
          <w:szCs w:val="14"/>
          <w:color w:val="auto"/>
        </w:rPr>
        <w:t>20 mg/day = deucrictibant immediate-release (IR) capsules 10 mg twice daily;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18</w:t>
      </w:r>
      <w:r>
        <w:rPr>
          <w:rFonts w:ascii="Arial" w:cs="Arial" w:eastAsia="Arial" w:hAnsi="Arial"/>
          <w:sz w:val="16"/>
          <w:szCs w:val="16"/>
          <w:b w:val="1"/>
          <w:bCs w:val="1"/>
          <w:u w:val="single" w:color="auto"/>
          <w:color w:val="0000FF"/>
        </w:rPr>
        <w:t>Table of Contents</w:t>
      </w:r>
    </w:p>
    <w:p>
      <w:pPr>
        <w:spacing w:after="0" w:line="343"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final data from the completed Phase 2 CHAPTER-1 OLE study provide further evidence on the long-term safety and efficacy of oral deucrictibant for prevention of HAE attacks. The attack rate was reduced by week 1 and remained low for up to ~34 months; the overall on-study attack rate during the OLE was 0.12 attacks/month.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143510</wp:posOffset>
            </wp:positionV>
            <wp:extent cx="4937760" cy="23660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776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a</w:t>
      </w:r>
      <w:r>
        <w:rPr>
          <w:rFonts w:ascii="Arial" w:cs="Arial" w:eastAsia="Arial" w:hAnsi="Arial"/>
          <w:sz w:val="14"/>
          <w:szCs w:val="14"/>
          <w:color w:val="auto"/>
        </w:rPr>
        <w:t xml:space="preserve">Based on time normalized number of attacks per 4 weeks. </w:t>
      </w:r>
      <w:r>
        <w:rPr>
          <w:rFonts w:ascii="Arial" w:cs="Arial" w:eastAsia="Arial" w:hAnsi="Arial"/>
          <w:sz w:val="19"/>
          <w:szCs w:val="19"/>
          <w:color w:val="auto"/>
          <w:vertAlign w:val="superscript"/>
        </w:rPr>
        <w:t>b</w:t>
      </w:r>
      <w:r>
        <w:rPr>
          <w:rFonts w:ascii="Arial" w:cs="Arial" w:eastAsia="Arial" w:hAnsi="Arial"/>
          <w:sz w:val="14"/>
          <w:szCs w:val="14"/>
          <w:color w:val="auto"/>
        </w:rPr>
        <w:t xml:space="preserve">1 month = 4 weeks. </w:t>
      </w:r>
      <w:r>
        <w:rPr>
          <w:rFonts w:ascii="Arial" w:cs="Arial" w:eastAsia="Arial" w:hAnsi="Arial"/>
          <w:sz w:val="19"/>
          <w:szCs w:val="19"/>
          <w:color w:val="auto"/>
          <w:vertAlign w:val="superscript"/>
        </w:rPr>
        <w:t>c</w:t>
      </w:r>
      <w:r>
        <w:rPr>
          <w:rFonts w:ascii="Arial" w:cs="Arial" w:eastAsia="Arial" w:hAnsi="Arial"/>
          <w:sz w:val="14"/>
          <w:szCs w:val="14"/>
          <w:color w:val="auto"/>
        </w:rPr>
        <w:t xml:space="preserve">Deucrictibant IR capsule, 10 mg twice daily. </w:t>
      </w:r>
      <w:r>
        <w:rPr>
          <w:rFonts w:ascii="Arial" w:cs="Arial" w:eastAsia="Arial" w:hAnsi="Arial"/>
          <w:sz w:val="19"/>
          <w:szCs w:val="19"/>
          <w:color w:val="auto"/>
          <w:vertAlign w:val="superscript"/>
        </w:rPr>
        <w:t>d</w:t>
      </w:r>
      <w:r>
        <w:rPr>
          <w:rFonts w:ascii="Arial" w:cs="Arial" w:eastAsia="Arial" w:hAnsi="Arial"/>
          <w:sz w:val="14"/>
          <w:szCs w:val="14"/>
          <w:color w:val="auto"/>
        </w:rPr>
        <w:t>Deucrictibant IR capsule, 20 mg twice daily.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XR Phase 1 Data</w:t>
      </w:r>
    </w:p>
    <w:p>
      <w:pPr>
        <w:spacing w:after="0" w:line="3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have developed an extended-release, or XR, formulation that features continuous slow release maintaining deucrictibant plasma concentrations above the levels we predict to provide protection against attacks. Deucrictibant has demonstrated properties favorable to the development of XR formulations, and we completed several human pharmacokinetics trials with deucrictibant to enable use of a to-be-marketed product candidate in the pivotal prophylactic trial CHAPTER-3. With the results of pharmacokinetic trials with the to-be-marketed XR formulation, we believe we have identified the to-be-marketed extended-release formulation of deucrictibant that enables once-daily dosing in a prophylactic setting.</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intend to develop deucrictibant for bradykinin-mediated angioedema for the on-demand and prophylactic indications in parallel using two different product formulations.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1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The availability of an immediate-release capsule formulation provides a good pharmacokinetic profile for on-demand treatment: rapid oral absorption independent of fed status resulting in almost immediate onset of action with longer expected duration of efficacy than subcutaneous injections of icatibant. Based on the positive results of the RAPIDe-3 study, we are preparing marketing authorizations of deucrictibant for the on-demand treatment of HAE attacks. We also have an ongoing open-label extension study of deucrictibant for the on-demand treatment of HAE attacks.</w:t>
      </w:r>
    </w:p>
    <w:p>
      <w:pPr>
        <w:spacing w:after="0" w:line="70" w:lineRule="exact"/>
        <w:rPr>
          <w:sz w:val="20"/>
          <w:szCs w:val="20"/>
          <w:color w:val="auto"/>
        </w:rPr>
      </w:pPr>
    </w:p>
    <w:p>
      <w:pPr>
        <w:ind w:right="340" w:firstLine="458"/>
        <w:spacing w:after="0" w:line="286" w:lineRule="auto"/>
        <w:rPr>
          <w:sz w:val="20"/>
          <w:szCs w:val="20"/>
          <w:color w:val="auto"/>
        </w:rPr>
      </w:pPr>
      <w:r>
        <w:rPr>
          <w:rFonts w:ascii="Arial" w:cs="Arial" w:eastAsia="Arial" w:hAnsi="Arial"/>
          <w:sz w:val="16"/>
          <w:szCs w:val="16"/>
          <w:color w:val="auto"/>
        </w:rPr>
        <w:t>We also intend to file an sNDA of deucrictibant for the on-demand treatment of AAE-C1INH attacks following completion of the second part of the CREAATE pivotal Phase 3 study.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Prophylaxis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Currently there is not a bradykinin B2 receptor antagonist available for HAE prophylaxis. Icatibant has a very short half-life and would require multiple injections each day, making it generally unsuitable for prophylactic use, especially as most people report injection site pain.</w:t>
      </w:r>
    </w:p>
    <w:p>
      <w:pPr>
        <w:spacing w:after="0" w:line="48"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Based on the positive results of the primary analysis of CHAPTER-1, we have initiated the confirmatory global Phase 3 trial CHAPTER-3 for the efficacy and safety evaluation of deucrictibant, as described below, in prophylactic treatment of HAE. In December 2024, Pharvaris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The primary endpoint of the study is to evaluate the efficacy of deucrictibant compared to placebo for prophylaxis against angioedema attacks as measured by the time-normalized number</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19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48" w:lineRule="exact"/>
        <w:rPr>
          <w:sz w:val="20"/>
          <w:szCs w:val="20"/>
          <w:color w:val="auto"/>
        </w:rPr>
      </w:pPr>
    </w:p>
    <w:p>
      <w:pPr>
        <w:ind w:right="20" w:firstLine="503"/>
        <w:spacing w:after="0" w:line="266" w:lineRule="auto"/>
        <w:rPr>
          <w:sz w:val="20"/>
          <w:szCs w:val="20"/>
          <w:color w:val="auto"/>
        </w:rPr>
      </w:pPr>
      <w:r>
        <w:rPr>
          <w:rFonts w:ascii="Arial" w:cs="Arial" w:eastAsia="Arial" w:hAnsi="Arial"/>
          <w:sz w:val="16"/>
          <w:szCs w:val="16"/>
          <w:color w:val="auto"/>
        </w:rPr>
        <w:t>In addition, we also are running an open-label extension study, CHAPTER-4, in the prophylactic setting which will include participants from the CHAPTER-1 open-label extension, participants who have completed the randomized Phase 3 study, CHAPTER-3, and novel participants to collect long-time safety and efficacy data.</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34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of December 31, 2025, we own five U.S. patents and 150 national/regional patents, including in Australia, China, India, Indonesia, Japan, Mexico, South Korea, France, Germany, Italy, Netherlands, Spain and United Kingdom, that expire on November 23, 2038 or later, and 85 pending patent applications worldwide, including 6 pending U.S. applications, 79 pending non-U.S. applications, including applications in China, Europe and Japan. The U.S. patents, 93 national/regional patents and 10 of our pending patent applications contain composition-of-matter claims to the deucrictibant small molecule and derivatives thereof; deucrictibant is the active pharmaceutical ingredient (API) in, and therefore extends our patents/patent applications to, our IR and XR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Two national/regional patents and 9 of our pending applications contain claims directed to the use of deucrictibant in on-demand treatment of HAE and in prophylaxis for HAE, and accordingly extend the patent applications to methods of use of the IR and XR product candidates. 53 granted patents, including in China, France, Germany, Italy, Netherlands, Spain and United Kingdom, and 18 of our pending patent applications, including an U.S. application, contain claims directed to the formulation of our IR product candidate. Two of our applications that are pending in the U.S. and Europe contain claims directed to the crystal form of the API. Two European patents and 46 pending national/regional patent applications are directly or indirectly directed to the formulation of our deucrictibant XR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7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73"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20</w:t>
      </w: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On March 31, 2016, we entered into a license agreement (the "BRAIN License"), and a research agreement with BRAIN to collaborate for the development of an orally available bradykinin B2 receptor antagonist. Pursuant to the BRAIN License, we acquired a worldwide, exclusive license from BRAIN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IR and XR are subject to the BRAIN License. In consideration for the license, we paid BRAIN a non-refundable up-front payment of approximately €0.3 million.</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Under the BRAIN License, we are required to make one-time payments in an aggregate amount of up to €11.7 million upon the achievement of certain development, regulatory, and sales milestones. To date, we have paid an aggregate amount of approximately €3.7 million (approximately €0.3 million up-front plus €3.4 million in milestone payments). Under the BRAIN License, up to €8.0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82"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Our agreement with BRAIN will expire, on a product-by-product basis, upon (i) with respect to a royalty-bearing product, the expiry of the last valid claim of a royalty-bearing patent that claims such royalty-bearing product, and (ii) with respect to a licensed product that is not royalty-bearing, the expiry of the last valid claim of a non-royalty-bearing patent that claims such licensed product. Royalty-bearing patents comprise US Patent No. 10.836,748 and any patent or patent application that shares common priority with such patent. Each of deucrictibant, IR and XR is a royalty-bearing product.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BRAIN. If BRAIN were to (a) terminate the BRAIN License for cause and (b) exercise contractual remedies available to it thereunder, then we could be required to grant to BRAIN an exclusive worldwide license to our intellectual property generated under the collaboration with BRAIN for use in all applications, including HAE. In addition, we could be prevented from competing with BRAIN until five years after the commercial launch of any product containing a compound from the OB2RA Class.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We currently have two CDMOs for the production of deucrictibant active pharmaceutical ingredient (API). A robust and scalable synthetic route has been established. All raw materials can be purchased from multiple suppliers. We also partner with a leading CDMO for the manufacturing of the on-demand treatment product, deucrictibant IR capsules. Another well-established CDMO produces the prophylactic treatment product, deucrictibant XR tablets. A CDMO with a global footprint is responsible for packaging and worldwide distribution of Clinical Trial Material. We partnered with a further Commercial Packaging Organization (CPO) with a global footprint for the packaging and labeling of commercial finished drug product.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deucrictibant IR or deucrictibant XR.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approved therapies for HAE, including the following:</w:t>
      </w:r>
    </w:p>
    <w:p>
      <w:pPr>
        <w:spacing w:after="0" w:line="113" w:lineRule="exact"/>
        <w:rPr>
          <w:sz w:val="20"/>
          <w:szCs w:val="20"/>
          <w:color w:val="auto"/>
        </w:rPr>
      </w:pPr>
    </w:p>
    <w:p>
      <w:pPr>
        <w:jc w:val="both"/>
        <w:ind w:left="1020" w:right="60" w:hanging="503"/>
        <w:spacing w:after="0" w:line="266"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for the treatment of acute attacks and is administered by</w:t>
      </w:r>
      <w:r>
        <w:rPr>
          <w:rFonts w:ascii="Arial" w:cs="Arial" w:eastAsia="Arial" w:hAnsi="Arial"/>
          <w:sz w:val="16"/>
          <w:szCs w:val="16"/>
          <w:i w:val="1"/>
          <w:iCs w:val="1"/>
          <w:color w:val="auto"/>
        </w:rPr>
        <w:t xml:space="preserve"> </w:t>
      </w:r>
      <w:r>
        <w:rPr>
          <w:rFonts w:ascii="Arial" w:cs="Arial" w:eastAsia="Arial" w:hAnsi="Arial"/>
          <w:sz w:val="16"/>
          <w:szCs w:val="16"/>
          <w:color w:val="auto"/>
        </w:rPr>
        <w:t>subcutaneous administration. Seven generic forms of icatibant have been approved in the U.S. since July 2019 and more may be approved in the future.</w:t>
      </w:r>
    </w:p>
    <w:p>
      <w:pPr>
        <w:spacing w:after="0" w:line="62" w:lineRule="exact"/>
        <w:rPr>
          <w:rFonts w:ascii="Times New Roman" w:cs="Times New Roman" w:eastAsia="Times New Roman" w:hAnsi="Times New Roman"/>
          <w:sz w:val="16"/>
          <w:szCs w:val="16"/>
          <w:color w:val="auto"/>
        </w:rPr>
      </w:pPr>
    </w:p>
    <w:p>
      <w:pPr>
        <w:jc w:val="both"/>
        <w:ind w:left="1020" w:right="380" w:hanging="503"/>
        <w:spacing w:after="0" w:line="266"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as an acute therapy (BERINERT, CINRYZE, and CETOR) and as a prophylactic therapy</w:t>
      </w:r>
      <w:r>
        <w:rPr>
          <w:rFonts w:ascii="Arial" w:cs="Arial" w:eastAsia="Arial" w:hAnsi="Arial"/>
          <w:sz w:val="16"/>
          <w:szCs w:val="16"/>
          <w:i w:val="1"/>
          <w:iCs w:val="1"/>
          <w:color w:val="auto"/>
        </w:rPr>
        <w:t xml:space="preserve"> </w:t>
      </w:r>
      <w:r>
        <w:rPr>
          <w:rFonts w:ascii="Arial" w:cs="Arial" w:eastAsia="Arial" w:hAnsi="Arial"/>
          <w:sz w:val="16"/>
          <w:szCs w:val="16"/>
          <w:color w:val="auto"/>
        </w:rPr>
        <w:t>(HAEGARDA/BERINERT 2000/3000 and CINRYZE). These therapies are dosed subcutaneously and intravenously. Recombinant C1INH (RUCONEST) is also available as an acute therapy.</w:t>
      </w:r>
    </w:p>
    <w:p>
      <w:pPr>
        <w:spacing w:after="0" w:line="62" w:lineRule="exact"/>
        <w:rPr>
          <w:rFonts w:ascii="Times New Roman" w:cs="Times New Roman" w:eastAsia="Times New Roman" w:hAnsi="Times New Roman"/>
          <w:sz w:val="16"/>
          <w:szCs w:val="16"/>
          <w:color w:val="auto"/>
        </w:rPr>
      </w:pPr>
    </w:p>
    <w:p>
      <w:pPr>
        <w:ind w:left="1020" w:right="80" w:hanging="503"/>
        <w:spacing w:after="0" w:line="259"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to treat acute</w:t>
      </w:r>
      <w:r>
        <w:rPr>
          <w:rFonts w:ascii="Arial" w:cs="Arial" w:eastAsia="Arial" w:hAnsi="Arial"/>
          <w:sz w:val="16"/>
          <w:szCs w:val="16"/>
          <w:i w:val="1"/>
          <w:iCs w:val="1"/>
          <w:color w:val="auto"/>
        </w:rPr>
        <w:t xml:space="preserve"> </w:t>
      </w:r>
      <w:r>
        <w:rPr>
          <w:rFonts w:ascii="Arial" w:cs="Arial" w:eastAsia="Arial" w:hAnsi="Arial"/>
          <w:sz w:val="16"/>
          <w:szCs w:val="16"/>
          <w:color w:val="auto"/>
        </w:rPr>
        <w:t>HAE attacks. TAKHZYRO (lanadelumab-flyo) is a monoclonal antibody approved for prophylaxis of HAE attacks and can be self-administered as a subcutaneous injection. ORLADEYO (berotralstat) is a kallikrein inhibitor that was approved is dosed orally once daily for the prevention of HAE attacks. DAWNZERA (donidalorsen) is an RNA targeted plasma kallikrein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21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spacing w:after="0" w:line="266" w:lineRule="auto"/>
        <w:rPr>
          <w:sz w:val="20"/>
          <w:szCs w:val="20"/>
          <w:color w:val="auto"/>
        </w:rPr>
      </w:pPr>
      <w:r>
        <w:rPr>
          <w:rFonts w:ascii="Arial" w:cs="Arial" w:eastAsia="Arial" w:hAnsi="Arial"/>
          <w:sz w:val="16"/>
          <w:szCs w:val="16"/>
          <w:color w:val="auto"/>
        </w:rPr>
        <w:t>antisense oligonucleotide delivered subcutaneously either once or twice a month and was approved in the U.S. in the third quarter of 2025. EKTERLY (sebetralstat) is an oral kallikrein inhibitor that was approved for on-demand treatment of HAE attacks in the U.S. in the third quarter of 2025.</w:t>
      </w:r>
    </w:p>
    <w:p>
      <w:pPr>
        <w:spacing w:after="0" w:line="63" w:lineRule="exact"/>
        <w:rPr>
          <w:sz w:val="20"/>
          <w:szCs w:val="20"/>
          <w:color w:val="auto"/>
        </w:rPr>
      </w:pPr>
    </w:p>
    <w:p>
      <w:pPr>
        <w:ind w:left="1020" w:right="40" w:hanging="503"/>
        <w:spacing w:after="0" w:line="285"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Anti-factor XIIa mAb: </w:t>
      </w:r>
      <w:r>
        <w:rPr>
          <w:rFonts w:ascii="Arial" w:cs="Arial" w:eastAsia="Arial" w:hAnsi="Arial"/>
          <w:sz w:val="16"/>
          <w:szCs w:val="16"/>
          <w:color w:val="auto"/>
        </w:rPr>
        <w:t>ANDEMBRY (garadacimab) is an anti-factor XIIa mAb delivered subcutaneously once a month and approved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second quarter of 2025.</w:t>
      </w:r>
    </w:p>
    <w:p>
      <w:pPr>
        <w:spacing w:after="0" w:line="48" w:lineRule="exact"/>
        <w:rPr>
          <w:rFonts w:ascii="Times New Roman" w:cs="Times New Roman" w:eastAsia="Times New Roman" w:hAnsi="Times New Roman"/>
          <w:sz w:val="16"/>
          <w:szCs w:val="16"/>
          <w:color w:val="auto"/>
        </w:rPr>
      </w:pPr>
    </w:p>
    <w:p>
      <w:pPr>
        <w:ind w:left="1020" w:right="20" w:hanging="503"/>
        <w:spacing w:after="0" w:line="259"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7"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We are also aware of a number of HAE therapies in clinical development: STAR-0215 from Astria, a long-lived monoclonal antibody inhibitor of plasma kallikrein dosed subcutaneously, a gene therapy – NTLA-2002 from Intellia, using CRISPR technology to knock out the gene for prekallikrein, and ARD-324 from ADARx, an siRNA in development for the prophylactic treatment of HAE.</w:t>
      </w:r>
    </w:p>
    <w:p>
      <w:pPr>
        <w:spacing w:after="0" w:line="171" w:lineRule="exact"/>
        <w:rPr>
          <w:sz w:val="20"/>
          <w:szCs w:val="20"/>
          <w:color w:val="auto"/>
        </w:rPr>
      </w:pPr>
    </w:p>
    <w:p>
      <w:pPr>
        <w:ind w:right="180" w:firstLine="458"/>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Chemical and Pharmaceutical development</w:t>
      </w:r>
    </w:p>
    <w:p>
      <w:pPr>
        <w:spacing w:after="0" w:line="11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Chemical Development entails the development of the laboratory synthesis of the Drug Substance into a scalable process meeting the requirements of reproducibility, robustness, efficiency, and process safety, to manufacture the Drug Substance in high quality. Laboratory tests are conducted to develop a suitable formulation for clinical and commercial use. Pharmaceutical development includes the development of a formulation of the API, stability testing, and a robust Drug Product manufacturing process. The conduct of Chemical and Pharmaceutical development must comply with regulations and requirements set by the Competent Authorities, including compliance with cGMP.</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22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5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8"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0"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23</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0"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183"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is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7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25</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8" w:lineRule="exact"/>
        <w:rPr>
          <w:sz w:val="20"/>
          <w:szCs w:val="20"/>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5"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products. Accordingly, manufacturers must continue to spend time, money and effort in the area of production, distribution and quality control to maintain compliance with cGMP and other aspects of regulatory compliance.</w:t>
      </w:r>
    </w:p>
    <w:p>
      <w:pPr>
        <w:spacing w:after="0" w:line="18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4" w:lineRule="exact"/>
        <w:rPr>
          <w:sz w:val="20"/>
          <w:szCs w:val="20"/>
          <w:color w:val="auto"/>
        </w:rPr>
      </w:pPr>
    </w:p>
    <w:p>
      <w:pPr>
        <w:ind w:right="220" w:firstLine="458"/>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26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(e.g., the 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329" w:lineRule="exact"/>
        <w:rPr>
          <w:sz w:val="20"/>
          <w:szCs w:val="20"/>
          <w:color w:val="auto"/>
        </w:rPr>
      </w:pPr>
    </w:p>
    <w:p>
      <w:pPr>
        <w:ind w:left="1020" w:right="40" w:hanging="503"/>
        <w:spacing w:after="0" w:line="248" w:lineRule="auto"/>
        <w:tabs>
          <w:tab w:leader="none" w:pos="102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including, without limitation, any kickback, bribe, or certain rebates.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(such as Medicare and Medicaid).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200" w:lineRule="exact"/>
        <w:rPr>
          <w:rFonts w:ascii="Times New Roman" w:cs="Times New Roman" w:eastAsia="Times New Roman" w:hAnsi="Times New Roman"/>
          <w:sz w:val="16"/>
          <w:szCs w:val="16"/>
          <w:color w:val="auto"/>
        </w:rPr>
      </w:pPr>
    </w:p>
    <w:p>
      <w:pPr>
        <w:spacing w:after="0" w:line="265" w:lineRule="exact"/>
        <w:rPr>
          <w:rFonts w:ascii="Times New Roman" w:cs="Times New Roman" w:eastAsia="Times New Roman" w:hAnsi="Times New Roman"/>
          <w:sz w:val="16"/>
          <w:szCs w:val="16"/>
          <w:color w:val="auto"/>
        </w:rPr>
      </w:pPr>
    </w:p>
    <w:p>
      <w:pPr>
        <w:ind w:left="900" w:hanging="428"/>
        <w:spacing w:after="0" w:line="249" w:lineRule="auto"/>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7" w:lineRule="exact"/>
        <w:rPr>
          <w:rFonts w:ascii="Times New Roman" w:cs="Times New Roman" w:eastAsia="Times New Roman" w:hAnsi="Times New Roman"/>
          <w:sz w:val="16"/>
          <w:szCs w:val="16"/>
          <w:color w:val="auto"/>
        </w:rPr>
      </w:pPr>
    </w:p>
    <w:p>
      <w:pPr>
        <w:ind w:left="900" w:right="80" w:hanging="428"/>
        <w:spacing w:after="0" w:line="259" w:lineRule="auto"/>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27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900" w:right="100"/>
        <w:spacing w:after="0" w:line="286" w:lineRule="auto"/>
        <w:rPr>
          <w:sz w:val="20"/>
          <w:szCs w:val="20"/>
          <w:color w:val="auto"/>
        </w:rPr>
      </w:pPr>
      <w:r>
        <w:rPr>
          <w:rFonts w:ascii="Arial" w:cs="Arial" w:eastAsia="Arial" w:hAnsi="Arial"/>
          <w:sz w:val="16"/>
          <w:szCs w:val="16"/>
          <w:color w:val="auto"/>
        </w:rPr>
        <w:t>pretenses, representations or promises, any money or property owned by, or under the control or custody of, any healthcare benefit program in connection with the delivery of or payment for healthcare benefits, items or services.</w:t>
      </w:r>
    </w:p>
    <w:p>
      <w:pPr>
        <w:spacing w:after="0" w:line="48" w:lineRule="exact"/>
        <w:rPr>
          <w:sz w:val="20"/>
          <w:szCs w:val="20"/>
          <w:color w:val="auto"/>
        </w:rPr>
      </w:pPr>
    </w:p>
    <w:p>
      <w:pPr>
        <w:ind w:left="900" w:right="20" w:hanging="428"/>
        <w:spacing w:after="0" w:line="251"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w:t>
      </w:r>
    </w:p>
    <w:p>
      <w:pPr>
        <w:spacing w:after="0" w:line="1"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(3) violations of the federal Anti-Kickback Statute; or (4) failing to report and return a known overpayment.</w:t>
      </w:r>
    </w:p>
    <w:p>
      <w:pPr>
        <w:spacing w:after="0" w:line="97"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(referred to as “protected health information” under the law),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78" w:lineRule="exact"/>
        <w:rPr>
          <w:rFonts w:ascii="Times New Roman" w:cs="Times New Roman" w:eastAsia="Times New Roman" w:hAnsi="Times New Roman"/>
          <w:sz w:val="16"/>
          <w:szCs w:val="16"/>
          <w:color w:val="auto"/>
        </w:rPr>
      </w:pPr>
    </w:p>
    <w:p>
      <w:pPr>
        <w:ind w:left="900" w:right="20" w:hanging="428"/>
        <w:spacing w:after="0" w:line="254"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2"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62"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4"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5"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-509905</wp:posOffset>
            </wp:positionV>
            <wp:extent cx="285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28</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3" w:lineRule="exact"/>
        <w:rPr>
          <w:sz w:val="20"/>
          <w:szCs w:val="20"/>
          <w:color w:val="auto"/>
        </w:rPr>
      </w:pPr>
    </w:p>
    <w:p>
      <w:pPr>
        <w:ind w:left="900" w:right="30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2" w:lineRule="exact"/>
        <w:rPr>
          <w:rFonts w:ascii="Times New Roman" w:cs="Times New Roman" w:eastAsia="Times New Roman" w:hAnsi="Times New Roman"/>
          <w:sz w:val="16"/>
          <w:szCs w:val="16"/>
          <w:color w:val="auto"/>
        </w:rPr>
      </w:pPr>
    </w:p>
    <w:p>
      <w:pPr>
        <w:ind w:left="90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5" w:lineRule="exact"/>
        <w:rPr>
          <w:rFonts w:ascii="Times New Roman" w:cs="Times New Roman" w:eastAsia="Times New Roman" w:hAnsi="Times New Roman"/>
          <w:sz w:val="16"/>
          <w:szCs w:val="16"/>
          <w:color w:val="auto"/>
        </w:rPr>
      </w:pPr>
    </w:p>
    <w:p>
      <w:pPr>
        <w:ind w:left="900" w:right="54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8" w:lineRule="exact"/>
        <w:rPr>
          <w:rFonts w:ascii="Times New Roman" w:cs="Times New Roman" w:eastAsia="Times New Roman" w:hAnsi="Times New Roman"/>
          <w:sz w:val="16"/>
          <w:szCs w:val="16"/>
          <w:color w:val="auto"/>
        </w:rPr>
      </w:pPr>
    </w:p>
    <w:p>
      <w:pPr>
        <w:ind w:left="900" w:right="96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5"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7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86" w:lineRule="exact"/>
        <w:rPr>
          <w:sz w:val="20"/>
          <w:szCs w:val="20"/>
          <w:color w:val="auto"/>
        </w:rPr>
      </w:pPr>
    </w:p>
    <w:p>
      <w:pPr>
        <w:ind w:right="140" w:firstLine="503"/>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30</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(also known as “protected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 personal health information between investigators and Pharvaris. In other words, the failure of Pharvaris’s research partners to comply with these laws could lead to the exclusion of important data from Pharvaris studies.</w:t>
      </w:r>
    </w:p>
    <w:p>
      <w:pPr>
        <w:spacing w:after="0" w:line="182"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31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5"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4" w:lineRule="exact"/>
        <w:rPr>
          <w:sz w:val="20"/>
          <w:szCs w:val="20"/>
          <w:color w:val="auto"/>
        </w:rPr>
      </w:pPr>
    </w:p>
    <w:p>
      <w:pPr>
        <w:ind w:right="620" w:firstLine="458"/>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5"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60" w:firstLine="458"/>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78"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900" w:right="420" w:hanging="428"/>
        <w:spacing w:after="0" w:line="285" w:lineRule="auto"/>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4" w:lineRule="exact"/>
        <w:rPr>
          <w:sz w:val="20"/>
          <w:szCs w:val="20"/>
          <w:color w:val="auto"/>
        </w:rPr>
      </w:pPr>
    </w:p>
    <w:p>
      <w:pPr>
        <w:ind w:right="160" w:firstLine="458"/>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33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Commercialization and promotion of prescription only medicinal products to consumers or patients (directly or indirectly) is strictly forbidden. Advertising of medicines pre-approval or off-label is also prohibited.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900" w:right="160" w:hanging="428"/>
        <w:spacing w:after="0" w:line="259"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34</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5"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5" w:lineRule="exact"/>
        <w:rPr>
          <w:rFonts w:ascii="Times New Roman" w:cs="Times New Roman" w:eastAsia="Times New Roman" w:hAnsi="Times New Roman"/>
          <w:sz w:val="16"/>
          <w:szCs w:val="16"/>
          <w:color w:val="auto"/>
        </w:rPr>
      </w:pPr>
    </w:p>
    <w:p>
      <w:pPr>
        <w:ind w:left="900" w:right="72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900" w:right="14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jc w:val="both"/>
        <w:ind w:right="380" w:firstLine="458"/>
        <w:spacing w:after="0" w:line="266"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374"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0"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2.3 Organizational structure</w:t>
      </w:r>
    </w:p>
    <w:p>
      <w:pPr>
        <w:spacing w:after="0" w:line="113"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149225</wp:posOffset>
            </wp:positionV>
            <wp:extent cx="3394710" cy="1911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9471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2.4 Property, plants and equipment</w:t>
      </w:r>
    </w:p>
    <w:p>
      <w:pPr>
        <w:spacing w:after="0" w:line="113" w:lineRule="exact"/>
        <w:rPr>
          <w:sz w:val="20"/>
          <w:szCs w:val="20"/>
          <w:color w:val="auto"/>
        </w:rPr>
      </w:pPr>
    </w:p>
    <w:p>
      <w:pPr>
        <w:jc w:val="both"/>
        <w:ind w:right="220" w:firstLine="458"/>
        <w:spacing w:after="0" w:line="286"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w:t>
      </w:r>
    </w:p>
    <w:p>
      <w:pPr>
        <w:sectPr>
          <w:pgSz w:w="11900" w:h="16838" w:orient="portrait"/>
          <w:cols w:equalWidth="0" w:num="1">
            <w:col w:w="11200"/>
          </w:cols>
          <w:pgMar w:left="320" w:top="773" w:right="37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approximately 622 square meters is rented through December 31, 2029 and our office space in Zug measuring approximately 58 square meters is rented on a monthly basis.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4A.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Operating Results</w:t>
      </w:r>
    </w:p>
    <w:p>
      <w:pPr>
        <w:spacing w:after="0" w:line="115" w:lineRule="exact"/>
        <w:rPr>
          <w:sz w:val="20"/>
          <w:szCs w:val="20"/>
          <w:color w:val="auto"/>
        </w:rPr>
      </w:pPr>
    </w:p>
    <w:p>
      <w:pPr>
        <w:ind w:right="100" w:firstLine="458"/>
        <w:spacing w:after="0" w:line="25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4"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3"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AE-BK by both preventing attacks from occurring, using an extended-release (XR) tablet formulation of deucrictibant (previously referred to as PHVS719), as well as treat the manifestations of attacks, using an immediate-release (IR) capsule formulation of deucrictibant (previously referred to as PHVS416). The XR tablet formulation is designed to maintain therapeutic levels for over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369" w:lineRule="exact"/>
        <w:rPr>
          <w:sz w:val="20"/>
          <w:szCs w:val="20"/>
          <w:color w:val="auto"/>
        </w:rPr>
      </w:pPr>
    </w:p>
    <w:p>
      <w:pPr>
        <w:jc w:val="both"/>
        <w:ind w:right="44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178" w:lineRule="exact"/>
        <w:rPr>
          <w:sz w:val="20"/>
          <w:szCs w:val="20"/>
          <w:color w:val="auto"/>
        </w:rPr>
      </w:pPr>
    </w:p>
    <w:p>
      <w:pPr>
        <w:ind w:right="140" w:firstLine="458"/>
        <w:spacing w:after="0" w:line="265" w:lineRule="auto"/>
        <w:rPr>
          <w:sz w:val="20"/>
          <w:szCs w:val="20"/>
          <w:color w:val="auto"/>
        </w:rPr>
      </w:pPr>
      <w:r>
        <w:rPr>
          <w:rFonts w:ascii="Arial" w:cs="Arial" w:eastAsia="Arial" w:hAnsi="Arial"/>
          <w:sz w:val="16"/>
          <w:szCs w:val="16"/>
          <w:color w:val="auto"/>
        </w:rPr>
        <w:t>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and was well tolerated. Pharvaris plans to submit a New Drug Application (NDA) with the U.S. Food and Drug Administration (FDA) in the first half of 2026 for the on-demand treatment of acute attacks of HAE.</w:t>
      </w:r>
    </w:p>
    <w:p>
      <w:pPr>
        <w:spacing w:after="0" w:line="172"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In December 2024, we initiated CHAPTER-3, a global, pivotal, randomized, double-blind, placebo-controlled Phase 3 study of orally administered deucrictibant extended-release tablet for the prophylaxis against angioedema attacks in adults and adolescents (12 years and older) with HAE.</w:t>
      </w:r>
    </w:p>
    <w:p>
      <w:pPr>
        <w:spacing w:after="0" w:line="156"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In addition, we are also running open-label extension studies in both on-demand (RAPIDe-2) and prophylactic (CHAPTER-4) settings to collect long-term safety and efficacy data in HAE patients. In October 2025, we initiated CREAATE, a global, pivotal Phase 3 study of to assess the efficacy and safety of deucrictibant for the prophylactic and on-demand treatment of AAE-C1INH attacks.</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37</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result of those factors. For a detailed discussion, see Note 17 to our consolidated financial statements included elsewhere in this Annual Report.</w:t>
      </w:r>
    </w:p>
    <w:p>
      <w:pPr>
        <w:spacing w:after="0" w:line="22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conflict in the Middle East have created global security concerns that could result in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3"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2024 can be found in our annual report on Form 20-F, filed with the SEC on April 7, 2025.</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our resources to research and development efforts relating to the development of deucrictibant and our product candidates IR and XR. We expect that we will continue to incur significant research and development expenses as we seek to complete the clinical development of our product candidate XR,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20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("SBC") expenses, bonus plans, travel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52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the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We expect our total research and development expenses to increase in 2026, driven by activities supporting the preparation and submission of the New Drug Application for IR to the U.S. FDA, as well as the continued development of our XR product candidate and our clinical study in AAE.</w:t>
      </w:r>
    </w:p>
    <w:p>
      <w:pPr>
        <w:spacing w:after="0" w:line="156"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38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60" w:firstLine="229"/>
        <w:spacing w:after="0" w:line="259" w:lineRule="auto"/>
        <w:rPr>
          <w:sz w:val="20"/>
          <w:szCs w:val="20"/>
          <w:color w:val="auto"/>
        </w:rPr>
      </w:pPr>
      <w:r>
        <w:rPr>
          <w:rFonts w:ascii="Arial" w:cs="Arial" w:eastAsia="Arial" w:hAnsi="Arial"/>
          <w:sz w:val="16"/>
          <w:szCs w:val="16"/>
          <w:color w:val="auto"/>
        </w:rPr>
        <w:t>Certain consulting, and facility-related costs previously reported under General and Administrative expenses were determined to be more appropriately classified as Research and Development expenses. The Company reclassified approximately €4.6 million from General and Administrative expenses to Research and Development expenses for the year ended December 31, 2025. This reclassification had no impact on the total operating expenses, net loss, or loss per share.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219"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Historically, we have not incurred any selling and distribution expenses. We anticipate incurring substantial selling and distribution expenses in future periods in order to establish a U.S. infrastructure for marketing and distribution, obtain supplies of active pharmaceutical ingredients, and manufacture commercial quantities of our product candidate.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560" w:hanging="428"/>
        <w:spacing w:after="0" w:line="285"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travel related expenses; and</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firstLine="458"/>
        <w:spacing w:after="0" w:line="275" w:lineRule="auto"/>
        <w:rPr>
          <w:sz w:val="20"/>
          <w:szCs w:val="20"/>
          <w:color w:val="auto"/>
        </w:rPr>
      </w:pPr>
      <w:r>
        <w:rPr>
          <w:rFonts w:ascii="Arial" w:cs="Arial" w:eastAsia="Arial" w:hAnsi="Arial"/>
          <w:sz w:val="16"/>
          <w:szCs w:val="16"/>
          <w:color w:val="auto"/>
        </w:rPr>
        <w:t>We anticipate that the continuing development of our business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36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We undertook a review of our expense classification methodology within the General and Administrative section to better align with the nature of the underlying activities and industry practices. As a result of this review, €2.4 million of pre-commercial costs previously reported under “Other expenses” were determined to be more appropriately classified in other line items within the table. Variances that are not discussed below, are due to reclassifications and/or had no impact on the total General and Administrative expenses for the year ended December 31, 2025.</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3" w:lineRule="exact"/>
        <w:rPr>
          <w:sz w:val="20"/>
          <w:szCs w:val="20"/>
          <w:color w:val="auto"/>
        </w:rPr>
      </w:pPr>
    </w:p>
    <w:p>
      <w:pPr>
        <w:ind w:right="120" w:firstLine="229"/>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expenses or general and administrative expenses.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SBC expense recorded for the years ended December 31, 2025, 2024 and 2023 were €19.1 million, €16.2 million and €10.7 million, respectively.</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2024 and 2023</w:t>
      </w:r>
    </w:p>
    <w:p>
      <w:pPr>
        <w:spacing w:after="0" w:line="111" w:lineRule="exact"/>
        <w:rPr>
          <w:sz w:val="20"/>
          <w:szCs w:val="20"/>
          <w:color w:val="auto"/>
        </w:rPr>
      </w:pPr>
    </w:p>
    <w:p>
      <w:pPr>
        <w:ind w:right="180" w:firstLine="229"/>
        <w:spacing w:after="0" w:line="266" w:lineRule="auto"/>
        <w:rPr>
          <w:sz w:val="20"/>
          <w:szCs w:val="20"/>
          <w:color w:val="auto"/>
        </w:rPr>
      </w:pPr>
      <w:r>
        <w:rPr>
          <w:rFonts w:ascii="Arial" w:cs="Arial" w:eastAsia="Arial" w:hAnsi="Arial"/>
          <w:sz w:val="16"/>
          <w:szCs w:val="16"/>
          <w:color w:val="auto"/>
        </w:rPr>
        <w:t>A discussion of the financial results for the year ended December 31, 2024 as compared to the year ended December 31, 2023 can be found in the section entitled “Item 5. Operating and Financial Review and Prospects—A. Operating Results— Financial operations overview—Comparison of the years ended December 31, 2024 and 2023” in our annual report on Form 20-F, filed with the SEC on April 7,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39</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2025 and 2024</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00" w:lineRule="exact"/>
        <w:rPr>
          <w:sz w:val="20"/>
          <w:szCs w:val="20"/>
          <w:color w:val="auto"/>
        </w:rPr>
      </w:pPr>
    </w:p>
    <w:p>
      <w:pPr>
        <w:spacing w:after="0" w:line="231"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auto"/>
        </w:rPr>
        <w:t>For the year ended</w:t>
      </w:r>
    </w:p>
    <w:tbl>
      <w:tblPr>
        <w:tblLayout w:type="fixed"/>
        <w:tblInd w:w="0" w:type="dxa"/>
        <w:tblCellMar>
          <w:top w:w="0" w:type="dxa"/>
          <w:left w:w="0" w:type="dxa"/>
          <w:bottom w:w="0" w:type="dxa"/>
          <w:right w:w="0" w:type="dxa"/>
        </w:tblCellMar>
      </w:tblPr>
      <w:tr>
        <w:trPr>
          <w:trHeight w:val="141"/>
        </w:trPr>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5"/>
          </w:tcPr>
          <w:p>
            <w:pPr>
              <w:ind w:left="80"/>
              <w:spacing w:after="0" w:line="141" w:lineRule="exact"/>
              <w:rPr>
                <w:sz w:val="20"/>
                <w:szCs w:val="20"/>
                <w:color w:val="auto"/>
              </w:rPr>
            </w:pPr>
            <w:r>
              <w:rPr>
                <w:rFonts w:ascii="Arial" w:cs="Arial" w:eastAsia="Arial" w:hAnsi="Arial"/>
                <w:sz w:val="13"/>
                <w:szCs w:val="13"/>
                <w:b w:val="1"/>
                <w:bCs w:val="1"/>
                <w:color w:val="auto"/>
              </w:rPr>
              <w:t>December 31,</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Change</w:t>
            </w:r>
          </w:p>
        </w:tc>
        <w:tc>
          <w:tcPr>
            <w:tcW w:w="280" w:type="dxa"/>
            <w:vAlign w:val="bottom"/>
            <w:vMerge w:val="restart"/>
          </w:tcPr>
          <w:p>
            <w:pPr>
              <w:spacing w:after="0"/>
              <w:rPr>
                <w:sz w:val="12"/>
                <w:szCs w:val="12"/>
                <w:color w:val="auto"/>
              </w:rPr>
            </w:pPr>
          </w:p>
        </w:tc>
        <w:tc>
          <w:tcPr>
            <w:tcW w:w="98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700" w:type="dxa"/>
            <w:vAlign w:val="bottom"/>
            <w:tcBorders>
              <w:top w:val="single" w:sz="8" w:color="auto"/>
              <w:bottom w:val="single" w:sz="8" w:color="auto"/>
            </w:tcBorders>
            <w:gridSpan w:val="2"/>
          </w:tcPr>
          <w:p>
            <w:pPr>
              <w:jc w:val="right"/>
              <w:ind w:right="648"/>
              <w:spacing w:after="0" w:line="129" w:lineRule="exact"/>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81"/>
              <w:spacing w:after="0" w:line="129"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5"/>
          </w:tcPr>
          <w:p>
            <w:pPr>
              <w:ind w:left="840"/>
              <w:spacing w:after="0" w:line="129" w:lineRule="exact"/>
              <w:rPr>
                <w:sz w:val="20"/>
                <w:szCs w:val="20"/>
                <w:color w:val="auto"/>
              </w:rPr>
            </w:pPr>
            <w:r>
              <w:rPr>
                <w:rFonts w:ascii="Arial" w:cs="Arial" w:eastAsia="Arial" w:hAnsi="Arial"/>
                <w:sz w:val="13"/>
                <w:szCs w:val="13"/>
                <w:b w:val="1"/>
                <w:bCs w:val="1"/>
                <w:color w:val="auto"/>
              </w:rPr>
              <w:t>(in €)</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940" w:type="dxa"/>
            <w:vAlign w:val="bottom"/>
            <w:gridSpan w:val="3"/>
            <w:shd w:val="clear" w:color="auto" w:fill="CFF0FC"/>
          </w:tcPr>
          <w:p>
            <w:pPr>
              <w:jc w:val="right"/>
              <w:ind w:right="137"/>
              <w:spacing w:after="0"/>
              <w:rPr>
                <w:sz w:val="20"/>
                <w:szCs w:val="20"/>
                <w:color w:val="auto"/>
              </w:rPr>
            </w:pPr>
            <w:r>
              <w:rPr>
                <w:rFonts w:ascii="Arial" w:cs="Arial" w:eastAsia="Arial" w:hAnsi="Arial"/>
                <w:sz w:val="16"/>
                <w:szCs w:val="16"/>
                <w:color w:val="auto"/>
              </w:rPr>
              <w:t>(124,478,334)</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(98,563,529)</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(25,914,805)</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3"/>
          </w:tcPr>
          <w:p>
            <w:pPr>
              <w:jc w:val="right"/>
              <w:ind w:right="137"/>
              <w:spacing w:after="0"/>
              <w:rPr>
                <w:sz w:val="20"/>
                <w:szCs w:val="20"/>
                <w:color w:val="auto"/>
              </w:rPr>
            </w:pPr>
            <w:r>
              <w:rPr>
                <w:rFonts w:ascii="Arial" w:cs="Arial" w:eastAsia="Arial" w:hAnsi="Arial"/>
                <w:sz w:val="16"/>
                <w:szCs w:val="16"/>
                <w:color w:val="auto"/>
              </w:rPr>
              <w:t>(45,344,598)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(47,124,638)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1,780,040</w:t>
            </w:r>
          </w:p>
        </w:tc>
        <w:tc>
          <w:tcPr>
            <w:tcW w:w="28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940" w:type="dxa"/>
            <w:vAlign w:val="bottom"/>
            <w:gridSpan w:val="3"/>
            <w:shd w:val="clear" w:color="auto" w:fill="CFF0FC"/>
          </w:tcPr>
          <w:p>
            <w:pPr>
              <w:jc w:val="right"/>
              <w:ind w:right="137"/>
              <w:spacing w:after="0"/>
              <w:rPr>
                <w:sz w:val="20"/>
                <w:szCs w:val="20"/>
                <w:color w:val="auto"/>
              </w:rPr>
            </w:pPr>
            <w:r>
              <w:rPr>
                <w:rFonts w:ascii="Arial" w:cs="Arial" w:eastAsia="Arial" w:hAnsi="Arial"/>
                <w:sz w:val="16"/>
                <w:szCs w:val="16"/>
                <w:b w:val="1"/>
                <w:bCs w:val="1"/>
                <w:color w:val="auto"/>
              </w:rPr>
              <w:t>(169,822,932)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(145,688,167)</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(24,134,765)</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Finance income (expense)</w:t>
            </w:r>
          </w:p>
        </w:tc>
        <w:tc>
          <w:tcPr>
            <w:tcW w:w="1940" w:type="dxa"/>
            <w:vAlign w:val="bottom"/>
            <w:gridSpan w:val="3"/>
          </w:tcPr>
          <w:p>
            <w:pPr>
              <w:jc w:val="right"/>
              <w:ind w:right="137"/>
              <w:spacing w:after="0"/>
              <w:rPr>
                <w:sz w:val="20"/>
                <w:szCs w:val="20"/>
                <w:color w:val="auto"/>
              </w:rPr>
            </w:pPr>
            <w:r>
              <w:rPr>
                <w:rFonts w:ascii="Arial" w:cs="Arial" w:eastAsia="Arial" w:hAnsi="Arial"/>
                <w:sz w:val="16"/>
                <w:szCs w:val="16"/>
                <w:color w:val="auto"/>
              </w:rPr>
              <w:t>(3,888,564)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13,291,664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(17,180,228)</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940" w:type="dxa"/>
            <w:vAlign w:val="bottom"/>
            <w:gridSpan w:val="3"/>
            <w:shd w:val="clear" w:color="auto" w:fill="CFF0FC"/>
          </w:tcPr>
          <w:p>
            <w:pPr>
              <w:jc w:val="right"/>
              <w:ind w:right="137"/>
              <w:spacing w:after="0"/>
              <w:rPr>
                <w:sz w:val="20"/>
                <w:szCs w:val="20"/>
                <w:color w:val="auto"/>
              </w:rPr>
            </w:pPr>
            <w:r>
              <w:rPr>
                <w:rFonts w:ascii="Arial" w:cs="Arial" w:eastAsia="Arial" w:hAnsi="Arial"/>
                <w:sz w:val="16"/>
                <w:szCs w:val="16"/>
                <w:b w:val="1"/>
                <w:bCs w:val="1"/>
                <w:color w:val="auto"/>
              </w:rPr>
              <w:t>(173,711,496)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(132,396,503)</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(41,314,993)</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Income taxes</w:t>
            </w:r>
          </w:p>
        </w:tc>
        <w:tc>
          <w:tcPr>
            <w:tcW w:w="1940" w:type="dxa"/>
            <w:vAlign w:val="bottom"/>
            <w:gridSpan w:val="3"/>
          </w:tcPr>
          <w:p>
            <w:pPr>
              <w:jc w:val="right"/>
              <w:ind w:right="137"/>
              <w:spacing w:after="0"/>
              <w:rPr>
                <w:sz w:val="20"/>
                <w:szCs w:val="20"/>
                <w:color w:val="auto"/>
              </w:rPr>
            </w:pPr>
            <w:r>
              <w:rPr>
                <w:rFonts w:ascii="Arial" w:cs="Arial" w:eastAsia="Arial" w:hAnsi="Arial"/>
                <w:sz w:val="16"/>
                <w:szCs w:val="16"/>
                <w:color w:val="auto"/>
              </w:rPr>
              <w:t>(1,987,901)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(1,825,024)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(162,877)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Loss for the period</w:t>
            </w:r>
          </w:p>
        </w:tc>
        <w:tc>
          <w:tcPr>
            <w:tcW w:w="1940" w:type="dxa"/>
            <w:vAlign w:val="bottom"/>
            <w:gridSpan w:val="3"/>
            <w:shd w:val="clear" w:color="auto" w:fill="CFF0FC"/>
          </w:tcPr>
          <w:p>
            <w:pPr>
              <w:jc w:val="right"/>
              <w:ind w:right="137"/>
              <w:spacing w:after="0" w:line="169" w:lineRule="exact"/>
              <w:rPr>
                <w:sz w:val="20"/>
                <w:szCs w:val="20"/>
                <w:color w:val="auto"/>
              </w:rPr>
            </w:pPr>
            <w:r>
              <w:rPr>
                <w:rFonts w:ascii="Arial" w:cs="Arial" w:eastAsia="Arial" w:hAnsi="Arial"/>
                <w:sz w:val="16"/>
                <w:szCs w:val="16"/>
                <w:b w:val="1"/>
                <w:bCs w:val="1"/>
                <w:color w:val="auto"/>
              </w:rPr>
              <w:t>(175,699,397)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(134,221,527)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20"/>
              <w:spacing w:after="0" w:line="169" w:lineRule="exact"/>
              <w:rPr>
                <w:sz w:val="20"/>
                <w:szCs w:val="20"/>
                <w:color w:val="auto"/>
              </w:rPr>
            </w:pPr>
            <w:r>
              <w:rPr>
                <w:rFonts w:ascii="Arial" w:cs="Arial" w:eastAsia="Arial" w:hAnsi="Arial"/>
                <w:sz w:val="16"/>
                <w:szCs w:val="16"/>
                <w:b w:val="1"/>
                <w:bCs w:val="1"/>
                <w:color w:val="auto"/>
              </w:rPr>
              <w:t>(41,477,870)</w:t>
            </w:r>
          </w:p>
        </w:tc>
        <w:tc>
          <w:tcPr>
            <w:tcW w:w="12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437"/>
        </w:trPr>
        <w:tc>
          <w:tcPr>
            <w:tcW w:w="4740" w:type="dxa"/>
            <w:vAlign w:val="bottom"/>
            <w:tcBorders>
              <w:top w:val="single" w:sz="8" w:color="CFF0FC"/>
            </w:tcBorders>
          </w:tcPr>
          <w:p>
            <w:pPr>
              <w:ind w:left="460"/>
              <w:spacing w:after="0"/>
              <w:rPr>
                <w:sz w:val="20"/>
                <w:szCs w:val="20"/>
                <w:color w:val="auto"/>
              </w:rPr>
            </w:pPr>
            <w:r>
              <w:rPr>
                <w:rFonts w:ascii="Arial" w:cs="Arial" w:eastAsia="Arial" w:hAnsi="Arial"/>
                <w:sz w:val="16"/>
                <w:szCs w:val="16"/>
                <w:i w:val="1"/>
                <w:iCs w:val="1"/>
                <w:color w:val="auto"/>
              </w:rPr>
              <w:t>Research and development expenses</w:t>
            </w:r>
          </w:p>
        </w:tc>
        <w:tc>
          <w:tcPr>
            <w:tcW w:w="7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gridSpan w:val="8"/>
          </w:tcPr>
          <w:p>
            <w:pPr>
              <w:jc w:val="center"/>
              <w:ind w:right="920"/>
              <w:spacing w:after="0"/>
              <w:rPr>
                <w:sz w:val="20"/>
                <w:szCs w:val="20"/>
                <w:color w:val="auto"/>
              </w:rPr>
            </w:pPr>
            <w:r>
              <w:rPr>
                <w:rFonts w:ascii="Arial" w:cs="Arial" w:eastAsia="Arial" w:hAnsi="Arial"/>
                <w:sz w:val="13"/>
                <w:szCs w:val="13"/>
                <w:b w:val="1"/>
                <w:bCs w:val="1"/>
                <w:color w:val="auto"/>
                <w:w w:val="97"/>
              </w:rPr>
              <w:t>For the year ended</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700" w:type="dxa"/>
            <w:vAlign w:val="bottom"/>
            <w:gridSpan w:val="2"/>
            <w:vMerge w:val="restart"/>
          </w:tcPr>
          <w:p>
            <w:pPr>
              <w:jc w:val="right"/>
              <w:ind w:right="48"/>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1"/>
                <w:szCs w:val="11"/>
                <w:color w:val="auto"/>
              </w:rPr>
            </w:pPr>
          </w:p>
        </w:tc>
        <w:tc>
          <w:tcPr>
            <w:tcW w:w="2020" w:type="dxa"/>
            <w:vAlign w:val="bottom"/>
            <w:gridSpan w:val="7"/>
          </w:tcPr>
          <w:p>
            <w:pPr>
              <w:jc w:val="center"/>
              <w:ind w:right="116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98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(in €</w:t>
            </w:r>
          </w:p>
        </w:tc>
        <w:tc>
          <w:tcPr>
            <w:tcW w:w="140" w:type="dxa"/>
            <w:vAlign w:val="bottom"/>
          </w:tcPr>
          <w:p>
            <w:pPr>
              <w:spacing w:after="0"/>
              <w:rPr>
                <w:sz w:val="13"/>
                <w:szCs w:val="13"/>
                <w:color w:val="auto"/>
              </w:rPr>
            </w:pPr>
          </w:p>
        </w:tc>
        <w:tc>
          <w:tcPr>
            <w:tcW w:w="1040" w:type="dxa"/>
            <w:vAlign w:val="bottom"/>
          </w:tcPr>
          <w:p>
            <w:pPr>
              <w:jc w:val="right"/>
              <w:ind w:right="281"/>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vMerge w:val="continue"/>
          </w:tcPr>
          <w:p>
            <w:pPr>
              <w:spacing w:after="0"/>
              <w:rPr>
                <w:sz w:val="11"/>
                <w:szCs w:val="11"/>
                <w:color w:val="auto"/>
              </w:rPr>
            </w:pPr>
          </w:p>
        </w:tc>
        <w:tc>
          <w:tcPr>
            <w:tcW w:w="14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2360" w:type="dxa"/>
            <w:vAlign w:val="bottom"/>
            <w:gridSpan w:val="5"/>
            <w:shd w:val="clear" w:color="auto" w:fill="CFF0FC"/>
          </w:tcPr>
          <w:p>
            <w:pPr>
              <w:jc w:val="right"/>
              <w:ind w:right="137"/>
              <w:spacing w:after="0"/>
              <w:rPr>
                <w:sz w:val="20"/>
                <w:szCs w:val="20"/>
                <w:color w:val="auto"/>
              </w:rPr>
            </w:pPr>
            <w:r>
              <w:rPr>
                <w:rFonts w:ascii="Arial" w:cs="Arial" w:eastAsia="Arial" w:hAnsi="Arial"/>
                <w:sz w:val="16"/>
                <w:szCs w:val="16"/>
                <w:color w:val="auto"/>
              </w:rPr>
              <w:t>(67,744,537)</w:t>
            </w:r>
          </w:p>
        </w:tc>
        <w:tc>
          <w:tcPr>
            <w:tcW w:w="140" w:type="dxa"/>
            <w:vAlign w:val="bottom"/>
            <w:shd w:val="clear" w:color="auto" w:fill="CFF0FC"/>
          </w:tcPr>
          <w:p>
            <w:pPr>
              <w:spacing w:after="0"/>
              <w:rPr>
                <w:sz w:val="16"/>
                <w:szCs w:val="16"/>
                <w:color w:val="auto"/>
              </w:rPr>
            </w:pP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(55,867,694)</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(11,876,843)</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Personnel expenses</w:t>
            </w:r>
          </w:p>
        </w:tc>
        <w:tc>
          <w:tcPr>
            <w:tcW w:w="2360" w:type="dxa"/>
            <w:vAlign w:val="bottom"/>
            <w:gridSpan w:val="5"/>
          </w:tcPr>
          <w:p>
            <w:pPr>
              <w:jc w:val="right"/>
              <w:ind w:right="137"/>
              <w:spacing w:after="0"/>
              <w:rPr>
                <w:sz w:val="20"/>
                <w:szCs w:val="20"/>
                <w:color w:val="auto"/>
              </w:rPr>
            </w:pPr>
            <w:r>
              <w:rPr>
                <w:rFonts w:ascii="Arial" w:cs="Arial" w:eastAsia="Arial" w:hAnsi="Arial"/>
                <w:sz w:val="16"/>
                <w:szCs w:val="16"/>
                <w:color w:val="auto"/>
              </w:rPr>
              <w:t>(35,755,155)</w:t>
            </w:r>
          </w:p>
        </w:tc>
        <w:tc>
          <w:tcPr>
            <w:tcW w:w="140" w:type="dxa"/>
            <w:vAlign w:val="bottom"/>
          </w:tcPr>
          <w:p>
            <w:pPr>
              <w:spacing w:after="0"/>
              <w:rPr>
                <w:sz w:val="16"/>
                <w:szCs w:val="16"/>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6"/>
                <w:szCs w:val="16"/>
                <w:color w:val="auto"/>
              </w:rPr>
              <w:t>(27,767,184)</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(7,987,971)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2360" w:type="dxa"/>
            <w:vAlign w:val="bottom"/>
            <w:gridSpan w:val="5"/>
            <w:shd w:val="clear" w:color="auto" w:fill="CFF0FC"/>
          </w:tcPr>
          <w:p>
            <w:pPr>
              <w:jc w:val="right"/>
              <w:ind w:right="137"/>
              <w:spacing w:after="0"/>
              <w:rPr>
                <w:sz w:val="20"/>
                <w:szCs w:val="20"/>
                <w:color w:val="auto"/>
              </w:rPr>
            </w:pPr>
            <w:r>
              <w:rPr>
                <w:rFonts w:ascii="Arial" w:cs="Arial" w:eastAsia="Arial" w:hAnsi="Arial"/>
                <w:sz w:val="16"/>
                <w:szCs w:val="16"/>
                <w:color w:val="auto"/>
              </w:rPr>
              <w:t>(12,024,982)</w:t>
            </w:r>
          </w:p>
        </w:tc>
        <w:tc>
          <w:tcPr>
            <w:tcW w:w="140" w:type="dxa"/>
            <w:vAlign w:val="bottom"/>
            <w:shd w:val="clear" w:color="auto" w:fill="CFF0FC"/>
          </w:tcPr>
          <w:p>
            <w:pPr>
              <w:spacing w:after="0"/>
              <w:rPr>
                <w:sz w:val="16"/>
                <w:szCs w:val="16"/>
                <w:color w:val="auto"/>
              </w:rPr>
            </w:pP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(9,434,537)</w:t>
            </w: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(2,590,445)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Nonclinical expenses</w:t>
            </w:r>
          </w:p>
        </w:tc>
        <w:tc>
          <w:tcPr>
            <w:tcW w:w="2360" w:type="dxa"/>
            <w:vAlign w:val="bottom"/>
            <w:gridSpan w:val="5"/>
          </w:tcPr>
          <w:p>
            <w:pPr>
              <w:jc w:val="right"/>
              <w:ind w:right="137"/>
              <w:spacing w:after="0"/>
              <w:rPr>
                <w:sz w:val="20"/>
                <w:szCs w:val="20"/>
                <w:color w:val="auto"/>
              </w:rPr>
            </w:pPr>
            <w:r>
              <w:rPr>
                <w:rFonts w:ascii="Arial" w:cs="Arial" w:eastAsia="Arial" w:hAnsi="Arial"/>
                <w:sz w:val="16"/>
                <w:szCs w:val="16"/>
                <w:color w:val="auto"/>
              </w:rPr>
              <w:t>(7,485,648)</w:t>
            </w:r>
          </w:p>
        </w:tc>
        <w:tc>
          <w:tcPr>
            <w:tcW w:w="140" w:type="dxa"/>
            <w:vAlign w:val="bottom"/>
          </w:tcPr>
          <w:p>
            <w:pPr>
              <w:spacing w:after="0"/>
              <w:rPr>
                <w:sz w:val="16"/>
                <w:szCs w:val="16"/>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6"/>
                <w:szCs w:val="16"/>
                <w:color w:val="auto"/>
              </w:rPr>
              <w:t>(3,324,513)</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(4,161,135)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2360" w:type="dxa"/>
            <w:vAlign w:val="bottom"/>
            <w:gridSpan w:val="5"/>
            <w:shd w:val="clear" w:color="auto" w:fill="CFF0FC"/>
          </w:tcPr>
          <w:p>
            <w:pPr>
              <w:jc w:val="right"/>
              <w:ind w:right="137"/>
              <w:spacing w:after="0"/>
              <w:rPr>
                <w:sz w:val="20"/>
                <w:szCs w:val="20"/>
                <w:color w:val="auto"/>
              </w:rPr>
            </w:pPr>
            <w:r>
              <w:rPr>
                <w:rFonts w:ascii="Arial" w:cs="Arial" w:eastAsia="Arial" w:hAnsi="Arial"/>
                <w:sz w:val="16"/>
                <w:szCs w:val="16"/>
                <w:color w:val="auto"/>
              </w:rPr>
              <w:t>(1,065,471)</w:t>
            </w:r>
          </w:p>
        </w:tc>
        <w:tc>
          <w:tcPr>
            <w:tcW w:w="140" w:type="dxa"/>
            <w:vAlign w:val="bottom"/>
            <w:shd w:val="clear" w:color="auto" w:fill="CFF0FC"/>
          </w:tcPr>
          <w:p>
            <w:pPr>
              <w:spacing w:after="0"/>
              <w:rPr>
                <w:sz w:val="16"/>
                <w:szCs w:val="16"/>
                <w:color w:val="auto"/>
              </w:rPr>
            </w:pP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(1,592,687)</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527,216</w:t>
            </w:r>
          </w:p>
        </w:tc>
        <w:tc>
          <w:tcPr>
            <w:tcW w:w="280" w:type="dxa"/>
            <w:vAlign w:val="bottom"/>
            <w:tcBorders>
              <w:left w:val="single" w:sz="8" w:color="CFF0FC"/>
              <w:right w:val="single" w:sz="8" w:color="CFF0FC"/>
            </w:tcBorders>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780" w:type="dxa"/>
            <w:vAlign w:val="bottom"/>
          </w:tcPr>
          <w:p>
            <w:pPr>
              <w:spacing w:after="0"/>
              <w:rPr>
                <w:sz w:val="16"/>
                <w:szCs w:val="16"/>
                <w:color w:val="auto"/>
              </w:rPr>
            </w:pPr>
          </w:p>
        </w:tc>
        <w:tc>
          <w:tcPr>
            <w:tcW w:w="1580" w:type="dxa"/>
            <w:vAlign w:val="bottom"/>
            <w:gridSpan w:val="4"/>
          </w:tcPr>
          <w:p>
            <w:pPr>
              <w:jc w:val="right"/>
              <w:ind w:right="137"/>
              <w:spacing w:after="0"/>
              <w:rPr>
                <w:sz w:val="20"/>
                <w:szCs w:val="20"/>
                <w:color w:val="auto"/>
              </w:rPr>
            </w:pPr>
            <w:r>
              <w:rPr>
                <w:rFonts w:ascii="Arial" w:cs="Arial" w:eastAsia="Arial" w:hAnsi="Arial"/>
                <w:sz w:val="16"/>
                <w:szCs w:val="16"/>
                <w:color w:val="auto"/>
              </w:rPr>
              <w:t>(402,541)</w:t>
            </w:r>
          </w:p>
        </w:tc>
        <w:tc>
          <w:tcPr>
            <w:tcW w:w="140" w:type="dxa"/>
            <w:vAlign w:val="bottom"/>
          </w:tcPr>
          <w:p>
            <w:pPr>
              <w:spacing w:after="0"/>
              <w:rPr>
                <w:sz w:val="16"/>
                <w:szCs w:val="16"/>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6"/>
                <w:szCs w:val="16"/>
                <w:color w:val="auto"/>
              </w:rPr>
              <w:t>(576,914)</w:t>
            </w:r>
          </w:p>
        </w:tc>
        <w:tc>
          <w:tcPr>
            <w:tcW w:w="1020" w:type="dxa"/>
            <w:vAlign w:val="bottom"/>
          </w:tcPr>
          <w:p>
            <w:pPr>
              <w:jc w:val="right"/>
              <w:spacing w:after="0"/>
              <w:rPr>
                <w:sz w:val="20"/>
                <w:szCs w:val="20"/>
                <w:color w:val="auto"/>
              </w:rPr>
            </w:pPr>
            <w:r>
              <w:rPr>
                <w:rFonts w:ascii="Arial" w:cs="Arial" w:eastAsia="Arial" w:hAnsi="Arial"/>
                <w:sz w:val="16"/>
                <w:szCs w:val="16"/>
                <w:color w:val="auto"/>
              </w:rPr>
              <w:t>174,373</w:t>
            </w:r>
          </w:p>
        </w:tc>
        <w:tc>
          <w:tcPr>
            <w:tcW w:w="2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research and development expenses</w:t>
            </w:r>
          </w:p>
        </w:tc>
        <w:tc>
          <w:tcPr>
            <w:tcW w:w="780" w:type="dxa"/>
            <w:vAlign w:val="bottom"/>
            <w:shd w:val="clear" w:color="auto" w:fill="CFF0FC"/>
          </w:tcPr>
          <w:p>
            <w:pPr>
              <w:spacing w:after="0"/>
              <w:rPr>
                <w:sz w:val="17"/>
                <w:szCs w:val="17"/>
                <w:color w:val="auto"/>
              </w:rPr>
            </w:pPr>
          </w:p>
        </w:tc>
        <w:tc>
          <w:tcPr>
            <w:tcW w:w="1580" w:type="dxa"/>
            <w:vAlign w:val="bottom"/>
            <w:gridSpan w:val="4"/>
            <w:shd w:val="clear" w:color="auto" w:fill="CFF0FC"/>
          </w:tcPr>
          <w:p>
            <w:pPr>
              <w:jc w:val="right"/>
              <w:ind w:right="137"/>
              <w:spacing w:after="0" w:line="169" w:lineRule="exact"/>
              <w:rPr>
                <w:sz w:val="20"/>
                <w:szCs w:val="20"/>
                <w:color w:val="auto"/>
              </w:rPr>
            </w:pPr>
            <w:r>
              <w:rPr>
                <w:rFonts w:ascii="Arial" w:cs="Arial" w:eastAsia="Arial" w:hAnsi="Arial"/>
                <w:sz w:val="16"/>
                <w:szCs w:val="16"/>
                <w:b w:val="1"/>
                <w:bCs w:val="1"/>
                <w:color w:val="auto"/>
              </w:rPr>
              <w:t>(124,478,334)</w:t>
            </w:r>
          </w:p>
        </w:tc>
        <w:tc>
          <w:tcPr>
            <w:tcW w:w="140" w:type="dxa"/>
            <w:vAlign w:val="bottom"/>
            <w:shd w:val="clear" w:color="auto" w:fill="CFF0FC"/>
          </w:tcPr>
          <w:p>
            <w:pPr>
              <w:spacing w:after="0"/>
              <w:rPr>
                <w:sz w:val="17"/>
                <w:szCs w:val="17"/>
                <w:color w:val="auto"/>
              </w:rPr>
            </w:pPr>
          </w:p>
        </w:tc>
        <w:tc>
          <w:tcPr>
            <w:tcW w:w="1460" w:type="dxa"/>
            <w:vAlign w:val="bottom"/>
            <w:gridSpan w:val="4"/>
            <w:shd w:val="clear" w:color="auto" w:fill="CFF0FC"/>
          </w:tcPr>
          <w:p>
            <w:pPr>
              <w:jc w:val="right"/>
              <w:ind w:right="160"/>
              <w:spacing w:after="0" w:line="169" w:lineRule="exact"/>
              <w:rPr>
                <w:sz w:val="20"/>
                <w:szCs w:val="20"/>
                <w:color w:val="auto"/>
              </w:rPr>
            </w:pPr>
            <w:r>
              <w:rPr>
                <w:rFonts w:ascii="Arial" w:cs="Arial" w:eastAsia="Arial" w:hAnsi="Arial"/>
                <w:sz w:val="16"/>
                <w:szCs w:val="16"/>
                <w:b w:val="1"/>
                <w:bCs w:val="1"/>
                <w:color w:val="auto"/>
              </w:rPr>
              <w:t>(98,563,529)</w:t>
            </w:r>
          </w:p>
        </w:tc>
        <w:tc>
          <w:tcPr>
            <w:tcW w:w="1300" w:type="dxa"/>
            <w:vAlign w:val="bottom"/>
            <w:tcBorders>
              <w:right w:val="single" w:sz="8" w:color="CFF0FC"/>
            </w:tcBorders>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(25,914,805)</w:t>
            </w:r>
          </w:p>
        </w:tc>
        <w:tc>
          <w:tcPr>
            <w:tcW w:w="12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-1670685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-1653540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-1670685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-1653540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-1670685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-1653540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-1670685</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-1653540</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1631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-8255</wp:posOffset>
            </wp:positionV>
            <wp:extent cx="1631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22"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Research and development expenses increased by €25.9 million in 2025, or 26%, from €98.6 million for the year ended December 31, 2024 to €124.5 million for the year ended December 31, 2025. The increase in research and development expenses was primarily driven by increased clinical and personnel expenditure.</w:t>
      </w:r>
    </w:p>
    <w:p>
      <w:pPr>
        <w:spacing w:after="0" w:line="212"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For the years ended December 31, 2025 and 2024, clinical expenses were €67.7 million and €55.9 million, respectively. This represents an increase of €11.9 million, or 21%. The increase in clinical expenses is primarily due to higher expenses in the deucrictibant Phase 3 studies (IR, XR and AAE), although expenses for the IR program slowed down towards the data readout in December 2025, while XR and AAE continued enrolling patients through the end of 2025 (see project-specific table below).</w:t>
      </w:r>
    </w:p>
    <w:p>
      <w:pPr>
        <w:spacing w:after="0" w:line="232"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For the years ended December 31, 2025 and 2024, personnel expenses were €35.8 million and €27.8 million, respectively. This represents an increase of €8.0 million, or 29%. The increase in personnel expenses is primarily driven by increases in salary, bonus and benefits expenses for existing employees and hiring new employees to support the three Phase 3 studies. The remaining increase in personnel expenses is driven by SBC expenses due to the new grants made during the period. SBC expense in the current period was €8.6 million versus €7.9 million in the prior period.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research and development expenses by project 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31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For the year ended</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040" w:type="dxa"/>
            <w:vAlign w:val="bottom"/>
            <w:gridSpan w:val="3"/>
          </w:tcPr>
          <w:p>
            <w:pPr>
              <w:jc w:val="center"/>
              <w:ind w:left="1065"/>
              <w:spacing w:after="0" w:line="135"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980" w:type="dxa"/>
            <w:vAlign w:val="bottom"/>
            <w:vMerge w:val="restart"/>
          </w:tcPr>
          <w:p>
            <w:pPr>
              <w:jc w:val="right"/>
              <w:ind w:right="362"/>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20" w:type="dxa"/>
            <w:vAlign w:val="bottom"/>
          </w:tcPr>
          <w:p>
            <w:pPr>
              <w:spacing w:after="0"/>
              <w:rPr>
                <w:sz w:val="13"/>
                <w:szCs w:val="13"/>
                <w:color w:val="auto"/>
              </w:rPr>
            </w:pPr>
          </w:p>
        </w:tc>
        <w:tc>
          <w:tcPr>
            <w:tcW w:w="1340" w:type="dxa"/>
            <w:vAlign w:val="bottom"/>
          </w:tcPr>
          <w:p>
            <w:pPr>
              <w:jc w:val="right"/>
              <w:ind w:right="465"/>
              <w:spacing w:after="0"/>
              <w:rPr>
                <w:sz w:val="20"/>
                <w:szCs w:val="20"/>
                <w:color w:val="auto"/>
              </w:rPr>
            </w:pPr>
            <w:r>
              <w:rPr>
                <w:rFonts w:ascii="Arial" w:cs="Arial" w:eastAsia="Arial" w:hAnsi="Arial"/>
                <w:sz w:val="13"/>
                <w:szCs w:val="13"/>
                <w:b w:val="1"/>
                <w:bCs w:val="1"/>
                <w:color w:val="auto"/>
              </w:rPr>
              <w:t>2025</w:t>
            </w:r>
          </w:p>
        </w:tc>
        <w:tc>
          <w:tcPr>
            <w:tcW w:w="2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(in €</w:t>
            </w:r>
          </w:p>
        </w:tc>
        <w:tc>
          <w:tcPr>
            <w:tcW w:w="4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5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vMerge w:val="continue"/>
          </w:tcPr>
          <w:p>
            <w:pPr>
              <w:spacing w:after="0"/>
              <w:rPr>
                <w:sz w:val="11"/>
                <w:szCs w:val="11"/>
                <w:color w:val="auto"/>
              </w:rPr>
            </w:pPr>
          </w:p>
        </w:tc>
        <w:tc>
          <w:tcPr>
            <w:tcW w:w="460" w:type="dxa"/>
            <w:vAlign w:val="bottom"/>
            <w:tcBorders>
              <w:top w:val="single" w:sz="8" w:color="auto"/>
            </w:tcBorders>
          </w:tcPr>
          <w:p>
            <w:pPr>
              <w:jc w:val="center"/>
              <w:ind w:right="337"/>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Project-Specific Expenses</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6"/>
                <w:szCs w:val="16"/>
                <w:color w:val="auto"/>
              </w:rPr>
              <w:t>On-Demand (IR) (HAE - Phase 3)</w:t>
            </w:r>
          </w:p>
        </w:tc>
        <w:tc>
          <w:tcPr>
            <w:tcW w:w="1580" w:type="dxa"/>
            <w:vAlign w:val="bottom"/>
            <w:gridSpan w:val="2"/>
          </w:tcPr>
          <w:p>
            <w:pPr>
              <w:jc w:val="right"/>
              <w:ind w:right="137"/>
              <w:spacing w:after="0"/>
              <w:rPr>
                <w:sz w:val="20"/>
                <w:szCs w:val="20"/>
                <w:color w:val="auto"/>
              </w:rPr>
            </w:pPr>
            <w:r>
              <w:rPr>
                <w:rFonts w:ascii="Arial" w:cs="Arial" w:eastAsia="Arial" w:hAnsi="Arial"/>
                <w:sz w:val="16"/>
                <w:szCs w:val="16"/>
                <w:color w:val="auto"/>
              </w:rPr>
              <w:t>(28,227,615)</w:t>
            </w:r>
          </w:p>
        </w:tc>
        <w:tc>
          <w:tcPr>
            <w:tcW w:w="4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(30,528,841)</w:t>
            </w:r>
          </w:p>
        </w:tc>
        <w:tc>
          <w:tcPr>
            <w:tcW w:w="1080" w:type="dxa"/>
            <w:vAlign w:val="bottom"/>
          </w:tcPr>
          <w:p>
            <w:pPr>
              <w:jc w:val="right"/>
              <w:spacing w:after="0"/>
              <w:rPr>
                <w:sz w:val="20"/>
                <w:szCs w:val="20"/>
                <w:color w:val="auto"/>
              </w:rPr>
            </w:pPr>
            <w:r>
              <w:rPr>
                <w:rFonts w:ascii="Arial" w:cs="Arial" w:eastAsia="Arial" w:hAnsi="Arial"/>
                <w:sz w:val="16"/>
                <w:szCs w:val="16"/>
                <w:color w:val="auto"/>
              </w:rPr>
              <w:t>2,301,226</w:t>
            </w: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52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Prophylaxis (XR) (HAE - Phase 3)</w:t>
            </w:r>
          </w:p>
        </w:tc>
        <w:tc>
          <w:tcPr>
            <w:tcW w:w="158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(32,103,855)</w:t>
            </w:r>
          </w:p>
        </w:tc>
        <w:tc>
          <w:tcPr>
            <w:tcW w:w="4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(27,033,364)</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(5,070,491)</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AAE (AAE - Phase 3)</w:t>
            </w:r>
          </w:p>
        </w:tc>
        <w:tc>
          <w:tcPr>
            <w:tcW w:w="1580" w:type="dxa"/>
            <w:vAlign w:val="bottom"/>
            <w:gridSpan w:val="2"/>
          </w:tcPr>
          <w:p>
            <w:pPr>
              <w:jc w:val="right"/>
              <w:ind w:right="137"/>
              <w:spacing w:after="0"/>
              <w:rPr>
                <w:sz w:val="20"/>
                <w:szCs w:val="20"/>
                <w:color w:val="auto"/>
              </w:rPr>
            </w:pPr>
            <w:r>
              <w:rPr>
                <w:rFonts w:ascii="Arial" w:cs="Arial" w:eastAsia="Arial" w:hAnsi="Arial"/>
                <w:sz w:val="16"/>
                <w:szCs w:val="16"/>
                <w:color w:val="auto"/>
              </w:rPr>
              <w:t>(6,947,530)</w:t>
            </w:r>
          </w:p>
        </w:tc>
        <w:tc>
          <w:tcPr>
            <w:tcW w:w="4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(212,533)</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(6,734,997)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Unallocated Expenses</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6"/>
                <w:szCs w:val="16"/>
                <w:color w:val="auto"/>
              </w:rPr>
              <w:t>Personnel</w:t>
            </w:r>
          </w:p>
        </w:tc>
        <w:tc>
          <w:tcPr>
            <w:tcW w:w="1580" w:type="dxa"/>
            <w:vAlign w:val="bottom"/>
            <w:gridSpan w:val="2"/>
          </w:tcPr>
          <w:p>
            <w:pPr>
              <w:jc w:val="right"/>
              <w:ind w:right="137"/>
              <w:spacing w:after="0"/>
              <w:rPr>
                <w:sz w:val="20"/>
                <w:szCs w:val="20"/>
                <w:color w:val="auto"/>
              </w:rPr>
            </w:pPr>
            <w:r>
              <w:rPr>
                <w:rFonts w:ascii="Arial" w:cs="Arial" w:eastAsia="Arial" w:hAnsi="Arial"/>
                <w:sz w:val="16"/>
                <w:szCs w:val="16"/>
                <w:color w:val="auto"/>
              </w:rPr>
              <w:t>(35,755,155)</w:t>
            </w:r>
          </w:p>
        </w:tc>
        <w:tc>
          <w:tcPr>
            <w:tcW w:w="4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(27,767,184)</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(7,987,971)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552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w:t>
            </w:r>
          </w:p>
        </w:tc>
        <w:tc>
          <w:tcPr>
            <w:tcW w:w="1580" w:type="dxa"/>
            <w:vAlign w:val="bottom"/>
            <w:gridSpan w:val="2"/>
            <w:shd w:val="clear" w:color="auto" w:fill="CFF0FC"/>
          </w:tcPr>
          <w:p>
            <w:pPr>
              <w:jc w:val="right"/>
              <w:ind w:right="137"/>
              <w:spacing w:after="0"/>
              <w:rPr>
                <w:sz w:val="20"/>
                <w:szCs w:val="20"/>
                <w:color w:val="auto"/>
              </w:rPr>
            </w:pPr>
            <w:r>
              <w:rPr>
                <w:rFonts w:ascii="Arial" w:cs="Arial" w:eastAsia="Arial" w:hAnsi="Arial"/>
                <w:sz w:val="16"/>
                <w:szCs w:val="16"/>
                <w:color w:val="auto"/>
              </w:rPr>
              <w:t>(21,444,179)</w:t>
            </w:r>
          </w:p>
        </w:tc>
        <w:tc>
          <w:tcPr>
            <w:tcW w:w="4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(13,021,606)</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(8,422,573)</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tcPr>
          <w:p>
            <w:pPr>
              <w:spacing w:after="0" w:line="169" w:lineRule="exact"/>
              <w:rPr>
                <w:sz w:val="20"/>
                <w:szCs w:val="20"/>
                <w:color w:val="auto"/>
              </w:rPr>
            </w:pPr>
            <w:r>
              <w:rPr>
                <w:rFonts w:ascii="Arial" w:cs="Arial" w:eastAsia="Arial" w:hAnsi="Arial"/>
                <w:sz w:val="16"/>
                <w:szCs w:val="16"/>
                <w:color w:val="auto"/>
              </w:rPr>
              <w:t>Total research and development expenses</w:t>
            </w:r>
          </w:p>
        </w:tc>
        <w:tc>
          <w:tcPr>
            <w:tcW w:w="1580" w:type="dxa"/>
            <w:vAlign w:val="bottom"/>
            <w:gridSpan w:val="2"/>
          </w:tcPr>
          <w:p>
            <w:pPr>
              <w:jc w:val="right"/>
              <w:ind w:right="137"/>
              <w:spacing w:after="0" w:line="169" w:lineRule="exact"/>
              <w:rPr>
                <w:sz w:val="20"/>
                <w:szCs w:val="20"/>
                <w:color w:val="auto"/>
              </w:rPr>
            </w:pPr>
            <w:r>
              <w:rPr>
                <w:rFonts w:ascii="Arial" w:cs="Arial" w:eastAsia="Arial" w:hAnsi="Arial"/>
                <w:sz w:val="16"/>
                <w:szCs w:val="16"/>
                <w:color w:val="auto"/>
              </w:rPr>
              <w:t>(124,478,334)</w:t>
            </w:r>
          </w:p>
        </w:tc>
        <w:tc>
          <w:tcPr>
            <w:tcW w:w="460" w:type="dxa"/>
            <w:vAlign w:val="bottom"/>
          </w:tcPr>
          <w:p>
            <w:pPr>
              <w:spacing w:after="0"/>
              <w:rPr>
                <w:sz w:val="15"/>
                <w:szCs w:val="15"/>
                <w:color w:val="auto"/>
              </w:rPr>
            </w:pPr>
          </w:p>
        </w:tc>
        <w:tc>
          <w:tcPr>
            <w:tcW w:w="114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(98,563,529)</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(25,914,805)</w:t>
            </w:r>
          </w:p>
        </w:tc>
        <w:tc>
          <w:tcPr>
            <w:tcW w:w="124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-153670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-153670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-153670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-153670</wp:posOffset>
            </wp:positionV>
            <wp:extent cx="163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40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On-Demand (IR) project-specific expense decreased in the second half of 2025, due to completion of the RAPIDe-3 pivotal Phase 3 study.</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Prophylaxis (XR) project-specific expense increased due to continued enrollment in the CHAPTER-3 pivotal Phase 3 study.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AAE project-specific expense increased during the current period due to the ramp-up of CREAATE, a global, pivotal Phase 3 study.</w:t>
      </w: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6"/>
              </w:rPr>
              <w:t>For the year ended</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6"/>
              </w:rPr>
              <w:t>December 31,</w:t>
            </w:r>
          </w:p>
        </w:tc>
        <w:tc>
          <w:tcPr>
            <w:tcW w:w="112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Change</w:t>
            </w:r>
          </w:p>
        </w:tc>
        <w:tc>
          <w:tcPr>
            <w:tcW w:w="260" w:type="dxa"/>
            <w:vAlign w:val="bottom"/>
            <w:vMerge w:val="restart"/>
          </w:tcPr>
          <w:p>
            <w:pPr>
              <w:spacing w:after="0"/>
              <w:rPr>
                <w:sz w:val="13"/>
                <w:szCs w:val="13"/>
                <w:color w:val="auto"/>
              </w:rPr>
            </w:pPr>
          </w:p>
        </w:tc>
        <w:tc>
          <w:tcPr>
            <w:tcW w:w="84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ind w:right="364"/>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61"/>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9"/>
              </w:rPr>
              <w:t>(in €)</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34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(23,139,822)</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(18,883,708)</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(4,256,114)</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Professional fees</w:t>
            </w:r>
          </w:p>
        </w:tc>
        <w:tc>
          <w:tcPr>
            <w:tcW w:w="1340" w:type="dxa"/>
            <w:vAlign w:val="bottom"/>
            <w:gridSpan w:val="2"/>
          </w:tcPr>
          <w:p>
            <w:pPr>
              <w:jc w:val="right"/>
              <w:ind w:right="97"/>
              <w:spacing w:after="0"/>
              <w:rPr>
                <w:sz w:val="20"/>
                <w:szCs w:val="20"/>
                <w:color w:val="auto"/>
              </w:rPr>
            </w:pPr>
            <w:r>
              <w:rPr>
                <w:rFonts w:ascii="Arial" w:cs="Arial" w:eastAsia="Arial" w:hAnsi="Arial"/>
                <w:sz w:val="16"/>
                <w:szCs w:val="16"/>
                <w:color w:val="auto"/>
              </w:rPr>
              <w:t>(8,616,327)</w:t>
            </w: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(7,757,750)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(858,577)</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34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(5,957,027)</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(6,509,691)</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552,664</w:t>
            </w: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40" w:type="dxa"/>
            <w:vAlign w:val="bottom"/>
            <w:gridSpan w:val="2"/>
          </w:tcPr>
          <w:p>
            <w:pPr>
              <w:jc w:val="right"/>
              <w:ind w:right="97"/>
              <w:spacing w:after="0"/>
              <w:rPr>
                <w:sz w:val="20"/>
                <w:szCs w:val="20"/>
                <w:color w:val="auto"/>
              </w:rPr>
            </w:pPr>
            <w:r>
              <w:rPr>
                <w:rFonts w:ascii="Arial" w:cs="Arial" w:eastAsia="Arial" w:hAnsi="Arial"/>
                <w:sz w:val="16"/>
                <w:szCs w:val="16"/>
                <w:color w:val="auto"/>
              </w:rPr>
              <w:t>(2,626,525)</w:t>
            </w: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(4,017,669)</w:t>
            </w:r>
          </w:p>
        </w:tc>
        <w:tc>
          <w:tcPr>
            <w:tcW w:w="1120" w:type="dxa"/>
            <w:vAlign w:val="bottom"/>
          </w:tcPr>
          <w:p>
            <w:pPr>
              <w:jc w:val="right"/>
              <w:spacing w:after="0"/>
              <w:rPr>
                <w:sz w:val="20"/>
                <w:szCs w:val="20"/>
                <w:color w:val="auto"/>
              </w:rPr>
            </w:pPr>
            <w:r>
              <w:rPr>
                <w:rFonts w:ascii="Arial" w:cs="Arial" w:eastAsia="Arial" w:hAnsi="Arial"/>
                <w:sz w:val="16"/>
                <w:szCs w:val="16"/>
                <w:color w:val="auto"/>
              </w:rPr>
              <w:t>1,391,144</w:t>
            </w:r>
          </w:p>
        </w:tc>
        <w:tc>
          <w:tcPr>
            <w:tcW w:w="2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134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(1,212,356)</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(2,129,631)</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917,275</w:t>
            </w: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Consulting fees</w:t>
            </w:r>
          </w:p>
        </w:tc>
        <w:tc>
          <w:tcPr>
            <w:tcW w:w="1340" w:type="dxa"/>
            <w:vAlign w:val="bottom"/>
            <w:gridSpan w:val="2"/>
          </w:tcPr>
          <w:p>
            <w:pPr>
              <w:jc w:val="right"/>
              <w:ind w:right="97"/>
              <w:spacing w:after="0"/>
              <w:rPr>
                <w:sz w:val="20"/>
                <w:szCs w:val="20"/>
                <w:color w:val="auto"/>
              </w:rPr>
            </w:pPr>
            <w:r>
              <w:rPr>
                <w:rFonts w:ascii="Arial" w:cs="Arial" w:eastAsia="Arial" w:hAnsi="Arial"/>
                <w:sz w:val="16"/>
                <w:szCs w:val="16"/>
                <w:color w:val="auto"/>
              </w:rPr>
              <w:t>(103,848)</w:t>
            </w: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(858,843)</w:t>
            </w:r>
          </w:p>
        </w:tc>
        <w:tc>
          <w:tcPr>
            <w:tcW w:w="1120" w:type="dxa"/>
            <w:vAlign w:val="bottom"/>
          </w:tcPr>
          <w:p>
            <w:pPr>
              <w:jc w:val="right"/>
              <w:spacing w:after="0"/>
              <w:rPr>
                <w:sz w:val="20"/>
                <w:szCs w:val="20"/>
                <w:color w:val="auto"/>
              </w:rPr>
            </w:pPr>
            <w:r>
              <w:rPr>
                <w:rFonts w:ascii="Arial" w:cs="Arial" w:eastAsia="Arial" w:hAnsi="Arial"/>
                <w:sz w:val="16"/>
                <w:szCs w:val="16"/>
                <w:color w:val="auto"/>
              </w:rPr>
              <w:t>754,995</w:t>
            </w:r>
          </w:p>
        </w:tc>
        <w:tc>
          <w:tcPr>
            <w:tcW w:w="2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34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(3,688,693)</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(6,967,346)</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3,278,653</w:t>
            </w: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b w:val="1"/>
                <w:bCs w:val="1"/>
                <w:color w:val="auto"/>
              </w:rPr>
              <w:t>General and administrative expenses</w:t>
            </w:r>
          </w:p>
        </w:tc>
        <w:tc>
          <w:tcPr>
            <w:tcW w:w="1340" w:type="dxa"/>
            <w:vAlign w:val="bottom"/>
            <w:gridSpan w:val="2"/>
          </w:tcPr>
          <w:p>
            <w:pPr>
              <w:jc w:val="right"/>
              <w:ind w:right="97"/>
              <w:spacing w:after="0" w:line="183" w:lineRule="exact"/>
              <w:rPr>
                <w:sz w:val="20"/>
                <w:szCs w:val="20"/>
                <w:color w:val="auto"/>
              </w:rPr>
            </w:pPr>
            <w:r>
              <w:rPr>
                <w:rFonts w:ascii="Arial" w:cs="Arial" w:eastAsia="Arial" w:hAnsi="Arial"/>
                <w:sz w:val="16"/>
                <w:szCs w:val="16"/>
                <w:b w:val="1"/>
                <w:bCs w:val="1"/>
                <w:color w:val="auto"/>
              </w:rPr>
              <w:t>(45,344,598)</w:t>
            </w:r>
          </w:p>
        </w:tc>
        <w:tc>
          <w:tcPr>
            <w:tcW w:w="180" w:type="dxa"/>
            <w:vAlign w:val="bottom"/>
          </w:tcPr>
          <w:p>
            <w:pPr>
              <w:spacing w:after="0"/>
              <w:rPr>
                <w:sz w:val="15"/>
                <w:szCs w:val="15"/>
                <w:color w:val="auto"/>
              </w:rPr>
            </w:pPr>
          </w:p>
        </w:tc>
        <w:tc>
          <w:tcPr>
            <w:tcW w:w="120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(47,124,638)</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1,780,040</w:t>
            </w:r>
          </w:p>
        </w:tc>
        <w:tc>
          <w:tcPr>
            <w:tcW w:w="260" w:type="dxa"/>
            <w:vAlign w:val="bottom"/>
          </w:tcPr>
          <w:p>
            <w:pPr>
              <w:spacing w:after="0"/>
              <w:rPr>
                <w:sz w:val="15"/>
                <w:szCs w:val="15"/>
                <w:color w:val="auto"/>
              </w:rPr>
            </w:pPr>
          </w:p>
        </w:tc>
        <w:tc>
          <w:tcPr>
            <w:tcW w:w="106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-1195070</wp:posOffset>
            </wp:positionV>
            <wp:extent cx="9398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-1195070</wp:posOffset>
            </wp:positionV>
            <wp:extent cx="9398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-153670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-153670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17"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General and administrative expenses decreased by €1.8 million, or (4)% from €47.1 million for the year ended December 31, 2024 to €45.3 million for the year ended December 31, 2025. The decrease was primarily driven by an increase of €3.9 million in personnel and professional Fees, offset by €6.9 million across the remaining general and administrative expenses categories.</w:t>
      </w:r>
    </w:p>
    <w:p>
      <w:pPr>
        <w:spacing w:after="0" w:line="63"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For the years ended December 31, 2025 and 2024, personnel expenses were €23.1 million and €18.9 million, respectively. This represents an increase of €4.3 million, or 23%. The increase was primarily driven by the transition from contractors to employees, higher salaries, bonuses, and benefits for existing staff, and the hiring of additional employees to support growth. Share-based compensation expense also increased as a result of equity awards granted to new and existing employees. Share-based compensation expense in the current-year period was €10.4 million compared to €8.3 million in the prior-year period.</w:t>
      </w:r>
    </w:p>
    <w:p>
      <w:pPr>
        <w:spacing w:after="0" w:line="37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Excluding the previously described reclassification of €4.6 million from General and Administrative expenses to Research and Development expenses, the €6.9 million decline was driven primarily by the absence of €0.7 million in one-time Investor Relations expenses associated with financing that was recorded in consulting fees, as well as a €0.8 million reduction in legal fees that was recorded in professional fees. The decrease also reflects a €1.2 million reduction in consulting costs that was recorded in accounting, tax and audit fees, resulting from the replacement of external contractors with internal employees, a €1.0 million decrease in implementation related expenditures, and a €0.9 million reduction in conference, event, and other administrative expenses.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(expense) / income - net</w:t>
      </w:r>
    </w:p>
    <w:p>
      <w:pPr>
        <w:spacing w:after="0" w:line="11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Finance (expense) / income – net, was (€3.9) million for the year ended December 31, 2025, compared to €13.3 million in 2024, representing a change of €17.2 million. This variance was primarily driven by a €19.1 million reduction in the value of U.S. dollar–denominated bank balances due to foreign exchange exposure, as the U.S. dollar depreciated by approximately 12% against the euro in 2025, compared to a 6% appreciation in 2024, partially offset by a €1.1 million increase in interest income.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the principal Company in Switzerland. Following discussions with the Dutch tax authorities in November 2022, the Company concluded that foreign exchange results should be allocated to the principal Company in Switzerland. As a result, the current losses for the principal Company are partly exacerbated by the allocated foreign exchange results. The principal Company did not recognize the tax benefit of the losses incurred in previous years.</w:t>
      </w:r>
    </w:p>
    <w:p>
      <w:pPr>
        <w:spacing w:after="0" w:line="25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The Company and its subsidiaries have tax loss carry-forwards as of December 31, 2025 of approximately €643.0 million (2024: €449.8 million; 2023: €325.0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jc w:val="both"/>
        <w:ind w:right="20" w:firstLine="458"/>
        <w:spacing w:after="0" w:line="259"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41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 date using the Black-Scholes formula (including the related number of options and the fair value of the options)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12,</w:t>
            </w: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August 1,</w:t>
            </w: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April 11,</w:t>
            </w:r>
          </w:p>
        </w:tc>
        <w:tc>
          <w:tcPr>
            <w:tcW w:w="1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11,</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15,</w:t>
            </w: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April 6,</w:t>
            </w:r>
          </w:p>
        </w:tc>
      </w:tr>
      <w:tr>
        <w:trPr>
          <w:trHeight w:val="17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r>
      <w:tr>
        <w:trPr>
          <w:trHeight w:val="156"/>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Number of options</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555,000</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230,000</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485,000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846,000</w:t>
            </w:r>
          </w:p>
        </w:tc>
        <w:tc>
          <w:tcPr>
            <w:tcW w:w="140" w:type="dxa"/>
            <w:vAlign w:val="bottom"/>
            <w:shd w:val="clear" w:color="auto" w:fill="CFF0FC"/>
          </w:tcPr>
          <w:p>
            <w:pPr>
              <w:spacing w:after="0"/>
              <w:rPr>
                <w:sz w:val="13"/>
                <w:szCs w:val="13"/>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Fair value of the options</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11.86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12.19</w:t>
            </w:r>
          </w:p>
        </w:tc>
        <w:tc>
          <w:tcPr>
            <w:tcW w:w="1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11.65</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15.41</w:t>
            </w:r>
          </w:p>
        </w:tc>
        <w:tc>
          <w:tcPr>
            <w:tcW w:w="180" w:type="dxa"/>
            <w:vAlign w:val="bottom"/>
          </w:tcPr>
          <w:p>
            <w:pPr>
              <w:spacing w:after="0"/>
              <w:rPr>
                <w:sz w:val="14"/>
                <w:szCs w:val="14"/>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16.83</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16.90</w:t>
            </w: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12.27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5.92</w:t>
            </w:r>
          </w:p>
        </w:tc>
        <w:tc>
          <w:tcPr>
            <w:tcW w:w="140" w:type="dxa"/>
            <w:vAlign w:val="bottom"/>
          </w:tcPr>
          <w:p>
            <w:pPr>
              <w:spacing w:after="0"/>
              <w:rPr>
                <w:sz w:val="14"/>
                <w:szCs w:val="14"/>
                <w:color w:val="auto"/>
              </w:rPr>
            </w:pPr>
          </w:p>
        </w:tc>
      </w:tr>
      <w:tr>
        <w:trPr>
          <w:trHeight w:val="153"/>
        </w:trPr>
        <w:tc>
          <w:tcPr>
            <w:tcW w:w="18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Fair value of the ordinary</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1"/>
        </w:trPr>
        <w:tc>
          <w:tcPr>
            <w:tcW w:w="1840" w:type="dxa"/>
            <w:vAlign w:val="bottom"/>
            <w:shd w:val="clear" w:color="auto" w:fill="CFF0FC"/>
          </w:tcPr>
          <w:p>
            <w:pPr>
              <w:spacing w:after="0"/>
              <w:rPr>
                <w:sz w:val="20"/>
                <w:szCs w:val="20"/>
                <w:color w:val="auto"/>
              </w:rPr>
            </w:pPr>
            <w:r>
              <w:rPr>
                <w:rFonts w:ascii="Arial" w:cs="Arial" w:eastAsia="Arial" w:hAnsi="Arial"/>
                <w:sz w:val="14"/>
                <w:szCs w:val="14"/>
                <w:color w:val="auto"/>
              </w:rPr>
              <w:t>shares</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w:t>
            </w:r>
          </w:p>
        </w:tc>
        <w:tc>
          <w:tcPr>
            <w:tcW w:w="18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18.97</w:t>
            </w:r>
          </w:p>
        </w:tc>
        <w:tc>
          <w:tcPr>
            <w:tcW w:w="18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4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Exercise price</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14.74</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14.74</w:t>
            </w:r>
          </w:p>
        </w:tc>
        <w:tc>
          <w:tcPr>
            <w:tcW w:w="1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14.43</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18.97</w:t>
            </w:r>
          </w:p>
        </w:tc>
        <w:tc>
          <w:tcPr>
            <w:tcW w:w="180" w:type="dxa"/>
            <w:vAlign w:val="bottom"/>
          </w:tcPr>
          <w:p>
            <w:pPr>
              <w:spacing w:after="0"/>
              <w:rPr>
                <w:sz w:val="14"/>
                <w:szCs w:val="14"/>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20.80</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20.80</w:t>
            </w: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15.12</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7.36</w:t>
            </w:r>
          </w:p>
        </w:tc>
        <w:tc>
          <w:tcPr>
            <w:tcW w:w="14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20"/>
                <w:szCs w:val="20"/>
                <w:color w:val="auto"/>
              </w:rPr>
            </w:pPr>
            <w:r>
              <w:rPr>
                <w:rFonts w:ascii="Arial" w:cs="Arial" w:eastAsia="Arial" w:hAnsi="Arial"/>
                <w:sz w:val="14"/>
                <w:szCs w:val="14"/>
                <w:color w:val="auto"/>
              </w:rPr>
              <w:t>Expected volatility (%)</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Expected life (years)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20"/>
                <w:szCs w:val="20"/>
                <w:color w:val="auto"/>
              </w:rPr>
            </w:pPr>
            <w:r>
              <w:rPr>
                <w:rFonts w:ascii="Arial" w:cs="Arial" w:eastAsia="Arial" w:hAnsi="Arial"/>
                <w:sz w:val="14"/>
                <w:szCs w:val="14"/>
                <w:color w:val="auto"/>
              </w:rPr>
              <w:t>Risk-free interest rate (%)</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Expected volatility in 2025, 2024 and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US Government bonds depending on whether the exercise price is in euros or in US dollars. The expected dividend yield is zero considering the stage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8" w:lineRule="exact"/>
        <w:rPr>
          <w:sz w:val="20"/>
          <w:szCs w:val="20"/>
          <w:color w:val="auto"/>
        </w:rPr>
      </w:pPr>
    </w:p>
    <w:p>
      <w:pPr>
        <w:ind w:left="900" w:hanging="428"/>
        <w:spacing w:after="0"/>
        <w:tabs>
          <w:tab w:leader="none" w:pos="90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Since inception, we have incurred significant operating losses. We incurred losses of €175.7 million during the year ended December 31, 2025 and €134.2 million during the year ended December 31, 2024.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2025, we have raised the following capital:</w:t>
      </w:r>
    </w:p>
    <w:p>
      <w:pPr>
        <w:spacing w:after="0" w:line="113" w:lineRule="exact"/>
        <w:rPr>
          <w:sz w:val="20"/>
          <w:szCs w:val="20"/>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9,562,500 ordinary shares and 500,000 pre-funded warrants raising €160.3 million (net of transaction costs).</w:t>
      </w:r>
    </w:p>
    <w:p>
      <w:pPr>
        <w:spacing w:after="0" w:line="200" w:lineRule="exact"/>
        <w:rPr>
          <w:sz w:val="20"/>
          <w:szCs w:val="20"/>
          <w:color w:val="auto"/>
        </w:rPr>
      </w:pPr>
    </w:p>
    <w:p>
      <w:pPr>
        <w:spacing w:after="0" w:line="223"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On March 1, 2022, we entered into a sales agreement (the "2022 Sales Agreement") with Leerink Partners LLC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with the Securities and Exchange Commission, allowing us to sell an unspecified amount of its securities. The F-3 ASR was supplemented by a prospectus supplement covering an at-the-market program providing for the sales from time to time of up to $175 million of its ordinary shares pursuant to the April 2024 Sales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2024, we have sold a total of 593,927 ordinary shares under the Sales Agreement generating total net proceeds of $9.8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 million), after deducting $0.3 million (€0.3 million), which was payable to Leerink Partners, LLC as commission in respect of such sales.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not sold any securities under the April 2024 Sales Agreement.</w:t>
      </w:r>
    </w:p>
    <w:p>
      <w:pPr>
        <w:spacing w:after="0" w:line="205"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In March 2024, the Company received a partial reimbursement for certain of its expenses in connection with the December 2023 offering which have been accounted for in share premium.</w:t>
      </w:r>
    </w:p>
    <w:p>
      <w:pPr>
        <w:spacing w:after="0" w:line="180" w:lineRule="exact"/>
        <w:rPr>
          <w:sz w:val="20"/>
          <w:szCs w:val="20"/>
          <w:color w:val="auto"/>
        </w:rPr>
      </w:pPr>
    </w:p>
    <w:p>
      <w:pPr>
        <w:ind w:right="140" w:firstLine="458"/>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173"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pacing w:after="0" w:line="15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As of December 31, 2025 we held cash and cash equivalents of €291.7 million. Of the cash on hand, €0.1 million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8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560" w:hanging="428"/>
        <w:spacing w:after="0" w:line="285" w:lineRule="auto"/>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43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other technologies or our clinical product candidate that we would prefer to develop and commercialize ourselves.</w:t>
      </w:r>
    </w:p>
    <w:p>
      <w:pPr>
        <w:spacing w:after="0" w:line="18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Silicon Valley Bank ("SVB"). As of April 2, 2026,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2024 and December 31, 2023</w:t>
      </w:r>
    </w:p>
    <w:p>
      <w:pPr>
        <w:spacing w:after="0" w:line="192" w:lineRule="exact"/>
        <w:rPr>
          <w:sz w:val="20"/>
          <w:szCs w:val="20"/>
          <w:color w:val="auto"/>
        </w:rPr>
      </w:pPr>
    </w:p>
    <w:p>
      <w:pPr>
        <w:ind w:right="220" w:firstLine="274"/>
        <w:spacing w:after="0" w:line="266" w:lineRule="auto"/>
        <w:rPr>
          <w:sz w:val="20"/>
          <w:szCs w:val="20"/>
          <w:color w:val="auto"/>
        </w:rPr>
      </w:pPr>
      <w:r>
        <w:rPr>
          <w:rFonts w:ascii="Arial" w:cs="Arial" w:eastAsia="Arial" w:hAnsi="Arial"/>
          <w:sz w:val="16"/>
          <w:szCs w:val="16"/>
          <w:color w:val="auto"/>
        </w:rPr>
        <w:t>A discussion of our cash flows for the year ended December 31, 2024 as compared to the year ended December 31, 2023 can be found in the section entitled “Item 5. Operating and Financial Review and Prospects—B. Liquidity and Capital Resources—Cash Flows—Comparison of the years ended December 31, 2024 and 2023” in our annual report on form 20-F, filed with the SEC on April 7, 2025.</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15" w:lineRule="exact"/>
        <w:rPr>
          <w:sz w:val="20"/>
          <w:szCs w:val="20"/>
          <w:color w:val="auto"/>
        </w:rPr>
      </w:pPr>
    </w:p>
    <w:p>
      <w:pPr>
        <w:jc w:val="center"/>
        <w:ind w:left="1520"/>
        <w:spacing w:after="0"/>
        <w:rPr>
          <w:sz w:val="20"/>
          <w:szCs w:val="20"/>
          <w:color w:val="auto"/>
        </w:rPr>
      </w:pPr>
      <w:r>
        <w:rPr>
          <w:rFonts w:ascii="Arial" w:cs="Arial" w:eastAsia="Arial" w:hAnsi="Arial"/>
          <w:sz w:val="13"/>
          <w:szCs w:val="13"/>
          <w:b w:val="1"/>
          <w:bCs w:val="1"/>
          <w:color w:val="auto"/>
        </w:rPr>
        <w:t>For the year ended</w:t>
      </w:r>
    </w:p>
    <w:p>
      <w:pPr>
        <w:jc w:val="center"/>
        <w:ind w:left="1520"/>
        <w:spacing w:after="0" w:line="226" w:lineRule="auto"/>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-12065</wp:posOffset>
            </wp:positionV>
            <wp:extent cx="162560"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560" cy="12827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-12065</wp:posOffset>
            </wp:positionV>
            <wp:extent cx="9398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2827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28"/>
        </w:trPr>
        <w:tc>
          <w:tcPr>
            <w:tcW w:w="414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ind w:right="563"/>
              <w:spacing w:after="0" w:line="129" w:lineRule="exact"/>
              <w:rPr>
                <w:sz w:val="20"/>
                <w:szCs w:val="20"/>
                <w:color w:val="auto"/>
              </w:rPr>
            </w:pPr>
            <w:r>
              <w:rPr>
                <w:rFonts w:ascii="Arial" w:cs="Arial" w:eastAsia="Arial" w:hAnsi="Arial"/>
                <w:sz w:val="13"/>
                <w:szCs w:val="13"/>
                <w:b w:val="1"/>
                <w:bCs w:val="1"/>
                <w:color w:val="auto"/>
              </w:rPr>
              <w:t>2025</w:t>
            </w:r>
          </w:p>
        </w:tc>
        <w:tc>
          <w:tcPr>
            <w:tcW w:w="320" w:type="dxa"/>
            <w:vAlign w:val="bottom"/>
          </w:tcPr>
          <w:p>
            <w:pPr>
              <w:spacing w:after="0"/>
              <w:rPr>
                <w:sz w:val="11"/>
                <w:szCs w:val="11"/>
                <w:color w:val="auto"/>
              </w:rPr>
            </w:pPr>
          </w:p>
        </w:tc>
        <w:tc>
          <w:tcPr>
            <w:tcW w:w="1460" w:type="dxa"/>
            <w:vAlign w:val="bottom"/>
            <w:tcBorders>
              <w:top w:val="single" w:sz="8" w:color="auto"/>
              <w:bottom w:val="single" w:sz="8" w:color="auto"/>
            </w:tcBorders>
          </w:tcPr>
          <w:p>
            <w:pPr>
              <w:jc w:val="right"/>
              <w:ind w:right="501"/>
              <w:spacing w:after="0" w:line="129"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340" w:type="dxa"/>
            <w:vAlign w:val="bottom"/>
            <w:tcBorders>
              <w:bottom w:val="single" w:sz="8" w:color="auto"/>
            </w:tcBorders>
          </w:tcPr>
          <w:p>
            <w:pPr>
              <w:jc w:val="right"/>
              <w:ind w:right="361"/>
              <w:spacing w:after="0" w:line="129" w:lineRule="exact"/>
              <w:rPr>
                <w:sz w:val="20"/>
                <w:szCs w:val="20"/>
                <w:color w:val="auto"/>
              </w:rPr>
            </w:pPr>
            <w:r>
              <w:rPr>
                <w:rFonts w:ascii="Arial" w:cs="Arial" w:eastAsia="Arial" w:hAnsi="Arial"/>
                <w:sz w:val="13"/>
                <w:szCs w:val="13"/>
                <w:b w:val="1"/>
                <w:bCs w:val="1"/>
                <w:color w:val="auto"/>
              </w:rPr>
              <w:t>Change</w:t>
            </w:r>
          </w:p>
        </w:tc>
        <w:tc>
          <w:tcPr>
            <w:tcW w:w="280" w:type="dxa"/>
            <w:vAlign w:val="bottom"/>
          </w:tcPr>
          <w:p>
            <w:pPr>
              <w:spacing w:after="0"/>
              <w:rPr>
                <w:sz w:val="11"/>
                <w:szCs w:val="11"/>
                <w:color w:val="auto"/>
              </w:rPr>
            </w:pPr>
          </w:p>
        </w:tc>
        <w:tc>
          <w:tcPr>
            <w:tcW w:w="660" w:type="dxa"/>
            <w:vAlign w:val="bottom"/>
            <w:tcBorders>
              <w:bottom w:val="single" w:sz="8" w:color="auto"/>
            </w:tcBorders>
          </w:tcPr>
          <w:p>
            <w:pPr>
              <w:jc w:val="right"/>
              <w:ind w:right="201"/>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r>
      <w:tr>
        <w:trPr>
          <w:trHeight w:val="129"/>
        </w:trPr>
        <w:tc>
          <w:tcPr>
            <w:tcW w:w="4140" w:type="dxa"/>
            <w:vAlign w:val="bottom"/>
          </w:tcPr>
          <w:p>
            <w:pPr>
              <w:spacing w:after="0"/>
              <w:rPr>
                <w:sz w:val="11"/>
                <w:szCs w:val="11"/>
                <w:color w:val="auto"/>
              </w:rPr>
            </w:pPr>
          </w:p>
        </w:tc>
        <w:tc>
          <w:tcPr>
            <w:tcW w:w="188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(in €)</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(137,073,634)</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(120,130,191)</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(16,943,443)</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(164,619)</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(538,086)</w:t>
            </w:r>
          </w:p>
        </w:tc>
        <w:tc>
          <w:tcPr>
            <w:tcW w:w="1340" w:type="dxa"/>
            <w:vAlign w:val="bottom"/>
          </w:tcPr>
          <w:p>
            <w:pPr>
              <w:jc w:val="right"/>
              <w:spacing w:after="0"/>
              <w:rPr>
                <w:sz w:val="20"/>
                <w:szCs w:val="20"/>
                <w:color w:val="auto"/>
              </w:rPr>
            </w:pPr>
            <w:r>
              <w:rPr>
                <w:rFonts w:ascii="Arial" w:cs="Arial" w:eastAsia="Arial" w:hAnsi="Arial"/>
                <w:sz w:val="16"/>
                <w:szCs w:val="16"/>
                <w:color w:val="auto"/>
              </w:rPr>
              <w:t>373,467</w:t>
            </w:r>
          </w:p>
        </w:tc>
        <w:tc>
          <w:tcPr>
            <w:tcW w:w="2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160,607,219</w:t>
            </w:r>
          </w:p>
        </w:tc>
        <w:tc>
          <w:tcPr>
            <w:tcW w:w="3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2,676,555</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157,930,664</w:t>
            </w:r>
          </w:p>
        </w:tc>
        <w:tc>
          <w:tcPr>
            <w:tcW w:w="2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5901%</w:t>
            </w:r>
          </w:p>
        </w:tc>
      </w:tr>
      <w:tr>
        <w:trPr>
          <w:trHeight w:val="175"/>
        </w:trPr>
        <w:tc>
          <w:tcPr>
            <w:tcW w:w="4140" w:type="dxa"/>
            <w:vAlign w:val="bottom"/>
          </w:tcPr>
          <w:p>
            <w:pPr>
              <w:spacing w:after="0" w:line="175" w:lineRule="exact"/>
              <w:rPr>
                <w:sz w:val="20"/>
                <w:szCs w:val="20"/>
                <w:color w:val="auto"/>
              </w:rPr>
            </w:pPr>
            <w:r>
              <w:rPr>
                <w:rFonts w:ascii="Arial" w:cs="Arial" w:eastAsia="Arial" w:hAnsi="Arial"/>
                <w:sz w:val="16"/>
                <w:szCs w:val="16"/>
                <w:b w:val="1"/>
                <w:bCs w:val="1"/>
                <w:color w:val="auto"/>
              </w:rPr>
              <w:t>Net increase (decrease) in cash and cash</w:t>
            </w: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b w:val="1"/>
                <w:bCs w:val="1"/>
                <w:color w:val="auto"/>
              </w:rPr>
              <w:t>equivalents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23,368,966</w:t>
            </w:r>
          </w:p>
        </w:tc>
        <w:tc>
          <w:tcPr>
            <w:tcW w:w="3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(117,991,722)</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141,360,688</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(120)%</w:t>
            </w: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3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1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(110,503,600)</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(12,418,115)</w:t>
            </w:r>
          </w:p>
        </w:tc>
        <w:tc>
          <w:tcPr>
            <w:tcW w:w="1460" w:type="dxa"/>
            <w:vAlign w:val="bottom"/>
          </w:tcPr>
          <w:p>
            <w:pPr>
              <w:jc w:val="right"/>
              <w:spacing w:after="0"/>
              <w:rPr>
                <w:sz w:val="20"/>
                <w:szCs w:val="20"/>
                <w:color w:val="auto"/>
              </w:rPr>
            </w:pPr>
            <w:r>
              <w:rPr>
                <w:rFonts w:ascii="Arial" w:cs="Arial" w:eastAsia="Arial" w:hAnsi="Arial"/>
                <w:sz w:val="16"/>
                <w:szCs w:val="16"/>
                <w:color w:val="auto"/>
              </w:rPr>
              <w:t>7,488,122</w:t>
            </w:r>
          </w:p>
        </w:tc>
        <w:tc>
          <w:tcPr>
            <w:tcW w:w="120" w:type="dxa"/>
            <w:vAlign w:val="bottom"/>
          </w:tcPr>
          <w:p>
            <w:pPr>
              <w:spacing w:after="0"/>
              <w:rPr>
                <w:sz w:val="16"/>
                <w:szCs w:val="16"/>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(19,906,237)</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(266)%</w:t>
            </w: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291,678,888</w:t>
            </w:r>
          </w:p>
        </w:tc>
        <w:tc>
          <w:tcPr>
            <w:tcW w:w="3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10,950,851</w:t>
            </w:r>
          </w:p>
        </w:tc>
        <w:tc>
          <w:tcPr>
            <w:tcW w:w="2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w:t>
            </w:r>
          </w:p>
        </w:tc>
      </w:tr>
    </w:tbl>
    <w:p>
      <w:pPr>
        <w:spacing w:after="0" w:line="35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Net cash flows used in operating activities reflect our results for the period adjusted for, among other things, depreciation, unrealized foreign exchange results, share-based compensation arrangements, changes in working capital and accruals.</w:t>
      </w:r>
    </w:p>
    <w:p>
      <w:pPr>
        <w:spacing w:after="0" w:line="48" w:lineRule="exact"/>
        <w:rPr>
          <w:sz w:val="20"/>
          <w:szCs w:val="20"/>
          <w:color w:val="auto"/>
        </w:rPr>
      </w:pPr>
    </w:p>
    <w:p>
      <w:pPr>
        <w:jc w:val="both"/>
        <w:ind w:right="240" w:firstLine="458"/>
        <w:spacing w:after="0" w:line="266" w:lineRule="auto"/>
        <w:rPr>
          <w:sz w:val="20"/>
          <w:szCs w:val="20"/>
          <w:color w:val="auto"/>
        </w:rPr>
      </w:pPr>
      <w:r>
        <w:rPr>
          <w:rFonts w:ascii="Arial" w:cs="Arial" w:eastAsia="Arial" w:hAnsi="Arial"/>
          <w:sz w:val="16"/>
          <w:szCs w:val="16"/>
          <w:color w:val="auto"/>
        </w:rPr>
        <w:t>Net cash used in operating activities was €137.1 million for the year ended December 31, 2025 and primarily consisted of a net loss before taxes of €173.7 million adjusted for share-based compensation of €19.1 million, net foreign exchange losses €11.7 million and finance income of (€0.4) million, an increase in other current assets of €9.9 million and increase in accrued liabilities of €7.1 million and other changes in net working capital.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44</w:t>
      </w:r>
      <w:r>
        <w:rPr>
          <w:rFonts w:ascii="Arial" w:cs="Arial" w:eastAsia="Arial" w:hAnsi="Arial"/>
          <w:sz w:val="16"/>
          <w:szCs w:val="16"/>
          <w:b w:val="1"/>
          <w:bCs w:val="1"/>
          <w:u w:val="single" w:color="auto"/>
          <w:color w:val="0000FF"/>
        </w:rPr>
        <w:t>Table of Contents</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Net cash flows provided by financing activities increased by €157.9 million from €2.7 million for the year ended December 31, 2024 to €160.6 million for the year ended December 31, 2025.</w:t>
      </w:r>
    </w:p>
    <w:p>
      <w:pPr>
        <w:spacing w:after="0" w:line="48"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The net cash provided by financing activities for the year ended December 31, 2025 consisted primarily of the receipt of €160.6 million received from the sale of ordinary shares and pre-funded warrants, offset by transaction costs of €10.9 million.</w:t>
      </w:r>
    </w:p>
    <w:p>
      <w:pPr>
        <w:spacing w:after="0" w:line="48"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Net cash provided by financing activities in the year ended December 31, 2024 consisted primarily of the gross proceeds related to the pre-funded warrants that were exercised in January 2024 that resulted in the issuance of 1,375,000 ordinary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300"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The Group has entered into research and development commitments amounting to a total of €119.2 million as of December 31, 2025 (2024: €109.9 million). The amount for research and development commitments does not include potential milestone fees, sublicense fees, royalty fees, licensing maintenance fees, and reimbursement of patent maintenance costs that we may be required to pay under the BRAIN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-276225</wp:posOffset>
            </wp:positionV>
            <wp:extent cx="28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6"/>
          <w:szCs w:val="16"/>
          <w:color w:val="auto"/>
        </w:rPr>
        <w:t>Under the BRAIN License, up to €8.0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 w:lineRule="exact"/>
        <w:rPr>
          <w:sz w:val="20"/>
          <w:szCs w:val="20"/>
          <w:color w:val="auto"/>
        </w:rPr>
      </w:pPr>
    </w:p>
    <w:p>
      <w:pPr>
        <w:jc w:val="both"/>
        <w:ind w:right="300"/>
        <w:spacing w:after="0" w:line="256" w:lineRule="auto"/>
        <w:rPr>
          <w:sz w:val="20"/>
          <w:szCs w:val="20"/>
          <w:color w:val="auto"/>
        </w:rPr>
      </w:pPr>
      <w:r>
        <w:rPr>
          <w:rFonts w:ascii="Arial" w:cs="Arial" w:eastAsia="Arial" w:hAnsi="Arial"/>
          <w:sz w:val="16"/>
          <w:szCs w:val="16"/>
          <w:color w:val="auto"/>
        </w:rPr>
        <w:t>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24" w:lineRule="exact"/>
        <w:rPr>
          <w:sz w:val="20"/>
          <w:szCs w:val="20"/>
          <w:color w:val="auto"/>
        </w:rPr>
      </w:pPr>
    </w:p>
    <w:p>
      <w:pPr>
        <w:ind w:left="1020" w:hanging="548"/>
        <w:spacing w:after="0"/>
        <w:tabs>
          <w:tab w:leader="none" w:pos="10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24" w:lineRule="exact"/>
        <w:rPr>
          <w:sz w:val="20"/>
          <w:szCs w:val="20"/>
          <w:color w:val="auto"/>
        </w:rPr>
      </w:pPr>
    </w:p>
    <w:p>
      <w:pPr>
        <w:ind w:left="1020" w:hanging="548"/>
        <w:spacing w:after="0"/>
        <w:tabs>
          <w:tab w:leader="none" w:pos="10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10" w:lineRule="exact"/>
        <w:rPr>
          <w:sz w:val="20"/>
          <w:szCs w:val="20"/>
          <w:color w:val="auto"/>
        </w:rPr>
      </w:pPr>
    </w:p>
    <w:p>
      <w:pPr>
        <w:ind w:left="1020" w:hanging="548"/>
        <w:spacing w:after="0"/>
        <w:tabs>
          <w:tab w:leader="none" w:pos="10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30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Material subsequent events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See Note 23 (Events after the reporting period) to the consolidated financial statements included in chapter 9 of this report (the "Consolidated Financial Statements") for an overview of events which do not need to be discussed in the Company's statutory annual accounts and which might influence the Company's outlook. There are no other events which might influence the Company's outlook and which are not discussed in the statutory annual accounts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45</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 factors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3.1 Summary Risk Factors</w:t>
      </w:r>
    </w:p>
    <w:p>
      <w:pPr>
        <w:spacing w:after="0" w:line="102" w:lineRule="exact"/>
        <w:rPr>
          <w:sz w:val="20"/>
          <w:szCs w:val="20"/>
          <w:color w:val="auto"/>
        </w:rPr>
      </w:pPr>
    </w:p>
    <w:p>
      <w:pPr>
        <w:ind w:right="80" w:firstLine="458"/>
        <w:spacing w:after="0" w:line="236" w:lineRule="auto"/>
        <w:rPr>
          <w:sz w:val="20"/>
          <w:szCs w:val="20"/>
          <w:color w:val="auto"/>
        </w:rPr>
      </w:pPr>
      <w:r>
        <w:rPr>
          <w:rFonts w:ascii="Times New Roman" w:cs="Times New Roman" w:eastAsia="Times New Roman" w:hAnsi="Times New Roman"/>
          <w:sz w:val="20"/>
          <w:szCs w:val="20"/>
          <w:color w:val="auto"/>
        </w:rPr>
        <w:t>T</w:t>
      </w:r>
      <w:r>
        <w:rPr>
          <w:rFonts w:ascii="Arial" w:cs="Arial" w:eastAsia="Arial" w:hAnsi="Arial"/>
          <w:sz w:val="16"/>
          <w:szCs w:val="16"/>
          <w:color w:val="auto"/>
        </w:rPr>
        <w:t>he principal risks and uncertainties which the Company faces include the risks and uncertainties summarized in this chapter 3.1. See chapter 3.2 of</w:t>
      </w:r>
      <w:r>
        <w:rPr>
          <w:rFonts w:ascii="Times New Roman" w:cs="Times New Roman" w:eastAsia="Times New Roman" w:hAnsi="Times New Roman"/>
          <w:sz w:val="20"/>
          <w:szCs w:val="20"/>
          <w:color w:val="auto"/>
        </w:rPr>
        <w:t xml:space="preserve"> </w:t>
      </w:r>
      <w:r>
        <w:rPr>
          <w:rFonts w:ascii="Arial" w:cs="Arial" w:eastAsia="Arial" w:hAnsi="Arial"/>
          <w:sz w:val="16"/>
          <w:szCs w:val="16"/>
          <w:color w:val="auto"/>
        </w:rPr>
        <w:t>this report for additional detail and additional risks and uncertainties which the Company faces.</w:t>
      </w:r>
    </w:p>
    <w:p>
      <w:pPr>
        <w:spacing w:after="0" w:line="272" w:lineRule="exact"/>
        <w:rPr>
          <w:sz w:val="20"/>
          <w:szCs w:val="20"/>
          <w:color w:val="auto"/>
        </w:rPr>
      </w:pPr>
    </w:p>
    <w:p>
      <w:pPr>
        <w:ind w:left="900" w:right="20" w:hanging="428"/>
        <w:spacing w:after="0" w:line="266"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2"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8"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and geopolitical instability such as the conflict between Russia and Ukraine and the conflict in the Middle East.</w:t>
      </w:r>
    </w:p>
    <w:p>
      <w:pPr>
        <w:spacing w:after="0" w:line="48" w:lineRule="exact"/>
        <w:rPr>
          <w:rFonts w:ascii="Times New Roman" w:cs="Times New Roman" w:eastAsia="Times New Roman" w:hAnsi="Times New Roman"/>
          <w:sz w:val="16"/>
          <w:szCs w:val="16"/>
          <w:color w:val="auto"/>
        </w:rPr>
      </w:pPr>
    </w:p>
    <w:p>
      <w:pPr>
        <w:ind w:left="900" w:hanging="428"/>
        <w:spacing w:after="0" w:line="251"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deucrictibant immediate-release (IR) capsule and deucrictibant extended-release (XR) tablet, which are in late-stage development. We have released topline data demonstrating the efficacy and safety of deucrictibant for the on-demand treatment of HAE attacks (RAPIDe-1, RAPIDe-2, RAPIDe-3) and proof-of-concept and safety data for the prophylactic treatment of HAE attacks (CHAPTER-1). Ongoing clinical studies include the open-label extension study of deucrictibant for the on-demand treatment of HAE attacks (RAPIDe-2), the pivotal Phase 3 of study of deucrictibant for the prophylactic treatment of HAE attacks (CHAPTER-3) and the open-label extension study of deucrictibant for the prophylactic treatment of HAE attacks (CHAPTER-4). We cannot give any assurance that these product candidates,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76" w:lineRule="exact"/>
        <w:rPr>
          <w:rFonts w:ascii="Times New Roman" w:cs="Times New Roman" w:eastAsia="Times New Roman" w:hAnsi="Times New Roman"/>
          <w:sz w:val="16"/>
          <w:szCs w:val="16"/>
          <w:color w:val="auto"/>
        </w:rPr>
      </w:pPr>
    </w:p>
    <w:p>
      <w:pPr>
        <w:ind w:left="900" w:right="100" w:hanging="428"/>
        <w:spacing w:after="0" w:line="253"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5" w:lineRule="exact"/>
        <w:rPr>
          <w:rFonts w:ascii="Times New Roman" w:cs="Times New Roman" w:eastAsia="Times New Roman" w:hAnsi="Times New Roman"/>
          <w:sz w:val="16"/>
          <w:szCs w:val="16"/>
          <w:color w:val="auto"/>
        </w:rPr>
      </w:pPr>
    </w:p>
    <w:p>
      <w:pPr>
        <w:jc w:val="both"/>
        <w:ind w:left="900" w:right="240" w:hanging="428"/>
        <w:spacing w:after="0" w:line="266"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2" w:lineRule="exact"/>
        <w:rPr>
          <w:rFonts w:ascii="Times New Roman" w:cs="Times New Roman" w:eastAsia="Times New Roman" w:hAnsi="Times New Roman"/>
          <w:sz w:val="16"/>
          <w:szCs w:val="16"/>
          <w:color w:val="auto"/>
        </w:rPr>
      </w:pPr>
    </w:p>
    <w:p>
      <w:pPr>
        <w:ind w:left="900" w:right="36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5" w:lineRule="exact"/>
        <w:rPr>
          <w:rFonts w:ascii="Times New Roman" w:cs="Times New Roman" w:eastAsia="Times New Roman" w:hAnsi="Times New Roman"/>
          <w:sz w:val="16"/>
          <w:szCs w:val="16"/>
          <w:color w:val="auto"/>
        </w:rPr>
      </w:pPr>
    </w:p>
    <w:p>
      <w:pPr>
        <w:ind w:left="900" w:right="460" w:hanging="428"/>
        <w:spacing w:after="0" w:line="266"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2" w:lineRule="exact"/>
        <w:rPr>
          <w:rFonts w:ascii="Times New Roman" w:cs="Times New Roman" w:eastAsia="Times New Roman" w:hAnsi="Times New Roman"/>
          <w:sz w:val="16"/>
          <w:szCs w:val="16"/>
          <w:color w:val="auto"/>
        </w:rPr>
      </w:pPr>
    </w:p>
    <w:p>
      <w:pPr>
        <w:ind w:left="900" w:right="18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8" w:lineRule="exact"/>
        <w:rPr>
          <w:rFonts w:ascii="Times New Roman" w:cs="Times New Roman" w:eastAsia="Times New Roman" w:hAnsi="Times New Roman"/>
          <w:sz w:val="16"/>
          <w:szCs w:val="16"/>
          <w:color w:val="auto"/>
        </w:rPr>
      </w:pPr>
    </w:p>
    <w:p>
      <w:pPr>
        <w:ind w:left="900" w:right="20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8" w:lineRule="exact"/>
        <w:rPr>
          <w:rFonts w:ascii="Times New Roman" w:cs="Times New Roman" w:eastAsia="Times New Roman" w:hAnsi="Times New Roman"/>
          <w:sz w:val="16"/>
          <w:szCs w:val="16"/>
          <w:color w:val="auto"/>
        </w:rPr>
      </w:pPr>
    </w:p>
    <w:p>
      <w:pPr>
        <w:ind w:left="900" w:right="1120" w:hanging="428"/>
        <w:spacing w:after="0" w:line="285" w:lineRule="auto"/>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46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900" w:right="60" w:hanging="428"/>
        <w:spacing w:after="0" w:line="266"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680" w:hanging="428"/>
        <w:spacing w:after="0" w:line="285"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8"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40" w:hanging="428"/>
        <w:spacing w:after="0" w:line="256"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0"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under the terms of the agreement with BRAIN Biotech AG, or BRAIN (as successor in interest to AnalytiCon Discovery GmbH), pursuant to which we acquired certain of our core intellectual property, BRAIN may exercise remedies that would materially and adversely affect our business and results of operations.</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125" w:lineRule="exact"/>
        <w:rPr>
          <w:rFonts w:ascii="Times New Roman" w:cs="Times New Roman" w:eastAsia="Times New Roman" w:hAnsi="Times New Roman"/>
          <w:sz w:val="16"/>
          <w:szCs w:val="16"/>
          <w:color w:val="auto"/>
        </w:rPr>
      </w:pPr>
    </w:p>
    <w:p>
      <w:pPr>
        <w:ind w:left="900" w:right="100" w:hanging="428"/>
        <w:spacing w:after="0" w:line="285"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8"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Risk factors</w:t>
      </w:r>
    </w:p>
    <w:p>
      <w:pPr>
        <w:spacing w:after="0" w:line="223" w:lineRule="exact"/>
        <w:rPr>
          <w:sz w:val="20"/>
          <w:szCs w:val="20"/>
          <w:color w:val="auto"/>
        </w:rPr>
      </w:pPr>
    </w:p>
    <w:p>
      <w:pPr>
        <w:ind w:right="380" w:firstLine="458"/>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60"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We are a late-stage clinical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5" w:lineRule="exact"/>
        <w:rPr>
          <w:rFonts w:ascii="Times New Roman" w:cs="Times New Roman" w:eastAsia="Times New Roman" w:hAnsi="Times New Roman"/>
          <w:sz w:val="16"/>
          <w:szCs w:val="16"/>
          <w:color w:val="auto"/>
        </w:rPr>
      </w:pPr>
    </w:p>
    <w:p>
      <w:pPr>
        <w:ind w:left="1020" w:right="120" w:hanging="503"/>
        <w:spacing w:after="0" w:line="285" w:lineRule="auto"/>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4"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47</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right="24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60" w:lineRule="exact"/>
        <w:rPr>
          <w:sz w:val="20"/>
          <w:szCs w:val="20"/>
          <w:color w:val="auto"/>
        </w:rPr>
      </w:pPr>
    </w:p>
    <w:p>
      <w:pPr>
        <w:ind w:right="100" w:firstLine="458"/>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382"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7" w:lineRule="exact"/>
        <w:rPr>
          <w:sz w:val="20"/>
          <w:szCs w:val="20"/>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440" w:hanging="428"/>
        <w:spacing w:after="0" w:line="285"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9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1"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48</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which may have a significant impact on our reported results of operations and cash flows from period to period.</w:t>
      </w:r>
    </w:p>
    <w:p>
      <w:pPr>
        <w:spacing w:after="0" w:line="182" w:lineRule="exact"/>
        <w:rPr>
          <w:sz w:val="20"/>
          <w:szCs w:val="20"/>
          <w:color w:val="auto"/>
        </w:rPr>
      </w:pPr>
    </w:p>
    <w:p>
      <w:pPr>
        <w:jc w:val="both"/>
        <w:ind w:left="460" w:right="500"/>
        <w:spacing w:after="0" w:line="270" w:lineRule="auto"/>
        <w:rPr>
          <w:sz w:val="20"/>
          <w:szCs w:val="20"/>
          <w:color w:val="auto"/>
        </w:rPr>
      </w:pPr>
      <w:r>
        <w:rPr>
          <w:rFonts w:ascii="Arial" w:cs="Arial" w:eastAsia="Arial" w:hAnsi="Arial"/>
          <w:sz w:val="16"/>
          <w:szCs w:val="16"/>
          <w:b w:val="1"/>
          <w:bCs w:val="1"/>
          <w:i w:val="1"/>
          <w:iCs w:val="1"/>
          <w:u w:val="single" w:color="auto"/>
          <w:color w:val="auto"/>
        </w:rPr>
        <w:t>I</w:t>
      </w:r>
      <w:r>
        <w:rPr>
          <w:rFonts w:ascii="Arial" w:cs="Arial" w:eastAsia="Arial" w:hAnsi="Arial"/>
          <w:sz w:val="16"/>
          <w:szCs w:val="16"/>
          <w:b w:val="1"/>
          <w:bCs w:val="1"/>
          <w:i w:val="1"/>
          <w:iCs w:val="1"/>
          <w:color w:val="auto"/>
        </w:rPr>
        <w:t>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Section 404 of the Sarbanes-Oxley Act requires management of public companies to develop and implement internal control over financial reporting and to evaluate the effectiveness thereof. If we identify one or more material weaknesses in our internal control over financial reporting, we will not be able to assert that our internal controls and procedures are effective.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annual financial statements through December 31, 2023, we identified material weaknesses in the design of our internal control over financial reporting, which our management concluded to have been remediated as of December 31, 2024.</w:t>
      </w:r>
    </w:p>
    <w:p>
      <w:pPr>
        <w:spacing w:after="0" w:line="183" w:lineRule="exact"/>
        <w:rPr>
          <w:sz w:val="20"/>
          <w:szCs w:val="20"/>
          <w:color w:val="auto"/>
        </w:rPr>
      </w:pPr>
    </w:p>
    <w:p>
      <w:pPr>
        <w:jc w:val="both"/>
        <w:ind w:right="220" w:firstLine="458"/>
        <w:spacing w:after="0" w:line="266" w:lineRule="auto"/>
        <w:rPr>
          <w:sz w:val="20"/>
          <w:szCs w:val="20"/>
          <w:color w:val="auto"/>
        </w:rPr>
      </w:pPr>
      <w:r>
        <w:rPr>
          <w:rFonts w:ascii="Arial" w:cs="Arial" w:eastAsia="Arial" w:hAnsi="Arial"/>
          <w:sz w:val="16"/>
          <w:szCs w:val="16"/>
          <w:color w:val="auto"/>
        </w:rPr>
        <w:t>We cannot assure you that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management is required to assess the effectiveness of our internal control over financial reporting on an annual basis pursuant to SOX 404(a). Additionally, our independent registered public accounting firm is required to attest to the effectiveness of our internal control over financial reporting pursuant to SOX 404(b). The rules governing the standards that must be met for management to assess our internal control over financial reporting are complex and require significant documentation, testing and possible remediation.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also be subject to sanctions or investigations by Nasdaq, the SEC or other regulatory authorities.</w:t>
      </w:r>
    </w:p>
    <w:p>
      <w:pPr>
        <w:spacing w:after="0" w:line="223" w:lineRule="exact"/>
        <w:rPr>
          <w:sz w:val="20"/>
          <w:szCs w:val="20"/>
          <w:color w:val="auto"/>
        </w:rPr>
      </w:pPr>
    </w:p>
    <w:p>
      <w:pPr>
        <w:ind w:left="460" w:right="580"/>
        <w:spacing w:after="0" w:line="294"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8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49</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56"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1" w:lineRule="exact"/>
        <w:rPr>
          <w:sz w:val="20"/>
          <w:szCs w:val="20"/>
          <w:color w:val="auto"/>
        </w:rPr>
      </w:pPr>
    </w:p>
    <w:p>
      <w:pPr>
        <w:ind w:right="300" w:firstLine="458"/>
        <w:spacing w:after="0" w:line="259" w:lineRule="auto"/>
        <w:rPr>
          <w:sz w:val="20"/>
          <w:szCs w:val="20"/>
          <w:color w:val="auto"/>
        </w:rPr>
      </w:pPr>
      <w:r>
        <w:rPr>
          <w:rFonts w:ascii="Arial" w:cs="Arial" w:eastAsia="Arial" w:hAnsi="Arial"/>
          <w:sz w:val="16"/>
          <w:szCs w:val="16"/>
          <w:color w:val="auto"/>
        </w:rPr>
        <w:t>On December 20, 2021, the OECD published the Global Anti-Base Erosion Model Rules (the "GloBE Rules</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pacing w:after="0" w:line="178"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 xml:space="preserve">On December 15, 2022, the Council of the European Union formally adopted the EU Pillar II Directive. The EU Pillar II Directive aims at consistently implementing among all 27 member states the GloBE Rules. EU Member States had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transpose the EU Pillar II Directive into their national laws and will have to apply the Pillar II measures in respect of the fiscal years beginning on or after December 31, 2023. The Netherlands has transposed the EU Pillar II Directive into its national legislation with effect from December 31, 2023, pursuant to the Dutch Minimum Tax Act 2024 (Wet minimumbelasting 2024).</w:t>
      </w:r>
    </w:p>
    <w:p>
      <w:pPr>
        <w:spacing w:after="0" w:line="180"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21" w:lineRule="exact"/>
        <w:rPr>
          <w:sz w:val="20"/>
          <w:szCs w:val="20"/>
          <w:color w:val="auto"/>
        </w:rPr>
      </w:pPr>
    </w:p>
    <w:p>
      <w:pPr>
        <w:ind w:left="460" w:right="140"/>
        <w:spacing w:after="0" w:line="253"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clinical holds which were lifted in June 2023 and January 2024. We have released topline data demonstrating the efficacy and safety of deucrictibant for the on-demand treatment of HAE attacks (RAPIDe-1, RAPIDe-2, RAPIDe-3) and proof-of-concept and safety data for the prophylactic treatment of HAE attacks (CHAPTER-1).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programs could have a material adverse effect on our business, financial condition, results of operations and prospects.</w:t>
      </w:r>
    </w:p>
    <w:p>
      <w:pPr>
        <w:spacing w:after="0" w:line="1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6"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Even once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1" w:lineRule="exact"/>
        <w:rPr>
          <w:sz w:val="20"/>
          <w:szCs w:val="20"/>
          <w:color w:val="auto"/>
        </w:rPr>
      </w:pPr>
    </w:p>
    <w:p>
      <w:pPr>
        <w:ind w:left="1020" w:right="340" w:hanging="503"/>
        <w:spacing w:after="0" w:line="266"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IR and XR programs and designs for improving the efficiency of our clinical development path;</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50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0"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(i) pandemics and (ii) geopolitical tensions;</w:t>
      </w:r>
    </w:p>
    <w:p>
      <w:pPr>
        <w:spacing w:after="0" w:line="97"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and (ii) geopolitical tensions;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5"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6" w:lineRule="exact"/>
        <w:rPr>
          <w:sz w:val="20"/>
          <w:szCs w:val="20"/>
          <w:color w:val="auto"/>
        </w:rPr>
      </w:pPr>
    </w:p>
    <w:p>
      <w:pPr>
        <w:ind w:right="420" w:firstLine="458"/>
        <w:spacing w:after="0" w:line="28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156"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IR and XR, which could have a material adverse effect on our business, financial condition, results of operations and prospects.</w:t>
      </w:r>
    </w:p>
    <w:p>
      <w:pPr>
        <w:spacing w:after="0" w:line="173" w:lineRule="exact"/>
        <w:rPr>
          <w:sz w:val="20"/>
          <w:szCs w:val="20"/>
          <w:color w:val="auto"/>
        </w:rPr>
      </w:pPr>
    </w:p>
    <w:p>
      <w:pPr>
        <w:ind w:left="520" w:right="20"/>
        <w:spacing w:after="0" w:line="253"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deucrictibant immediate-release (IR) capsule and deucrictibant extended-release (XR) tablet, which are in late-stage development. We have released topline data demonstrating the efficacy and safety of deucrictibant for the on-demand treatment of HAE attacks (RAPIDe-1, RAPIDe-2, RAPIDe-3) and proof-of-concept and safety data for the prophylactic treatment of HAE attacks (CHAPTER-1). Ongoing clinical studies include the open-label extension study of deucrictibant for the on-demand treatment of HAE attacks (RAPIDe-2), the pivotal Phase 3 of study of deucrictibant for the prophylactic treatment of HAE attacks (CHAPTER-3) and the open-label extension study of deucrictibant for the prophylactic treatment of HAE attacks (CHAPTER-4). If we are unable to successfully commercialize our product candidates, or experience significant delays in doing so, our business, financial condition, results of operations and prospects would be materially adversely affected.</w:t>
      </w:r>
    </w:p>
    <w:p>
      <w:pPr>
        <w:spacing w:after="0" w:line="36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foreseeable efforts will be devoted to filing the NDA application in the U.S. in 2026 and development of our XR product candidate and as a result, our business currently depends heavily on the successful development, regulatory approval and commercialization of these product candidates. To date we have data from preclinical studies, Phase 1 clinical studies in healthy volunteers, and Phase 2 studies in people living with HAE of deucrictibant for both treatment and prophylaxis of HAE attacks, and a Phase 3 study in people living with HAE of deucrictibant for the treatment of HAE attacks. However, we have not conducted a head-to-head comparison of icatibant or any other drug candidate to deucrictibant in a clinical trial. We have compared the published data for icatibant to data from our Phase 1, Phase 2 and Phase 3 randomized clinical trials (RAPIDe-1 and RAPIDe-3), and Phase 2/3 long-term extension study (RAPIDe-2) of deucrictibant IR.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deucrictibant XR has been and will continue to be a time-consuming and costly process and may leave us with insufficient resources to advance other programs and product candidates. We cannot be certain that any deucrictibant-containing product candidate, including IR and XR, will receive regulatory approval or be successfully commercialized, even if we receive regulatory approval.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European Medicines Agency or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At the time of this Annual Report,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IR and XR or any other product candidate in the United States, Europe or other jurisdictions will prevent us from commercializing and marketing these products in such jurisdictions.</w:t>
      </w:r>
    </w:p>
    <w:p>
      <w:pPr>
        <w:spacing w:after="0" w:line="19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40"/>
        <w:spacing w:after="0" w:line="270"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and geopolitical instability, such as the conflict between Russia and Ukraine and the conflict in the Middle East.</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3"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Moreover, unforeseen global events, such as the armed conflict between Russia and Ukraine and the conflict in the Middle East, could adversely impact our business and operations. The invasion of Ukraine and the conflict in the Middle East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 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7" w:lineRule="exact"/>
        <w:rPr>
          <w:sz w:val="20"/>
          <w:szCs w:val="20"/>
          <w:color w:val="auto"/>
        </w:rPr>
      </w:pPr>
    </w:p>
    <w:p>
      <w:pPr>
        <w:ind w:left="460" w:right="420"/>
        <w:spacing w:after="0" w:line="262" w:lineRule="auto"/>
        <w:rPr>
          <w:sz w:val="20"/>
          <w:szCs w:val="20"/>
          <w:color w:val="auto"/>
        </w:rPr>
      </w:pPr>
      <w:r>
        <w:rPr>
          <w:rFonts w:ascii="Arial" w:cs="Arial" w:eastAsia="Arial" w:hAnsi="Arial"/>
          <w:sz w:val="16"/>
          <w:szCs w:val="16"/>
          <w:b w:val="1"/>
          <w:bCs w:val="1"/>
          <w:i w:val="1"/>
          <w:iCs w:val="1"/>
          <w:color w:val="auto"/>
        </w:rPr>
        <w:t>Disruptions at the FDA, European Medicines Agency or EMA and other government agencies, including as a result of the new administration,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7"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including policy changes coming from the new administration,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If a prolonged government shutdown occurs, 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52</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21" w:lineRule="exact"/>
        <w:rPr>
          <w:sz w:val="20"/>
          <w:szCs w:val="20"/>
          <w:color w:val="auto"/>
        </w:rPr>
      </w:pPr>
    </w:p>
    <w:p>
      <w:pPr>
        <w:ind w:left="460" w:right="40" w:firstLine="458"/>
        <w:spacing w:after="0" w:line="262" w:lineRule="auto"/>
        <w:rPr>
          <w:sz w:val="20"/>
          <w:szCs w:val="20"/>
          <w:color w:val="auto"/>
        </w:rPr>
      </w:pPr>
      <w:r>
        <w:rPr>
          <w:rFonts w:ascii="Arial" w:cs="Arial" w:eastAsia="Arial" w:hAnsi="Arial"/>
          <w:sz w:val="16"/>
          <w:szCs w:val="16"/>
          <w:b w:val="1"/>
          <w:bCs w:val="1"/>
          <w:i w:val="1"/>
          <w:iCs w:val="1"/>
          <w:color w:val="auto"/>
        </w:rPr>
        <w:t>Our current strategy includes developing an extended-release formulation for the deucrictibant prophylactic indication (XR). To date, we have studied prospective extended-release formulation in clinical studies in healthy volunteers and in patients with acquired angioedema due to C1INH deficiency to assess the PK, safety and efficacy of the final extended-release formulation. In the ongoing HAE prophylactic clinical studies, we may not observe the desired PK, safety and efficacy profile with the XR formulation.</w:t>
      </w:r>
    </w:p>
    <w:p>
      <w:pPr>
        <w:spacing w:after="0" w:line="35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which have been allowed in certain countries.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4"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4" w:lineRule="exact"/>
        <w:rPr>
          <w:sz w:val="20"/>
          <w:szCs w:val="20"/>
          <w:color w:val="auto"/>
        </w:rPr>
      </w:pPr>
    </w:p>
    <w:p>
      <w:pPr>
        <w:ind w:firstLine="464"/>
        <w:spacing w:after="0" w:line="25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5" w:lineRule="exact"/>
        <w:rPr>
          <w:rFonts w:ascii="Times New Roman" w:cs="Times New Roman" w:eastAsia="Times New Roman" w:hAnsi="Times New Roman"/>
          <w:sz w:val="16"/>
          <w:szCs w:val="16"/>
          <w:color w:val="auto"/>
        </w:rPr>
      </w:pPr>
    </w:p>
    <w:p>
      <w:pPr>
        <w:ind w:left="1020" w:right="340" w:hanging="503"/>
        <w:spacing w:after="0" w:line="266"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62" w:lineRule="exact"/>
        <w:rPr>
          <w:rFonts w:ascii="Times New Roman" w:cs="Times New Roman" w:eastAsia="Times New Roman" w:hAnsi="Times New Roman"/>
          <w:sz w:val="16"/>
          <w:szCs w:val="16"/>
          <w:color w:val="auto"/>
        </w:rPr>
      </w:pPr>
    </w:p>
    <w:p>
      <w:pPr>
        <w:ind w:left="1020" w:right="54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9"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53</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2"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60"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w:t>
      </w:r>
    </w:p>
    <w:p>
      <w:pPr>
        <w:spacing w:after="0" w:line="17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2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1" w:lineRule="exact"/>
        <w:rPr>
          <w:sz w:val="20"/>
          <w:szCs w:val="20"/>
          <w:color w:val="auto"/>
        </w:rPr>
      </w:pPr>
    </w:p>
    <w:p>
      <w:pPr>
        <w:ind w:right="520" w:firstLine="458"/>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1"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 B2 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IR and XR.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have invested substantial time and resources in preclinical and nonclinical studies, clinical trials, manufacturing and the preparation and submission of various regulatory applications without any assurance that we will obtain regulatory approval or recoup our investment and may continue to do so. The FDA and other regulatory authorities exercise substantial discretion with respect to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54</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0" w:lineRule="exact"/>
        <w:rPr>
          <w:sz w:val="20"/>
          <w:szCs w:val="20"/>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5" w:lineRule="exact"/>
        <w:rPr>
          <w:rFonts w:ascii="Times New Roman" w:cs="Times New Roman" w:eastAsia="Times New Roman" w:hAnsi="Times New Roman"/>
          <w:sz w:val="16"/>
          <w:szCs w:val="16"/>
          <w:color w:val="auto"/>
        </w:rPr>
      </w:pPr>
    </w:p>
    <w:p>
      <w:pPr>
        <w:ind w:left="900" w:right="460" w:hanging="428"/>
        <w:spacing w:after="0" w:line="285" w:lineRule="auto"/>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IR and XR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91"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60"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55</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Contract Development and Manufacturing Organization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2"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5"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19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80"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4" w:lineRule="exact"/>
        <w:rPr>
          <w:sz w:val="20"/>
          <w:szCs w:val="20"/>
          <w:color w:val="auto"/>
        </w:rPr>
      </w:pPr>
    </w:p>
    <w:p>
      <w:pPr>
        <w:ind w:right="660" w:firstLine="458"/>
        <w:spacing w:after="0" w:line="286" w:lineRule="auto"/>
        <w:rPr>
          <w:sz w:val="20"/>
          <w:szCs w:val="20"/>
          <w:color w:val="auto"/>
        </w:rPr>
      </w:pPr>
      <w:r>
        <w:rPr>
          <w:rFonts w:ascii="Arial" w:cs="Arial" w:eastAsia="Arial" w:hAnsi="Arial"/>
          <w:sz w:val="16"/>
          <w:szCs w:val="16"/>
          <w:color w:val="auto"/>
        </w:rPr>
        <w:t>Further, there has been heightened governmental scrutiny in the United States of pharmaceutical pricing practices in light of the rising cost of prescription drugs. At the federal level, such scrutiny has resulted in several recent congressional inquiries and proposed and</w:t>
      </w:r>
    </w:p>
    <w:p>
      <w:pPr>
        <w:sectPr>
          <w:pgSz w:w="11900" w:h="16838" w:orient="portrait"/>
          <w:cols w:equalWidth="0" w:num="1">
            <w:col w:w="11220"/>
          </w:cols>
          <w:pgMar w:left="320" w:top="773"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56</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56"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sales of commercialized products.</w:t>
      </w:r>
    </w:p>
    <w:p>
      <w:pPr>
        <w:spacing w:after="0" w:line="17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 xml:space="preserve">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(See Business Overview – </w:t>
      </w:r>
      <w:r>
        <w:rPr>
          <w:rFonts w:ascii="Arial" w:cs="Arial" w:eastAsia="Arial" w:hAnsi="Arial"/>
          <w:sz w:val="16"/>
          <w:szCs w:val="16"/>
          <w:i w:val="1"/>
          <w:iCs w:val="1"/>
          <w:color w:val="auto"/>
        </w:rPr>
        <w:t>U.S. Healthcare Reform</w:t>
      </w:r>
      <w:r>
        <w:rPr>
          <w:rFonts w:ascii="Arial" w:cs="Arial" w:eastAsia="Arial" w:hAnsi="Arial"/>
          <w:sz w:val="16"/>
          <w:szCs w:val="16"/>
          <w:color w:val="auto"/>
        </w:rPr>
        <w:t xml:space="preserve"> for further discussion).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7"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expect that these healthcare reform measures that may be adopted in the future may result in more rigorous coverage criteria, new payment methodologies and additional downward pressure on the price that we could receive for any approved product.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any future product candidates, if approved. Any reduction in reimbursement from Medicare or other government programs may result in a similar reduction in payments from private payers, limit patient access, reduce prescribing or require additional discounts, any of which could materially adversely affect our ability to generate revenue, achieve or maintain profitability and successfully commercialize any future products.</w:t>
      </w:r>
    </w:p>
    <w:p>
      <w:pPr>
        <w:spacing w:after="0" w:line="18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2"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21"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6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57</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7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37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70"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imposition of tariffs on our products in the future.</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58</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460" w:right="80"/>
        <w:spacing w:after="0" w:line="258" w:lineRule="auto"/>
        <w:rPr>
          <w:sz w:val="20"/>
          <w:szCs w:val="20"/>
          <w:color w:val="auto"/>
        </w:rPr>
      </w:pPr>
      <w:r>
        <w:rPr>
          <w:rFonts w:ascii="Arial" w:cs="Arial" w:eastAsia="Arial" w:hAnsi="Arial"/>
          <w:sz w:val="16"/>
          <w:szCs w:val="16"/>
          <w:b w:val="1"/>
          <w:bCs w:val="1"/>
          <w:i w:val="1"/>
          <w:iCs w:val="1"/>
          <w:color w:val="auto"/>
        </w:rPr>
        <w:t>Our activities rely heavily on sensitive and personal data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As a result of our clinical development, we will have access to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 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negatively impacting our ability to initiate and complete clinical trials.In addition, many state laws, for example, Washington’s My Health My Data Act and California Consumer Privacy Act as amended by California Privacy Rights Act,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National Security Division of the DOJ also issued a new rule—referred to as the “Data Security Program”, or DSP—to implement Executive Order</w:t>
      </w:r>
    </w:p>
    <w:p>
      <w:pPr>
        <w:spacing w:after="0" w:line="21"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14117 aimed at preventing access to “bulk U.S. sensitive personal data” and “government-related data” by “countries of concern” (including China, Russia, Iran, North Korea, Cuba, and Venezuela) and “covered persons” (as all such terms are defined in the DSP). Effective as of April 8, 2025, the DSP imposes stringent obligations on companies within its scope and prohibits or restricts “covered data transactions” that grant countries of concern or covered persons access to bulk U.S. sensitive personal data or any amount of government-related data.</w:t>
      </w:r>
    </w:p>
    <w:p>
      <w:pPr>
        <w:spacing w:after="0" w:line="183"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adhering to the principles of ‘privacy by design and by default’ when developing new products or services; (iii) complying with data minimization obligations;</w:t>
      </w:r>
    </w:p>
    <w:p>
      <w:pPr>
        <w:spacing w:after="0" w:line="3" w:lineRule="exact"/>
        <w:rPr>
          <w:sz w:val="20"/>
          <w:szCs w:val="20"/>
          <w:color w:val="auto"/>
        </w:rPr>
      </w:pPr>
    </w:p>
    <w:p>
      <w:pPr>
        <w:ind w:right="40" w:firstLine="8"/>
        <w:spacing w:after="0" w:line="251" w:lineRule="auto"/>
        <w:tabs>
          <w:tab w:leader="none" w:pos="27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w:t>
      </w:r>
    </w:p>
    <w:p>
      <w:pPr>
        <w:spacing w:after="0" w:line="183"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Further, the GDPR provides that countries in the EEA may establish their own laws and regulations further restricting the processing of certain personal data, including genetic data, biometric data, and health data. Moreover,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3"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After assessing the severity and frequency of the EEA personal data processing activities we engage in, we have established a Global Data Privacy Program and appointed an external data protection officer who has expert knowledge of data protection law and practices and assists us with monitoring internal compliance with the GDPR. However, we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59</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Therefore, complying with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 In addition, our internal computer systems, or those used by our clinical investigators, contractors, or consultants, may fail or suffer security breaches.</w:t>
      </w:r>
    </w:p>
    <w:p>
      <w:pPr>
        <w:spacing w:after="0" w:line="373" w:lineRule="exact"/>
        <w:rPr>
          <w:sz w:val="20"/>
          <w:szCs w:val="20"/>
          <w:color w:val="auto"/>
        </w:rPr>
      </w:pPr>
    </w:p>
    <w:p>
      <w:pPr>
        <w:ind w:left="460" w:right="50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21"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IR and XR or any other product candidates that we may pursue, or experience significant delays in doing so, our business, financial condition, results of operations and prospects would be materially adversely affected.</w:t>
      </w:r>
    </w:p>
    <w:p>
      <w:pPr>
        <w:spacing w:after="0" w:line="160"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IR and XR or any other program that we may pursue do not receive marketing approvals,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1020" w:right="700" w:hanging="503"/>
        <w:spacing w:after="0" w:line="285"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Moreover, if we are successful in developing both IR and XR,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9"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60</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instance, we were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7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of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4"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8"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4"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80"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COMPANY—B. Business overview—Competition,” there are several approved therapies for HAE and we are aware of others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61</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IR and XR, could adversely affect our business, financial condition, results of operations or prospects.</w:t>
      </w:r>
    </w:p>
    <w:p>
      <w:pPr>
        <w:spacing w:after="0" w:line="185"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our results of operations and our ability to raise funds.</w:t>
      </w:r>
    </w:p>
    <w:p>
      <w:pPr>
        <w:spacing w:after="0" w:line="173" w:lineRule="exact"/>
        <w:rPr>
          <w:sz w:val="20"/>
          <w:szCs w:val="20"/>
          <w:color w:val="auto"/>
        </w:rPr>
      </w:pPr>
    </w:p>
    <w:p>
      <w:pPr>
        <w:jc w:val="both"/>
        <w:ind w:left="460" w:right="58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0"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00" w:firstLine="458"/>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62</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360" w:firstLine="458"/>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3" w:lineRule="exact"/>
        <w:rPr>
          <w:sz w:val="20"/>
          <w:szCs w:val="20"/>
          <w:color w:val="auto"/>
        </w:rPr>
      </w:pPr>
    </w:p>
    <w:p>
      <w:pPr>
        <w:ind w:left="460" w:right="80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4"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0"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63</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21"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60"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4"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80" w:lineRule="exact"/>
        <w:rPr>
          <w:sz w:val="20"/>
          <w:szCs w:val="20"/>
          <w:color w:val="auto"/>
        </w:rPr>
      </w:pPr>
    </w:p>
    <w:p>
      <w:pPr>
        <w:ind w:left="460" w:right="44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80" w:lineRule="exact"/>
        <w:rPr>
          <w:sz w:val="20"/>
          <w:szCs w:val="20"/>
          <w:color w:val="auto"/>
        </w:rPr>
      </w:pPr>
    </w:p>
    <w:p>
      <w:pPr>
        <w:ind w:left="460" w:right="50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60"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1020" w:right="120" w:hanging="503"/>
        <w:spacing w:after="0" w:line="285"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8" w:lineRule="exact"/>
        <w:rPr>
          <w:rFonts w:ascii="Times New Roman" w:cs="Times New Roman" w:eastAsia="Times New Roman" w:hAnsi="Times New Roman"/>
          <w:sz w:val="16"/>
          <w:szCs w:val="16"/>
          <w:color w:val="auto"/>
        </w:rPr>
      </w:pPr>
    </w:p>
    <w:p>
      <w:pPr>
        <w:ind w:left="1020" w:right="560" w:hanging="503"/>
        <w:spacing w:after="0" w:line="285"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8"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2"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48" w:lineRule="exact"/>
        <w:rPr>
          <w:rFonts w:ascii="Times New Roman" w:cs="Times New Roman" w:eastAsia="Times New Roman" w:hAnsi="Times New Roman"/>
          <w:sz w:val="16"/>
          <w:szCs w:val="16"/>
          <w:color w:val="auto"/>
        </w:rPr>
      </w:pPr>
    </w:p>
    <w:p>
      <w:pPr>
        <w:jc w:val="both"/>
        <w:ind w:left="1020" w:right="120" w:hanging="503"/>
        <w:spacing w:after="0" w:line="266"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2"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21" w:lineRule="exact"/>
        <w:rPr>
          <w:sz w:val="20"/>
          <w:szCs w:val="20"/>
          <w:color w:val="auto"/>
        </w:rPr>
      </w:pPr>
    </w:p>
    <w:p>
      <w:pPr>
        <w:jc w:val="both"/>
        <w:ind w:left="460" w:right="40"/>
        <w:spacing w:after="0" w:line="270" w:lineRule="auto"/>
        <w:rPr>
          <w:sz w:val="20"/>
          <w:szCs w:val="20"/>
          <w:color w:val="auto"/>
        </w:rPr>
      </w:pPr>
      <w:r>
        <w:rPr>
          <w:rFonts w:ascii="Arial" w:cs="Arial" w:eastAsia="Arial" w:hAnsi="Arial"/>
          <w:sz w:val="16"/>
          <w:szCs w:val="16"/>
          <w:b w:val="1"/>
          <w:bCs w:val="1"/>
          <w:i w:val="1"/>
          <w:iCs w:val="1"/>
          <w:color w:val="auto"/>
        </w:rPr>
        <w:t>If we fail to make required payments pursuant to the agreements with BRAIN to which we acquired certain of our core intellectual property or are otherwise in material breach of such agreements (and fail to cure such breaches within a specified time period), BRAIN may exercise remedies pursuant to such agreements that would materially and adversely affect our business and results of operations.</w:t>
      </w:r>
    </w:p>
    <w:p>
      <w:pPr>
        <w:spacing w:after="0" w:line="16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BRAIN and contractually assigned to us by BRAIN, with whom we continue to collaborate for the development of our product candidates. Under the BRAIN agreements, we owe milestone payments contingent on our achievement of certain clinical development and regulatory events, as well as royalties and milestone payments based on sales of such product candidates. If we fail to make such payments or are otherwise in material breach of certain agreements that we entered into with BRAIN (and fail to cure such breaches within a specified time period), and BRAIN exercises contractual remedies available to it under such agreements, then we may be required to grant BRAIN an exclusive license to the intellectual property that it assigned to us for use in all applications, including HAE. In addition, we could be prevented from competing with BRAIN until five years after the commercial launch of any product candidates containing a compound from the OB2RA Class. If we failed to make such payments and BRAIN were to exercise such remedies, we would not be able to continue our current development program or commercialize our product candidates and our business and results of operations would be materially and adversely affected. For a description of our arrangement with BRAIN, please see “ITEM 4. INFORMATION ON THE COMPANY—B. Business overview—License Agreement.”</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65</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right="220"/>
        <w:spacing w:after="0" w:line="262"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167"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80"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1020" w:right="120" w:hanging="503"/>
        <w:spacing w:after="0" w:line="266"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5" w:lineRule="exact"/>
        <w:rPr>
          <w:rFonts w:ascii="Times New Roman" w:cs="Times New Roman" w:eastAsia="Times New Roman" w:hAnsi="Times New Roman"/>
          <w:sz w:val="16"/>
          <w:szCs w:val="16"/>
          <w:color w:val="auto"/>
        </w:rPr>
      </w:pPr>
    </w:p>
    <w:p>
      <w:pPr>
        <w:ind w:left="1020" w:right="580" w:hanging="503"/>
        <w:spacing w:after="0" w:line="285"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6"/>
          <w:szCs w:val="16"/>
          <w:color w:val="auto"/>
        </w:rPr>
      </w:pPr>
    </w:p>
    <w:p>
      <w:pPr>
        <w:ind w:left="1020" w:right="120" w:hanging="503"/>
        <w:spacing w:after="0" w:line="266"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2" w:lineRule="exact"/>
        <w:rPr>
          <w:rFonts w:ascii="Times New Roman" w:cs="Times New Roman" w:eastAsia="Times New Roman" w:hAnsi="Times New Roman"/>
          <w:sz w:val="16"/>
          <w:szCs w:val="16"/>
          <w:color w:val="auto"/>
        </w:rPr>
      </w:pPr>
    </w:p>
    <w:p>
      <w:pPr>
        <w:ind w:left="1020" w:right="220" w:hanging="503"/>
        <w:spacing w:after="0" w:line="266"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6"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87"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66</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6" w:lineRule="exact"/>
        <w:rPr>
          <w:sz w:val="20"/>
          <w:szCs w:val="20"/>
          <w:color w:val="auto"/>
        </w:rPr>
      </w:pPr>
    </w:p>
    <w:p>
      <w:pPr>
        <w:ind w:right="300" w:firstLine="458"/>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4"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1" w:lineRule="exact"/>
        <w:rPr>
          <w:sz w:val="20"/>
          <w:szCs w:val="20"/>
          <w:color w:val="auto"/>
        </w:rPr>
      </w:pPr>
    </w:p>
    <w:p>
      <w:pPr>
        <w:jc w:val="both"/>
        <w:ind w:right="280" w:firstLine="458"/>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67</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8"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68</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right="86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92"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1"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5" w:lineRule="exact"/>
        <w:rPr>
          <w:rFonts w:ascii="Times New Roman" w:cs="Times New Roman" w:eastAsia="Times New Roman" w:hAnsi="Times New Roman"/>
          <w:sz w:val="16"/>
          <w:szCs w:val="16"/>
          <w:color w:val="auto"/>
        </w:rPr>
      </w:pPr>
    </w:p>
    <w:p>
      <w:pPr>
        <w:ind w:left="1020" w:right="20" w:hanging="503"/>
        <w:spacing w:after="0" w:line="257" w:lineRule="auto"/>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264"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69</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0"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70</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1020" w:right="20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6"/>
          <w:szCs w:val="16"/>
          <w:color w:val="auto"/>
        </w:rPr>
      </w:pPr>
    </w:p>
    <w:p>
      <w:pPr>
        <w:ind w:left="1020" w:right="44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5"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8"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5"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21" w:lineRule="exact"/>
        <w:rPr>
          <w:sz w:val="20"/>
          <w:szCs w:val="20"/>
          <w:color w:val="auto"/>
        </w:rPr>
      </w:pPr>
    </w:p>
    <w:p>
      <w:pPr>
        <w:ind w:left="460"/>
        <w:spacing w:after="0" w:line="258"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70"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900" w:right="180" w:hanging="428"/>
        <w:spacing w:after="0" w:line="254"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(including any kickback, bribe or certain rebates), directly or indirectly, overtly or covertly, in cash or in kind, to induce or reward either the referral of an individual for, or the purchase, lease, order, recommendation or arranging of, any item or service, for which payment may be made, in whole or in part, under any U.S. federal health care program such as Medicare and Medicaid. A person or entity does not need to have actual knowledge of the federal Anti-Kickback Statute or specific intent to violate it in order to have committed a violation;</w:t>
      </w:r>
    </w:p>
    <w:p>
      <w:pPr>
        <w:spacing w:after="0" w:line="72" w:lineRule="exact"/>
        <w:rPr>
          <w:rFonts w:ascii="Times New Roman" w:cs="Times New Roman" w:eastAsia="Times New Roman" w:hAnsi="Times New Roman"/>
          <w:sz w:val="16"/>
          <w:szCs w:val="16"/>
          <w:color w:val="auto"/>
        </w:rPr>
      </w:pPr>
    </w:p>
    <w:p>
      <w:pPr>
        <w:ind w:left="900" w:right="140" w:hanging="428"/>
        <w:spacing w:after="0" w:line="259"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any U.S.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900" w:right="180" w:hanging="428"/>
        <w:spacing w:after="0" w:line="266"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71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900" w:right="360" w:hanging="428"/>
        <w:spacing w:after="0" w:line="259"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20" w:hanging="428"/>
        <w:spacing w:after="0" w:line="259"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900" w:right="20" w:hanging="428"/>
        <w:spacing w:after="0" w:line="259"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900" w:right="200" w:hanging="428"/>
        <w:spacing w:after="0" w:line="256"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0" w:lineRule="exact"/>
        <w:rPr>
          <w:rFonts w:ascii="Times New Roman" w:cs="Times New Roman" w:eastAsia="Times New Roman" w:hAnsi="Times New Roman"/>
          <w:sz w:val="16"/>
          <w:szCs w:val="16"/>
          <w:color w:val="auto"/>
        </w:rPr>
      </w:pPr>
    </w:p>
    <w:p>
      <w:pPr>
        <w:ind w:left="900" w:right="52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2" w:lineRule="exact"/>
        <w:rPr>
          <w:rFonts w:ascii="Times New Roman" w:cs="Times New Roman" w:eastAsia="Times New Roman" w:hAnsi="Times New Roman"/>
          <w:sz w:val="16"/>
          <w:szCs w:val="16"/>
          <w:color w:val="auto"/>
        </w:rPr>
      </w:pPr>
    </w:p>
    <w:p>
      <w:pPr>
        <w:ind w:left="900" w:right="36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8"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6"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each party may be subject to criminal, civil or administrative sanctions, including exclusions from government-funded healthcare programs.</w:t>
      </w:r>
    </w:p>
    <w:p>
      <w:pPr>
        <w:spacing w:after="0" w:line="184" w:lineRule="exact"/>
        <w:rPr>
          <w:sz w:val="20"/>
          <w:szCs w:val="20"/>
          <w:color w:val="auto"/>
        </w:rPr>
      </w:pPr>
    </w:p>
    <w:p>
      <w:pPr>
        <w:ind w:right="440" w:firstLine="458"/>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9" w:lineRule="exact"/>
        <w:rPr>
          <w:sz w:val="20"/>
          <w:szCs w:val="20"/>
          <w:color w:val="auto"/>
        </w:rPr>
      </w:pPr>
    </w:p>
    <w:p>
      <w:pPr>
        <w:ind w:right="700" w:firstLine="458"/>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5" w:lineRule="exact"/>
        <w:rPr>
          <w:rFonts w:ascii="Times New Roman" w:cs="Times New Roman" w:eastAsia="Times New Roman" w:hAnsi="Times New Roman"/>
          <w:sz w:val="16"/>
          <w:szCs w:val="16"/>
          <w:color w:val="auto"/>
        </w:rPr>
      </w:pPr>
    </w:p>
    <w:p>
      <w:pPr>
        <w:ind w:left="1020" w:right="560" w:hanging="503"/>
        <w:spacing w:after="0" w:line="285" w:lineRule="auto"/>
        <w:tabs>
          <w:tab w:leader="none" w:pos="10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pacing w:after="0" w:line="158"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21"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73</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interruption in operations, any of which could adversely impact our business and financial condition, especially if we are unable to find an alternate supplier in a timely manner.</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185"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80"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(without limitation)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21"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1" w:lineRule="exact"/>
        <w:rPr>
          <w:sz w:val="20"/>
          <w:szCs w:val="20"/>
          <w:color w:val="auto"/>
        </w:rPr>
      </w:pPr>
    </w:p>
    <w:p>
      <w:pPr>
        <w:ind w:right="340" w:firstLine="458"/>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74</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9"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As of March 17, 2026, our significant shareholders beneficially owned ordinary shares representing approximately 43.97%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the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2" w:lineRule="exact"/>
        <w:rPr>
          <w:sz w:val="20"/>
          <w:szCs w:val="20"/>
          <w:color w:val="auto"/>
        </w:rPr>
      </w:pPr>
    </w:p>
    <w:p>
      <w:pPr>
        <w:ind w:left="460" w:right="14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60"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82"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3"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ways with which you do not agree and in ways that may not yield a return on your investment.</w:t>
      </w:r>
    </w:p>
    <w:p>
      <w:pPr>
        <w:spacing w:after="0" w:line="155"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As of December 31, 2025, we had €291.7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440" w:firstLine="458"/>
        <w:spacing w:after="0" w:line="266" w:lineRule="auto"/>
        <w:rPr>
          <w:sz w:val="20"/>
          <w:szCs w:val="20"/>
          <w:color w:val="auto"/>
        </w:rPr>
      </w:pPr>
      <w:r>
        <w:rPr>
          <w:rFonts w:ascii="Arial" w:cs="Arial" w:eastAsia="Arial" w:hAnsi="Arial"/>
          <w:sz w:val="16"/>
          <w:szCs w:val="16"/>
          <w:color w:val="auto"/>
        </w:rPr>
        <w:t>We had a total of 65,407,822 ordinary shares outstanding as of March 17, 2026.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75</w:t>
      </w:r>
      <w:r>
        <w:rPr>
          <w:rFonts w:ascii="Arial" w:cs="Arial" w:eastAsia="Arial" w:hAnsi="Arial"/>
          <w:sz w:val="16"/>
          <w:szCs w:val="16"/>
          <w:b w:val="1"/>
          <w:bCs w:val="1"/>
          <w:u w:val="single" w:color="auto"/>
          <w:color w:val="0000FF"/>
        </w:rPr>
        <w:t>Table of Contents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6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jc w:val="both"/>
        <w:ind w:right="220" w:firstLine="458"/>
        <w:spacing w:after="0" w:line="253"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92" w:lineRule="exact"/>
        <w:rPr>
          <w:sz w:val="20"/>
          <w:szCs w:val="20"/>
          <w:color w:val="auto"/>
        </w:rPr>
      </w:pPr>
    </w:p>
    <w:p>
      <w:pPr>
        <w:ind w:left="460" w:right="90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imposing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76</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73" w:lineRule="exact"/>
        <w:rPr>
          <w:sz w:val="20"/>
          <w:szCs w:val="20"/>
          <w:color w:val="auto"/>
        </w:rPr>
      </w:pPr>
    </w:p>
    <w:p>
      <w:pPr>
        <w:ind w:left="460" w:right="56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stakeholders will have interests that are different from, or in addition to, your interests as a shareholder.</w:t>
      </w:r>
    </w:p>
    <w:p>
      <w:pPr>
        <w:spacing w:after="0" w:line="185"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 party to acquire control of us or effect a change in the composition of our Board. These include:</w:t>
      </w:r>
    </w:p>
    <w:p>
      <w:pPr>
        <w:spacing w:after="0" w:line="48" w:lineRule="exact"/>
        <w:rPr>
          <w:sz w:val="20"/>
          <w:szCs w:val="20"/>
          <w:color w:val="auto"/>
        </w:rPr>
      </w:pPr>
    </w:p>
    <w:p>
      <w:pPr>
        <w:ind w:left="1020" w:right="120" w:hanging="503"/>
        <w:spacing w:after="0" w:line="266"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0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77</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by shareholders and others with meeting rights under Dutch law and must be tabled for discussion at the next general meeting. Shareholders representing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least 3% of our issued share capital may request the Enterprise Chamber of the Amsterdam Court of Appeal, or the Enterprise Chamber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demonstrate that:</w:t>
      </w:r>
    </w:p>
    <w:p>
      <w:pPr>
        <w:spacing w:after="0" w:line="97" w:lineRule="exact"/>
        <w:rPr>
          <w:sz w:val="20"/>
          <w:szCs w:val="20"/>
          <w:color w:val="auto"/>
        </w:rPr>
      </w:pPr>
    </w:p>
    <w:p>
      <w:pPr>
        <w:ind w:right="120" w:firstLine="466"/>
        <w:spacing w:after="0" w:line="286" w:lineRule="auto"/>
        <w:tabs>
          <w:tab w:leader="none" w:pos="8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820" w:hanging="354"/>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280" w:firstLine="466"/>
        <w:spacing w:after="0" w:line="266" w:lineRule="auto"/>
        <w:tabs>
          <w:tab w:leader="none" w:pos="818"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 or grants of rights to subscribe for shares.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annual general meeting in 2024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9"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(functionarissen) (including our directors and executive officers) are governed in certain respects by the laws of the Netherlands.</w:t>
      </w:r>
    </w:p>
    <w:p>
      <w:pPr>
        <w:spacing w:after="0" w:line="171"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United States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6"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182" w:lineRule="exact"/>
        <w:rPr>
          <w:sz w:val="20"/>
          <w:szCs w:val="20"/>
          <w:color w:val="auto"/>
        </w:rPr>
      </w:pPr>
    </w:p>
    <w:p>
      <w:pPr>
        <w:jc w:val="both"/>
        <w:ind w:left="460" w:right="120"/>
        <w:spacing w:after="0" w:line="294" w:lineRule="auto"/>
        <w:rPr>
          <w:sz w:val="20"/>
          <w:szCs w:val="20"/>
          <w:color w:val="auto"/>
        </w:rPr>
      </w:pPr>
      <w:r>
        <w:rPr>
          <w:rFonts w:ascii="Arial" w:cs="Arial" w:eastAsia="Arial" w:hAnsi="Arial"/>
          <w:sz w:val="16"/>
          <w:szCs w:val="16"/>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ectPr>
          <w:pgSz w:w="11900" w:h="16838" w:orient="portrait"/>
          <w:cols w:equalWidth="0" w:num="1">
            <w:col w:w="11220"/>
          </w:cols>
          <w:pgMar w:left="320" w:top="773" w:right="35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78</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92"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 investors</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2025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200" w:lineRule="exact"/>
        <w:rPr>
          <w:sz w:val="20"/>
          <w:szCs w:val="20"/>
          <w:color w:val="auto"/>
        </w:rPr>
      </w:pPr>
    </w:p>
    <w:p>
      <w:pPr>
        <w:spacing w:after="0" w:line="394"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or restructuring under U.S. insolvency laws.</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9" w:lineRule="exact"/>
        <w:rPr>
          <w:sz w:val="20"/>
          <w:szCs w:val="20"/>
          <w:color w:val="auto"/>
        </w:rPr>
      </w:pPr>
    </w:p>
    <w:p>
      <w:pPr>
        <w:ind w:right="260" w:firstLine="458"/>
        <w:spacing w:after="0" w:line="256"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79</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387"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91" w:lineRule="exact"/>
        <w:rPr>
          <w:sz w:val="20"/>
          <w:szCs w:val="20"/>
          <w:color w:val="auto"/>
        </w:rPr>
      </w:pPr>
    </w:p>
    <w:p>
      <w:pPr>
        <w:ind w:left="460" w:right="36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5"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5" w:lineRule="exact"/>
        <w:rPr>
          <w:rFonts w:ascii="Times New Roman" w:cs="Times New Roman" w:eastAsia="Times New Roman" w:hAnsi="Times New Roman"/>
          <w:sz w:val="16"/>
          <w:szCs w:val="16"/>
          <w:color w:val="auto"/>
        </w:rPr>
      </w:pPr>
    </w:p>
    <w:p>
      <w:pPr>
        <w:ind w:left="1020" w:right="540" w:hanging="503"/>
        <w:spacing w:after="0" w:line="285" w:lineRule="auto"/>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80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to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4"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2"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We will also expect to incur significantly higher legal, accounting and other expenses if we cease to qualify as a foreign private issuer.</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7"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60"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81</w:t>
      </w: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4. Controls and Procedures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4.1 Risk management and control systems</w:t>
      </w:r>
    </w:p>
    <w:p>
      <w:pPr>
        <w:spacing w:after="0" w:line="113" w:lineRule="exact"/>
        <w:rPr>
          <w:sz w:val="20"/>
          <w:szCs w:val="20"/>
          <w:color w:val="auto"/>
        </w:rPr>
      </w:pPr>
    </w:p>
    <w:p>
      <w:pPr>
        <w:jc w:val="both"/>
        <w:ind w:right="440" w:firstLine="749"/>
        <w:spacing w:after="0" w:line="259" w:lineRule="auto"/>
        <w:rPr>
          <w:sz w:val="20"/>
          <w:szCs w:val="20"/>
          <w:color w:val="auto"/>
        </w:rPr>
      </w:pPr>
      <w:r>
        <w:rPr>
          <w:rFonts w:ascii="Arial" w:cs="Arial" w:eastAsia="Arial" w:hAnsi="Arial"/>
          <w:sz w:val="16"/>
          <w:szCs w:val="16"/>
          <w:color w:val="auto"/>
        </w:rPr>
        <w:t>As of December 31, 2025 our management, including our Chief Executive Officer and Chief Financial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70" w:lineRule="exact"/>
        <w:rPr>
          <w:sz w:val="20"/>
          <w:szCs w:val="20"/>
          <w:color w:val="auto"/>
        </w:rPr>
      </w:pPr>
    </w:p>
    <w:p>
      <w:pPr>
        <w:ind w:right="320" w:firstLine="749"/>
        <w:spacing w:after="0" w:line="286" w:lineRule="auto"/>
        <w:rPr>
          <w:sz w:val="20"/>
          <w:szCs w:val="20"/>
          <w:color w:val="auto"/>
        </w:rPr>
      </w:pPr>
      <w:r>
        <w:rPr>
          <w:rFonts w:ascii="Arial" w:cs="Arial" w:eastAsia="Arial" w:hAnsi="Arial"/>
          <w:sz w:val="16"/>
          <w:szCs w:val="16"/>
          <w:color w:val="auto"/>
        </w:rPr>
        <w:t>Based on such evaluation, our Chief Executive Officer and Chief Financial Officer concluded that our disclosure controls and procedures were effective as of December 31, 2025.</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3" w:lineRule="exact"/>
        <w:rPr>
          <w:sz w:val="20"/>
          <w:szCs w:val="20"/>
          <w:color w:val="auto"/>
        </w:rPr>
      </w:pPr>
    </w:p>
    <w:p>
      <w:pPr>
        <w:ind w:right="100" w:firstLine="749"/>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 13a-15(f) under the Exchange Act. Internal control over financial reporting is a process designed to provide reasonable assurance regarding the reliability of our financial reporting and the preparation of our financial statements for external purposes in accordance with IFRS Accounting Standards (IFRS) as issued by International Accounting Standards Board.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as of December 31, 2025, our internal control over financial reporting was effective.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ind w:right="280" w:firstLine="749"/>
        <w:spacing w:after="0" w:line="266" w:lineRule="auto"/>
        <w:rPr>
          <w:sz w:val="20"/>
          <w:szCs w:val="20"/>
          <w:color w:val="auto"/>
        </w:rPr>
      </w:pPr>
      <w:r>
        <w:rPr>
          <w:rFonts w:ascii="Arial" w:cs="Arial" w:eastAsia="Arial" w:hAnsi="Arial"/>
          <w:sz w:val="16"/>
          <w:szCs w:val="16"/>
          <w:color w:val="auto"/>
        </w:rPr>
        <w:t>The Board is responsible for establishing and maintaining adequate internal risk management and control systems. During the financial year to which this report relates, the Board has assessed the design and effectiveness of these systems and the results have been discussed with our audit committee, our non-executive directors and our external auditor.</w:t>
      </w:r>
    </w:p>
    <w:p>
      <w:pPr>
        <w:spacing w:after="0" w:line="3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4.2 In control statement</w:t>
      </w:r>
    </w:p>
    <w:p>
      <w:pPr>
        <w:spacing w:after="0" w:line="113" w:lineRule="exact"/>
        <w:rPr>
          <w:sz w:val="20"/>
          <w:szCs w:val="20"/>
          <w:color w:val="auto"/>
        </w:rPr>
      </w:pPr>
    </w:p>
    <w:p>
      <w:pPr>
        <w:ind w:right="100" w:firstLine="749"/>
        <w:spacing w:after="0" w:line="254" w:lineRule="auto"/>
        <w:rPr>
          <w:sz w:val="20"/>
          <w:szCs w:val="20"/>
          <w:color w:val="auto"/>
        </w:rPr>
      </w:pPr>
      <w:r>
        <w:rPr>
          <w:rFonts w:ascii="Arial" w:cs="Arial" w:eastAsia="Arial" w:hAnsi="Arial"/>
          <w:sz w:val="16"/>
          <w:szCs w:val="16"/>
          <w:color w:val="auto"/>
        </w:rPr>
        <w:t>The Board recognises the inherent limitations of internal risk management and control systems. Whilst the Company continuously works towards improving its processes and procedures, these systems cannot provide absolute certainty that all risks have been identified or are effectively managed. The level of certainty that they provide is influenced by, among other matters, inherent limitations to risk management, business considerations such as the Company's risk appetite, the complexity of the operations of the Company's business, and the dynamic nature of the Company's business environment. Furthermore, certain risks are outside the Company's direct control, as they might materialise depending on action (or inaction) by third parties or the occurrence of external circumstances beyond the Company's influence.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 to the best of its knowledge:</w:t>
      </w:r>
    </w:p>
    <w:p>
      <w:pPr>
        <w:spacing w:after="0" w:line="113"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provides sufficient insight into any failings in the effectiveness of the Company's risk management and control systems;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risk management and control systems provide reasonable assurance that the Company's financial reporting does not contain material inaccuracies;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risk management and control systems provide at least limited assurance that the Company's sustainability reporting does not contain material inaccuracies;</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as at December 31, 2025 was not aware that the Company's internal risk management and control systems do not provide sufficient comfort that the operational and compliance risks identified in chapter 3.2 of this report are effectively managed in line with the Company's risk appetite, considering our risk appetite, the complexity of our business, inherent limitations to the Company's internal risk management and control systems and other disclosures on these systems in this report;</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based on the Company's state of affairs as at the date of this report, it is justified that the Company's financial reporting is prepared on a going concern basis; 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82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line="285" w:lineRule="auto"/>
        <w:tabs>
          <w:tab w:leader="none" w:pos="102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states those material risks, operational, compliance and reporting risks and uncertainties that are relevant to the expectation of the Company's continuity for a period of twelve months after the date of this report.</w:t>
      </w:r>
    </w:p>
    <w:p>
      <w:pPr>
        <w:spacing w:after="0" w:line="156" w:lineRule="exact"/>
        <w:rPr>
          <w:sz w:val="20"/>
          <w:szCs w:val="20"/>
          <w:color w:val="auto"/>
        </w:rPr>
      </w:pPr>
    </w:p>
    <w:p>
      <w:pPr>
        <w:ind w:left="160" w:right="40" w:firstLine="458"/>
        <w:spacing w:after="0" w:line="266" w:lineRule="auto"/>
        <w:rPr>
          <w:sz w:val="20"/>
          <w:szCs w:val="20"/>
          <w:color w:val="auto"/>
        </w:rPr>
      </w:pPr>
      <w:r>
        <w:rPr>
          <w:rFonts w:ascii="Arial" w:cs="Arial" w:eastAsia="Arial" w:hAnsi="Arial"/>
          <w:sz w:val="16"/>
          <w:szCs w:val="16"/>
          <w:color w:val="auto"/>
        </w:rPr>
        <w:t>Due to the inherent limitations in the Company's risk management and control systems, the above statement does not imply that these systems or the associated procedures within the Company provide certainty as to the realisation of strategic, operations, compliance and reporting objectives, nor that they can prevent all misstatements, inaccuracies, fraud, operational issues, and non-compliance with laws and regulations.</w:t>
      </w:r>
    </w:p>
    <w:p>
      <w:pPr>
        <w:spacing w:after="0" w:line="171" w:lineRule="exact"/>
        <w:rPr>
          <w:sz w:val="20"/>
          <w:szCs w:val="20"/>
          <w:color w:val="auto"/>
        </w:rPr>
      </w:pPr>
    </w:p>
    <w:p>
      <w:pPr>
        <w:ind w:left="160" w:right="420" w:firstLine="458"/>
        <w:spacing w:after="0" w:line="286" w:lineRule="auto"/>
        <w:rPr>
          <w:sz w:val="20"/>
          <w:szCs w:val="20"/>
          <w:color w:val="auto"/>
        </w:rPr>
      </w:pPr>
      <w:r>
        <w:rPr>
          <w:rFonts w:ascii="Arial" w:cs="Arial" w:eastAsia="Arial" w:hAnsi="Arial"/>
          <w:sz w:val="16"/>
          <w:szCs w:val="16"/>
          <w:color w:val="auto"/>
        </w:rPr>
        <w:t>There were no material failings in, material changes to, and/or material improvements of the Company's risk management and control systems which have been observed, made and/or planned, respectively, during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Corporate Governance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5.1 Dutch Corporate Governance Code</w:t>
      </w:r>
    </w:p>
    <w:p>
      <w:pPr>
        <w:spacing w:after="0" w:line="194" w:lineRule="exact"/>
        <w:rPr>
          <w:sz w:val="20"/>
          <w:szCs w:val="20"/>
          <w:color w:val="auto"/>
        </w:rPr>
      </w:pPr>
    </w:p>
    <w:p>
      <w:pPr>
        <w:ind w:left="160" w:right="20" w:firstLine="299"/>
        <w:spacing w:after="0" w:line="286" w:lineRule="auto"/>
        <w:rPr>
          <w:sz w:val="20"/>
          <w:szCs w:val="20"/>
          <w:color w:val="auto"/>
        </w:rPr>
      </w:pPr>
      <w:r>
        <w:rPr>
          <w:rFonts w:ascii="Arial" w:cs="Arial" w:eastAsia="Arial" w:hAnsi="Arial"/>
          <w:sz w:val="16"/>
          <w:szCs w:val="16"/>
          <w:color w:val="auto"/>
        </w:rPr>
        <w:t>For the fiscal year to which this report relates, the Dutch Corporate Governance Code 2025 (the "</w:t>
      </w:r>
      <w:r>
        <w:rPr>
          <w:rFonts w:ascii="Arial" w:cs="Arial" w:eastAsia="Arial" w:hAnsi="Arial"/>
          <w:sz w:val="16"/>
          <w:szCs w:val="16"/>
          <w:b w:val="1"/>
          <w:bCs w:val="1"/>
          <w:color w:val="auto"/>
        </w:rPr>
        <w:t>DCGC</w:t>
      </w:r>
      <w:r>
        <w:rPr>
          <w:rFonts w:ascii="Arial" w:cs="Arial" w:eastAsia="Arial" w:hAnsi="Arial"/>
          <w:sz w:val="16"/>
          <w:szCs w:val="16"/>
          <w:color w:val="auto"/>
        </w:rPr>
        <w:t>") applied to the Company. The text of the DCGC can be accessed at http://www.mccg.nl.</w:t>
      </w:r>
    </w:p>
    <w:p>
      <w:pPr>
        <w:spacing w:after="0" w:line="129" w:lineRule="exact"/>
        <w:rPr>
          <w:sz w:val="20"/>
          <w:szCs w:val="20"/>
          <w:color w:val="auto"/>
        </w:rPr>
      </w:pPr>
    </w:p>
    <w:p>
      <w:pPr>
        <w:ind w:left="160" w:firstLine="299"/>
        <w:spacing w:after="0" w:line="286" w:lineRule="auto"/>
        <w:rPr>
          <w:sz w:val="20"/>
          <w:szCs w:val="20"/>
          <w:color w:val="auto"/>
        </w:rPr>
      </w:pPr>
      <w:r>
        <w:rPr>
          <w:rFonts w:ascii="Arial" w:cs="Arial" w:eastAsia="Arial" w:hAnsi="Arial"/>
          <w:sz w:val="16"/>
          <w:szCs w:val="16"/>
          <w:color w:val="auto"/>
        </w:rPr>
        <w:t>Except as set out below, during the fiscal year to which this report relates, the Company complied with the principles and best practice provisions of the DCGC, to the extent that these are directed at the Board.</w:t>
      </w:r>
    </w:p>
    <w:p>
      <w:pPr>
        <w:spacing w:after="0" w:line="237" w:lineRule="exact"/>
        <w:rPr>
          <w:sz w:val="20"/>
          <w:szCs w:val="20"/>
          <w:color w:val="auto"/>
        </w:rPr>
      </w:pPr>
    </w:p>
    <w:p>
      <w:pPr>
        <w:jc w:val="both"/>
        <w:ind w:left="1020" w:hanging="503"/>
        <w:spacing w:after="0" w:line="253" w:lineRule="auto"/>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are to be appointed on the basis of a binding nomination prepared by the Board. This means that the nominee will be appointed to the Board, unless the general meeting of the Company (the "General Meeting") overrules the binding nature of the nomination (in which case a new nomination will be prepared for a subsequent General Meeting). The Company's articles of association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266"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against providing equity awards as part of the compensation of a non-executive director. However, we deviate from this recommendation and grant equity awards to our non-executive directors, consistent with U.S. market practice.</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Pharvaris N.V. 2021 Equity Incentive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69"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Board appoints a separate department for the internal audit function. However, the Company did not have any such department in place in 2025. Instead, adequate alternative measures have been taken and the Company has improved on robust internal controls to safeguard our operations and financial reporting. These measures include:</w:t>
      </w:r>
    </w:p>
    <w:p>
      <w:pPr>
        <w:spacing w:after="0" w:line="62" w:lineRule="exact"/>
        <w:rPr>
          <w:rFonts w:ascii="Times New Roman" w:cs="Times New Roman" w:eastAsia="Times New Roman" w:hAnsi="Times New Roman"/>
          <w:sz w:val="16"/>
          <w:szCs w:val="16"/>
          <w:color w:val="auto"/>
        </w:rPr>
      </w:pPr>
    </w:p>
    <w:p>
      <w:pPr>
        <w:ind w:left="2040" w:right="10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Segregation of Duties: We have clearly defined roles and responsibilities to prevent any single individual from having excessive control over critical processes.</w:t>
      </w:r>
    </w:p>
    <w:p>
      <w:pPr>
        <w:spacing w:after="0" w:line="48" w:lineRule="exact"/>
        <w:rPr>
          <w:rFonts w:ascii="Times New Roman" w:cs="Times New Roman" w:eastAsia="Times New Roman" w:hAnsi="Times New Roman"/>
          <w:sz w:val="16"/>
          <w:szCs w:val="16"/>
          <w:color w:val="auto"/>
        </w:rPr>
      </w:pPr>
    </w:p>
    <w:p>
      <w:pPr>
        <w:ind w:left="2040" w:right="22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Regular Performance Reviews: All employees undergo periodic performance evaluations to ensure adherence to policies and procedures.</w:t>
      </w:r>
    </w:p>
    <w:p>
      <w:pPr>
        <w:spacing w:after="0" w:line="48" w:lineRule="exact"/>
        <w:rPr>
          <w:rFonts w:ascii="Times New Roman" w:cs="Times New Roman" w:eastAsia="Times New Roman" w:hAnsi="Times New Roman"/>
          <w:sz w:val="16"/>
          <w:szCs w:val="16"/>
          <w:color w:val="auto"/>
        </w:rPr>
      </w:pPr>
    </w:p>
    <w:p>
      <w:pPr>
        <w:ind w:left="2040" w:right="20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Approval Processes: We have established rigorous approval workflows for financial transactions, ensuring proper oversight.</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Education and Training: Our staff receives ongoing training on compliance, risk management, and ethical conduct.</w:t>
      </w:r>
    </w:p>
    <w:p>
      <w:pPr>
        <w:spacing w:after="0" w:line="125" w:lineRule="exact"/>
        <w:rPr>
          <w:rFonts w:ascii="Times New Roman" w:cs="Times New Roman" w:eastAsia="Times New Roman" w:hAnsi="Times New Roman"/>
          <w:sz w:val="16"/>
          <w:szCs w:val="16"/>
          <w:color w:val="auto"/>
        </w:rPr>
      </w:pPr>
    </w:p>
    <w:p>
      <w:pPr>
        <w:ind w:left="2040" w:right="160" w:hanging="505"/>
        <w:spacing w:after="0" w:line="259"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Engaging External Consultants: Recognizing the importance of independent oversight, we have engaged and external consulting firm to help the Company achieve SOX 404 compliance. This firm assesses our internal controls over financial reporting framework. Their expertise provides an objective evaluation of our processes, obviating the need for an internal audit department.</w:t>
      </w:r>
    </w:p>
    <w:p>
      <w:pPr>
        <w:spacing w:after="0" w:line="69" w:lineRule="exact"/>
        <w:rPr>
          <w:rFonts w:ascii="Times New Roman" w:cs="Times New Roman" w:eastAsia="Times New Roman" w:hAnsi="Times New Roman"/>
          <w:sz w:val="16"/>
          <w:szCs w:val="16"/>
          <w:color w:val="auto"/>
        </w:rPr>
      </w:pPr>
    </w:p>
    <w:p>
      <w:pPr>
        <w:ind w:left="2040" w:right="60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Testing and Verification: External consultants test transactions and review documentation to conclude on the design and execution of the controls.</w:t>
      </w:r>
    </w:p>
    <w:p>
      <w:pPr>
        <w:spacing w:after="0" w:line="48" w:lineRule="exact"/>
        <w:rPr>
          <w:rFonts w:ascii="Times New Roman" w:cs="Times New Roman" w:eastAsia="Times New Roman" w:hAnsi="Times New Roman"/>
          <w:sz w:val="16"/>
          <w:szCs w:val="16"/>
          <w:color w:val="auto"/>
        </w:rPr>
      </w:pPr>
    </w:p>
    <w:p>
      <w:pPr>
        <w:ind w:left="2040" w:right="82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Recommendations: Based on findings of the aforementioned testing and verification, the external consultants provide recommendations for process improvements and risk mitigation.</w:t>
      </w:r>
    </w:p>
    <w:p>
      <w:pPr>
        <w:spacing w:after="0" w:line="48" w:lineRule="exact"/>
        <w:rPr>
          <w:rFonts w:ascii="Times New Roman" w:cs="Times New Roman" w:eastAsia="Times New Roman" w:hAnsi="Times New Roman"/>
          <w:sz w:val="16"/>
          <w:szCs w:val="16"/>
          <w:color w:val="auto"/>
        </w:rPr>
      </w:pPr>
    </w:p>
    <w:p>
      <w:pPr>
        <w:ind w:left="2040" w:right="620" w:hanging="505"/>
        <w:spacing w:after="0" w:line="285" w:lineRule="auto"/>
        <w:tabs>
          <w:tab w:leader="none" w:pos="2040" w:val="left"/>
        </w:tabs>
        <w:numPr>
          <w:ilvl w:val="1"/>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to the Audit Committee: the Audit Committee is regularly provided with reports on internal controls, enhancing transparency and accountability.</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83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both"/>
        <w:ind w:left="1020" w:hanging="503"/>
        <w:spacing w:after="0" w:line="259"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Stakeholder Dialogue Policy in place. The Company does not have a formal Stakeholder Dialogue Policy in place in because the Company has identified relevant stakeholders and the various channels for dialogue that have already been implemented by the Company. Based on the stakeholder initiatives already in place, the Company agreed that this Policy was not necessary at this time.</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Diversity and Inclusion Policy in place. The Company does not have a formal Diversity and Inclusion Policy in place in which concrete targets in respect of gender diversity are included because of the following reasons:</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Collecting broader D&amp;I data creates substantial data privacy issues under General Data Protection Regulations;</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meets board diversity requirements under Nasdaq rules and Dutch law;</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employees are 56% women and 44% men; and</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Diversity is explicitly embedded in the Company’s Core Values.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Despite not having a formal Diversity and Inclusion Policy, the Company does report on its gender diversity targets (see Chapter 5.8 – "Diversity").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5.2 Code of business conduct and ethics and other corporate governance practices</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The Company has adopted a code of business conduct and ethics which can be accessed at https://ir.pharvaris.com/corporate-governance/governance-documents. The Company does not voluntarily apply other formal codes of conduct or corporate governance practices.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5.3 Risk management and control systems</w:t>
      </w:r>
    </w:p>
    <w:p>
      <w:pPr>
        <w:spacing w:after="0" w:line="194" w:lineRule="exact"/>
        <w:rPr>
          <w:sz w:val="20"/>
          <w:szCs w:val="20"/>
          <w:color w:val="auto"/>
        </w:rPr>
      </w:pPr>
    </w:p>
    <w:p>
      <w:pPr>
        <w:jc w:val="both"/>
        <w:ind w:left="160" w:firstLine="299"/>
        <w:spacing w:after="0" w:line="266" w:lineRule="auto"/>
        <w:rPr>
          <w:sz w:val="20"/>
          <w:szCs w:val="20"/>
          <w:color w:val="auto"/>
        </w:rPr>
      </w:pPr>
      <w:r>
        <w:rPr>
          <w:rFonts w:ascii="Arial" w:cs="Arial" w:eastAsia="Arial" w:hAnsi="Arial"/>
          <w:sz w:val="16"/>
          <w:szCs w:val="16"/>
          <w:color w:val="auto"/>
        </w:rPr>
        <w:t>See chapter 4.1 of this report for an overview of the main characteristics of the Company's risk management and control systems relating to the process of financial reporting by the Company and the Company's group companies whose financial information is included in the Consolidated Financial Statements.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5.4 General Meeting</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5.4.1 Functioning of the General Meeting</w:t>
      </w:r>
    </w:p>
    <w:p>
      <w:pPr>
        <w:spacing w:after="0" w:line="194" w:lineRule="exact"/>
        <w:rPr>
          <w:sz w:val="20"/>
          <w:szCs w:val="20"/>
          <w:color w:val="auto"/>
        </w:rPr>
      </w:pPr>
    </w:p>
    <w:p>
      <w:pPr>
        <w:jc w:val="both"/>
        <w:ind w:left="160" w:firstLine="299"/>
        <w:spacing w:after="0" w:line="250" w:lineRule="auto"/>
        <w:rPr>
          <w:sz w:val="20"/>
          <w:szCs w:val="20"/>
          <w:color w:val="auto"/>
        </w:rPr>
      </w:pPr>
      <w:r>
        <w:rPr>
          <w:rFonts w:ascii="Arial" w:cs="Arial" w:eastAsia="Arial" w:hAnsi="Arial"/>
          <w:sz w:val="16"/>
          <w:szCs w:val="16"/>
          <w:color w:val="auto"/>
        </w:rPr>
        <w:t>Annually, at least one general meeting of the Company (the "</w:t>
      </w:r>
      <w:r>
        <w:rPr>
          <w:rFonts w:ascii="Arial" w:cs="Arial" w:eastAsia="Arial" w:hAnsi="Arial"/>
          <w:sz w:val="16"/>
          <w:szCs w:val="16"/>
          <w:b w:val="1"/>
          <w:bCs w:val="1"/>
          <w:color w:val="auto"/>
        </w:rPr>
        <w:t>General Meeting</w:t>
      </w:r>
      <w:r>
        <w:rPr>
          <w:rFonts w:ascii="Arial" w:cs="Arial" w:eastAsia="Arial" w:hAnsi="Arial"/>
          <w:sz w:val="16"/>
          <w:szCs w:val="16"/>
          <w:color w:val="auto"/>
        </w:rPr>
        <w:t>") must be held. This annual General Meeting must be held within six months after the end of the Company's fiscal year. A General Meeting must also be held within three months after the Board has decided that it is likely that the Company's equity has decreased to or below 50% of its paid up and called up share capital. In addition, without prejudice to the best practice provisions of the DCGC with respect to invoking a 'response period' or the provisions under Dutch law with respect to invoking a 'cooling-off period', a General Meeting must be held when requested by one or more shareholders and/or others with meeting rights under Dutch law collectively representing at least 10% of the Company's issued share capital, provided that certain criteria are met. Any additional General Meeting shall be convened whenever the Board would so decide. Each General Meeting must be held in Amsterdam, Arnhem, Assen, The Hague, Haarlem, 's-Hertogenbosch, Groningen, Leeuwarden, Lelystad, Leiden, Maastricht, Middelburg, Rotterdam, Schiphol (Haarlemmermeer), Utrecht or Zwolle. If and when allowed pursuant to applicable law, those who convene the General Meeting may also decide whether (and if so, under what conditions) the General Meeting shall also or exclusively be accessible through the use of electronic means.</w:t>
      </w:r>
    </w:p>
    <w:p>
      <w:pPr>
        <w:spacing w:after="0" w:line="162"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For purposes of determining who have voting rights and/or meeting rights under Dutch law at a General Meeting, the Board may set a record date. The record date, if set, shall be the 28th day prior to that of the General Meeting. Those who have voting rights and/or meeting rights under Dutch law on the record date and are recorded as such in one or more registers designated by the Board shall be considered to have those rights at the General Meeting, irrespective of any changes in the composition of the shareholder base between the record date and the date of the General Meeting. The Company's articles of association require shareholders and others with meeting rights under Dutch law to notify the Company of their identity and their intention to attend the General Meeting. This notice must be received by the Company ultimately on the seventh day prior to the General Meeting, unless indicated otherwise when such General Meeting is convened.</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5.4.2 Powers of the General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powers that do not vest in the Board pursuant to applicable law, the Company's articles of association or otherwise, vest in the General Meeting.</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main powers of the General Meeting include, subject in each case to the applicable provisions in the Company's articles of association:</w:t>
      </w:r>
    </w:p>
    <w:p>
      <w:pPr>
        <w:spacing w:after="0" w:line="97" w:lineRule="exact"/>
        <w:rPr>
          <w:sz w:val="20"/>
          <w:szCs w:val="20"/>
          <w:color w:val="auto"/>
        </w:rPr>
      </w:pPr>
    </w:p>
    <w:p>
      <w:pPr>
        <w:ind w:left="1080" w:hanging="563"/>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appointment, suspension and dismissal of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approval of certain resolutions of the Board concerning a material change to the identity or the character of the Company or its business;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reduction of the Company's issued share capital through a decrease of the nominal value, or cancellation, of shares in its capital;</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adoption of the Company's statutory annual accounts;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appointment of the Dutch independent auditor to examine the Company's statutory annual accounts;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84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amendments to the Company's articles of association;</w:t>
      </w:r>
    </w:p>
    <w:p>
      <w:pPr>
        <w:spacing w:after="0" w:line="11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approving a merger or demerger by the Company, without prejudice to the authority of the Board to resolve on certain types of mergers and demergers if certain requirements are met; and</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dissolution of the Company.</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In addition, the General Meeting has the right, and the Board must provide, any information reasonably requested by the General Meeting, unless this would be contrary to an overriding interest of the Company.</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5.4.3 Shareholder rights</w:t>
      </w:r>
    </w:p>
    <w:p>
      <w:pPr>
        <w:spacing w:after="0" w:line="194" w:lineRule="exact"/>
        <w:rPr>
          <w:sz w:val="20"/>
          <w:szCs w:val="20"/>
          <w:color w:val="auto"/>
        </w:rPr>
      </w:pPr>
    </w:p>
    <w:p>
      <w:pPr>
        <w:jc w:val="both"/>
        <w:ind w:left="160" w:firstLine="299"/>
        <w:spacing w:after="0" w:line="253" w:lineRule="auto"/>
        <w:rPr>
          <w:sz w:val="20"/>
          <w:szCs w:val="20"/>
          <w:color w:val="auto"/>
        </w:rPr>
      </w:pPr>
      <w:r>
        <w:rPr>
          <w:rFonts w:ascii="Arial" w:cs="Arial" w:eastAsia="Arial" w:hAnsi="Arial"/>
          <w:sz w:val="16"/>
          <w:szCs w:val="16"/>
          <w:color w:val="auto"/>
        </w:rPr>
        <w:t>Each share in the Company's capital carries one vote. Shareholders, irrespective of whether or not they have voting rights, have meeting rights under Dutch law (including the right to attend and address the General Meeting, subject to the concept of a record date as described in chapter 5.4.1). Furthermore, each share in the Company's capital carries an entitlement to dividends and other distributions as set forth in the Company's articles of association. Pursuant to the Company's articles of association, any such dividend or other distribution shall be payable on such date as determined by the Board and the Board may also set a record date for determining who are entitled to receive any such dividend or other distribution (irrespective of subsequent changes in the shareholder base). The record date for dividends and other distributions shall not be earlier than the date on which the dividend or other distribution is announced. In addition, shareholders have those rights awarded to them by applicable law.</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5.5 Board</w:t>
      </w:r>
    </w:p>
    <w:p>
      <w:pPr>
        <w:spacing w:after="0" w:line="194" w:lineRule="exact"/>
        <w:rPr>
          <w:sz w:val="20"/>
          <w:szCs w:val="20"/>
          <w:color w:val="auto"/>
        </w:rPr>
      </w:pPr>
    </w:p>
    <w:p>
      <w:pPr>
        <w:jc w:val="both"/>
        <w:ind w:left="160" w:firstLine="299"/>
        <w:spacing w:after="0" w:line="254" w:lineRule="auto"/>
        <w:rPr>
          <w:sz w:val="20"/>
          <w:szCs w:val="20"/>
          <w:color w:val="auto"/>
        </w:rPr>
      </w:pPr>
      <w:r>
        <w:rPr>
          <w:rFonts w:ascii="Arial" w:cs="Arial" w:eastAsia="Arial" w:hAnsi="Arial"/>
          <w:sz w:val="16"/>
          <w:szCs w:val="16"/>
          <w:color w:val="auto"/>
        </w:rPr>
        <w:t>The Board is charged with managing the Company's affairs, which includes setting the Company's policies and strategy.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In performing their duties, our directors shall be guided by the interests of the Company and of the business connected with it.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at December 31, 2025, the Board was composed as follows, which are all current directors on the Board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456690" cy="505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6690" cy="505460"/>
                    </a:xfrm>
                    <a:prstGeom prst="rect">
                      <a:avLst/>
                    </a:prstGeom>
                    <a:noFill/>
                  </pic:spPr>
                </pic:pic>
              </a:graphicData>
            </a:graphic>
          </wp:anchor>
        </w:drawing>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260" w:type="dxa"/>
            <w:vAlign w:val="bottom"/>
          </w:tcPr>
          <w:p>
            <w:pPr>
              <w:ind w:left="580"/>
              <w:spacing w:after="0"/>
              <w:rPr>
                <w:sz w:val="20"/>
                <w:szCs w:val="20"/>
                <w:color w:val="auto"/>
              </w:rPr>
            </w:pPr>
            <w:r>
              <w:rPr>
                <w:rFonts w:ascii="Arial" w:cs="Arial" w:eastAsia="Arial" w:hAnsi="Arial"/>
                <w:sz w:val="16"/>
                <w:szCs w:val="16"/>
                <w:b w:val="1"/>
                <w:bCs w:val="1"/>
                <w:color w:val="auto"/>
              </w:rPr>
              <w:t>Name and age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Gender</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Nationality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Date of initial</w:t>
            </w:r>
          </w:p>
        </w:tc>
        <w:tc>
          <w:tcPr>
            <w:tcW w:w="35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Expiration of current term of office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Attendance rate</w:t>
            </w:r>
          </w:p>
        </w:tc>
      </w:tr>
      <w:tr>
        <w:trPr>
          <w:trHeight w:val="189"/>
        </w:trPr>
        <w:tc>
          <w:tcPr>
            <w:tcW w:w="2260" w:type="dxa"/>
            <w:vAlign w:val="bottom"/>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identity</w:t>
            </w:r>
          </w:p>
        </w:tc>
        <w:tc>
          <w:tcPr>
            <w:tcW w:w="12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appointment</w:t>
            </w:r>
          </w:p>
        </w:tc>
        <w:tc>
          <w:tcPr>
            <w:tcW w:w="3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 meetings of the</w:t>
            </w:r>
          </w:p>
        </w:tc>
      </w:tr>
      <w:tr>
        <w:trPr>
          <w:trHeight w:val="223"/>
        </w:trPr>
        <w:tc>
          <w:tcPr>
            <w:tcW w:w="22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board</w:t>
            </w:r>
          </w:p>
        </w:tc>
      </w:tr>
      <w:tr>
        <w:trPr>
          <w:trHeight w:val="136"/>
        </w:trPr>
        <w:tc>
          <w:tcPr>
            <w:tcW w:w="226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8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Berndt Modig (67) *</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September 30, 2015</w:t>
            </w:r>
          </w:p>
        </w:tc>
        <w:tc>
          <w:tcPr>
            <w:tcW w:w="3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2028</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Hans Schikan (67)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Dutch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August 28, 2019</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2028</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David Meeker (71)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2029</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Robert Glassman (64)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2029</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Viviane Monges (62)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French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June 29,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2029</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r>
        <w:trPr>
          <w:trHeight w:val="183"/>
        </w:trPr>
        <w:tc>
          <w:tcPr>
            <w:tcW w:w="22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Elisabeth Björk (64) **</w:t>
            </w:r>
          </w:p>
        </w:tc>
        <w:tc>
          <w:tcPr>
            <w:tcW w:w="1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Swedish</w:t>
            </w:r>
          </w:p>
        </w:tc>
        <w:tc>
          <w:tcPr>
            <w:tcW w:w="16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December 1, 2021</w:t>
            </w:r>
          </w:p>
        </w:tc>
        <w:tc>
          <w:tcPr>
            <w:tcW w:w="358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At the end of the AGM to be held in 2026</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Executive 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Non-executive director</w:t>
      </w:r>
    </w:p>
    <w:p>
      <w:pPr>
        <w:spacing w:after="0" w:line="180" w:lineRule="exact"/>
        <w:rPr>
          <w:sz w:val="20"/>
          <w:szCs w:val="20"/>
          <w:color w:val="auto"/>
        </w:rPr>
      </w:pPr>
    </w:p>
    <w:p>
      <w:pPr>
        <w:jc w:val="right"/>
        <w:ind w:right="980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1" w:lineRule="exact"/>
        <w:rPr>
          <w:sz w:val="20"/>
          <w:szCs w:val="20"/>
          <w:color w:val="auto"/>
        </w:rPr>
      </w:pPr>
    </w:p>
    <w:p>
      <w:pPr>
        <w:jc w:val="right"/>
        <w:ind w:right="9820"/>
        <w:spacing w:after="0"/>
        <w:rPr>
          <w:sz w:val="20"/>
          <w:szCs w:val="20"/>
          <w:color w:val="auto"/>
        </w:rPr>
      </w:pPr>
      <w:r>
        <w:rPr>
          <w:rFonts w:ascii="Arial" w:cs="Arial" w:eastAsia="Arial" w:hAnsi="Arial"/>
          <w:sz w:val="16"/>
          <w:szCs w:val="16"/>
          <w:i w:val="1"/>
          <w:iCs w:val="1"/>
          <w:color w:val="auto"/>
        </w:rPr>
        <w:t>Berndt Modig</w:t>
      </w:r>
    </w:p>
    <w:p>
      <w:pPr>
        <w:spacing w:after="0" w:line="192" w:lineRule="exact"/>
        <w:rPr>
          <w:sz w:val="20"/>
          <w:szCs w:val="20"/>
          <w:color w:val="auto"/>
        </w:rPr>
      </w:pPr>
    </w:p>
    <w:p>
      <w:pPr>
        <w:ind w:left="100" w:right="80" w:firstLine="458"/>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left="100" w:right="40" w:firstLine="458"/>
        <w:spacing w:after="0" w:line="256"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16"/>
          <w:szCs w:val="16"/>
          <w:b w:val="1"/>
          <w:bCs w:val="1"/>
          <w:u w:val="single" w:color="auto"/>
          <w:color w:val="0000FF"/>
        </w:rPr>
        <w:t>Table of Contents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92" w:lineRule="exact"/>
        <w:rPr>
          <w:sz w:val="20"/>
          <w:szCs w:val="20"/>
          <w:color w:val="auto"/>
        </w:rPr>
      </w:pPr>
    </w:p>
    <w:p>
      <w:pPr>
        <w:jc w:val="both"/>
        <w:ind w:left="100" w:right="240" w:firstLine="458"/>
        <w:spacing w:after="0" w:line="266" w:lineRule="auto"/>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 (Nasdaq: RNA), a biopharmaceutical company focusing on novel RNA modulating treatments for rare diseases including Duchenne muscular dystrophy, from January 2009 through its IPO on the Nasdaq in 2013 until its acquisition by BioMarin Pharmaceutical Inc. in January 2015.</w:t>
      </w:r>
    </w:p>
    <w:p>
      <w:pPr>
        <w:spacing w:after="0" w:line="131" w:lineRule="exact"/>
        <w:rPr>
          <w:sz w:val="20"/>
          <w:szCs w:val="20"/>
          <w:color w:val="auto"/>
        </w:rPr>
      </w:pPr>
    </w:p>
    <w:p>
      <w:pPr>
        <w:ind w:left="100" w:right="120" w:firstLine="458"/>
        <w:spacing w:after="0" w:line="251"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of Vicore Pharma (STO: VICO) and Microbiotica, and Board Member of Organon N.V. Previously, he served on the boards of Sobi (STO: SOBI), Hansa Biopharma (STO: HNSA), Wilson Therapeutics (STO: WTX) (acquired by Alexion), Therachon (acquired by Pfizer), VectivBio (Nasdaq: VECT) (acquired by IronWood), Asceneuron, Complix and InteRNA. Mr. Schikan has a Pharm.D.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degree from Utrecht University.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92" w:lineRule="exact"/>
        <w:rPr>
          <w:sz w:val="20"/>
          <w:szCs w:val="20"/>
          <w:color w:val="auto"/>
        </w:rPr>
      </w:pPr>
    </w:p>
    <w:p>
      <w:pPr>
        <w:ind w:left="100" w:right="80" w:firstLine="458"/>
        <w:spacing w:after="0" w:line="252"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and as a member of the board of directors for Kardigan since 2024. He previously served as a Director of MyoKardia, Inc. until its acquisition by Bristol Myers Squibb.</w:t>
      </w:r>
    </w:p>
    <w:p>
      <w:pPr>
        <w:spacing w:after="0" w:line="142" w:lineRule="exact"/>
        <w:rPr>
          <w:sz w:val="20"/>
          <w:szCs w:val="20"/>
          <w:color w:val="auto"/>
        </w:rPr>
      </w:pPr>
    </w:p>
    <w:p>
      <w:pPr>
        <w:ind w:left="100" w:right="180" w:firstLine="458"/>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92" w:lineRule="exact"/>
        <w:rPr>
          <w:sz w:val="20"/>
          <w:szCs w:val="20"/>
          <w:color w:val="auto"/>
        </w:rPr>
      </w:pPr>
    </w:p>
    <w:p>
      <w:pPr>
        <w:ind w:left="100" w:right="140" w:firstLine="458"/>
        <w:spacing w:after="0" w:line="266" w:lineRule="auto"/>
        <w:rPr>
          <w:sz w:val="20"/>
          <w:szCs w:val="20"/>
          <w:color w:val="auto"/>
        </w:rPr>
      </w:pPr>
      <w:r>
        <w:rPr>
          <w:rFonts w:ascii="Arial" w:cs="Arial" w:eastAsia="Arial" w:hAnsi="Arial"/>
          <w:sz w:val="16"/>
          <w:szCs w:val="16"/>
          <w:color w:val="auto"/>
        </w:rPr>
        <w:t>Dr. Glassman has been a director since January 2021. Since July 2022, Dr. Glassman has served as the Executive Vice President, Search &amp; Evaluation at Enavate Sciences, a $600M private equity fund that is a subsidiary of Patient Square Capital. Dr. Glassman also serves as a board member for EluraBio and he is an advisor at Centrexion.</w:t>
      </w:r>
    </w:p>
    <w:p>
      <w:pPr>
        <w:spacing w:after="0" w:line="131" w:lineRule="exact"/>
        <w:rPr>
          <w:sz w:val="20"/>
          <w:szCs w:val="20"/>
          <w:color w:val="auto"/>
        </w:rPr>
      </w:pPr>
    </w:p>
    <w:p>
      <w:pPr>
        <w:ind w:left="100" w:right="40" w:firstLine="458"/>
        <w:spacing w:after="0" w:line="252"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 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56" w:lineRule="exact"/>
        <w:rPr>
          <w:sz w:val="20"/>
          <w:szCs w:val="20"/>
          <w:color w:val="auto"/>
        </w:rPr>
      </w:pPr>
    </w:p>
    <w:p>
      <w:pPr>
        <w:ind w:left="100" w:right="80" w:firstLine="458"/>
        <w:spacing w:after="0" w:line="263"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was Senior Vice President, Late-stage Development, Cardiovascular, Renal and Metabolism (CVRM), BioPharmaceuticals R&amp;D at AstraZeneca and led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Vicore Pharma AB, Camurus AB, Hansa BioPharma AB, Betula Consulting AB, and NodThera.</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9" w:lineRule="exact"/>
        <w:rPr>
          <w:sz w:val="20"/>
          <w:szCs w:val="20"/>
          <w:color w:val="auto"/>
        </w:rPr>
      </w:pPr>
    </w:p>
    <w:p>
      <w:pPr>
        <w:ind w:left="100" w:firstLine="458"/>
        <w:spacing w:after="0" w:line="256" w:lineRule="auto"/>
        <w:rPr>
          <w:sz w:val="20"/>
          <w:szCs w:val="20"/>
          <w:color w:val="auto"/>
        </w:rPr>
      </w:pPr>
      <w:r>
        <w:rPr>
          <w:rFonts w:ascii="Arial" w:cs="Arial" w:eastAsia="Arial" w:hAnsi="Arial"/>
          <w:sz w:val="16"/>
          <w:szCs w:val="16"/>
          <w:color w:val="auto"/>
        </w:rPr>
        <w:t>Ms. Monges has been a director since July 2021 and serves as the Chair of the Audit Committee. She serves as a non-executive director at Ferring Pharmaceuticals, ADC Therapeutics, BioMerieux and Novo Holdings. Prior to these roles, Ms. Monges was Chair of the board of EUROAPI, and she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200" w:lineRule="exact"/>
        <w:rPr>
          <w:sz w:val="20"/>
          <w:szCs w:val="20"/>
          <w:color w:val="auto"/>
        </w:rPr>
      </w:pPr>
    </w:p>
    <w:p>
      <w:pPr>
        <w:spacing w:after="0" w:line="3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5.6 Committees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auto"/>
        </w:rPr>
        <w:t>5.6.1 General</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86</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The Board has established an audit committee, a compensation committee, a nomination and corporate governance committee and a science and technology committee. Each committee operates pursuant to its charter.</w:t>
      </w:r>
    </w:p>
    <w:p>
      <w:pPr>
        <w:spacing w:after="0" w:line="3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2025, the committees were composed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180848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08480" cy="4114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Audit committee</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Compensation</w:t>
            </w: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Nomination</w:t>
            </w: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and</w:t>
            </w:r>
          </w:p>
        </w:tc>
        <w:tc>
          <w:tcPr>
            <w:tcW w:w="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20" w:type="dxa"/>
            <w:vAlign w:val="bottom"/>
          </w:tcPr>
          <w:p>
            <w:pPr>
              <w:spacing w:after="0"/>
              <w:rPr>
                <w:sz w:val="16"/>
                <w:szCs w:val="16"/>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committee</w:t>
            </w:r>
          </w:p>
        </w:tc>
        <w:tc>
          <w:tcPr>
            <w:tcW w:w="1900" w:type="dxa"/>
            <w:vAlign w:val="bottom"/>
            <w:gridSpan w:val="2"/>
          </w:tcPr>
          <w:p>
            <w:pPr>
              <w:ind w:left="20"/>
              <w:spacing w:after="0"/>
              <w:rPr>
                <w:sz w:val="20"/>
                <w:szCs w:val="20"/>
                <w:color w:val="auto"/>
              </w:rPr>
            </w:pPr>
            <w:r>
              <w:rPr>
                <w:rFonts w:ascii="Arial" w:cs="Arial" w:eastAsia="Arial" w:hAnsi="Arial"/>
                <w:sz w:val="16"/>
                <w:szCs w:val="16"/>
                <w:b w:val="1"/>
                <w:bCs w:val="1"/>
                <w:color w:val="auto"/>
              </w:rPr>
              <w:t>governance committee</w:t>
            </w:r>
          </w:p>
        </w:tc>
        <w:tc>
          <w:tcPr>
            <w:tcW w:w="900" w:type="dxa"/>
            <w:vAlign w:val="bottom"/>
            <w:tcBorders>
              <w:right w:val="single" w:sz="8" w:color="auto"/>
            </w:tcBorders>
          </w:tcPr>
          <w:p>
            <w:pPr>
              <w:spacing w:after="0"/>
              <w:rPr>
                <w:sz w:val="16"/>
                <w:szCs w:val="16"/>
                <w:color w:val="auto"/>
              </w:rPr>
            </w:pPr>
          </w:p>
        </w:tc>
      </w:tr>
      <w:tr>
        <w:trPr>
          <w:trHeight w:val="210"/>
        </w:trPr>
        <w:tc>
          <w:tcPr>
            <w:tcW w:w="2820" w:type="dxa"/>
            <w:vAlign w:val="bottom"/>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(and attendance rate)</w:t>
            </w: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(and attendance rate)</w:t>
            </w:r>
          </w:p>
        </w:tc>
        <w:tc>
          <w:tcPr>
            <w:tcW w:w="900" w:type="dxa"/>
            <w:vAlign w:val="bottom"/>
            <w:tcBorders>
              <w:bottom w:val="single" w:sz="8" w:color="auto"/>
              <w:right w:val="single" w:sz="8" w:color="auto"/>
            </w:tcBorders>
          </w:tcPr>
          <w:p>
            <w:pPr>
              <w:spacing w:after="0"/>
              <w:rPr>
                <w:sz w:val="18"/>
                <w:szCs w:val="18"/>
                <w:color w:val="auto"/>
              </w:rPr>
            </w:pPr>
          </w:p>
        </w:tc>
      </w:tr>
      <w:tr>
        <w:trPr>
          <w:trHeight w:val="18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Elisabeth Björk, M.D.</w:t>
            </w:r>
          </w:p>
        </w:tc>
        <w:tc>
          <w:tcPr>
            <w:tcW w:w="282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right w:val="single" w:sz="8" w:color="auto"/>
            </w:tcBorders>
          </w:tcPr>
          <w:p>
            <w:pPr>
              <w:spacing w:after="0"/>
              <w:rPr>
                <w:sz w:val="16"/>
                <w:szCs w:val="16"/>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Robert Glassman M.D.</w:t>
            </w:r>
          </w:p>
        </w:tc>
        <w:tc>
          <w:tcPr>
            <w:tcW w:w="28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David Meeker, M.D.</w:t>
            </w:r>
          </w:p>
        </w:tc>
        <w:tc>
          <w:tcPr>
            <w:tcW w:w="282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X (100% attendance)</w:t>
            </w:r>
          </w:p>
        </w:tc>
        <w:tc>
          <w:tcPr>
            <w:tcW w:w="190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Viviane Monges</w:t>
            </w:r>
          </w:p>
        </w:tc>
        <w:tc>
          <w:tcPr>
            <w:tcW w:w="28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6"/>
                <w:szCs w:val="16"/>
                <w:color w:val="auto"/>
              </w:rPr>
              <w:t>X (100 % attendance)</w:t>
            </w:r>
          </w:p>
        </w:tc>
        <w:tc>
          <w:tcPr>
            <w:tcW w:w="900" w:type="dxa"/>
            <w:vAlign w:val="bottom"/>
            <w:tcBorders>
              <w:bottom w:val="single" w:sz="8" w:color="auto"/>
              <w:right w:val="single" w:sz="8" w:color="auto"/>
            </w:tcBorders>
          </w:tcPr>
          <w:p>
            <w:pPr>
              <w:spacing w:after="0"/>
              <w:rPr>
                <w:sz w:val="15"/>
                <w:szCs w:val="15"/>
                <w:color w:val="auto"/>
              </w:rPr>
            </w:pPr>
          </w:p>
        </w:tc>
      </w:tr>
      <w:tr>
        <w:trPr>
          <w:trHeight w:val="183"/>
        </w:trPr>
        <w:tc>
          <w:tcPr>
            <w:tcW w:w="28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Hans Schikan, Pharm.D.</w:t>
            </w:r>
          </w:p>
        </w:tc>
        <w:tc>
          <w:tcPr>
            <w:tcW w:w="28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X (100% attendance)</w:t>
            </w:r>
          </w:p>
        </w:tc>
        <w:tc>
          <w:tcPr>
            <w:tcW w:w="280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X* (100% attendance)</w:t>
            </w: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84"/>
        </w:trPr>
        <w:tc>
          <w:tcPr>
            <w:tcW w:w="2820" w:type="dxa"/>
            <w:vAlign w:val="bottom"/>
          </w:tcPr>
          <w:p>
            <w:pPr>
              <w:spacing w:after="0"/>
              <w:rPr>
                <w:sz w:val="20"/>
                <w:szCs w:val="20"/>
                <w:color w:val="auto"/>
              </w:rPr>
            </w:pPr>
            <w:r>
              <w:rPr>
                <w:rFonts w:ascii="Arial" w:cs="Arial" w:eastAsia="Arial" w:hAnsi="Arial"/>
                <w:sz w:val="14"/>
                <w:szCs w:val="14"/>
                <w:color w:val="auto"/>
              </w:rPr>
              <w:t>* Chairperson</w:t>
            </w:r>
          </w:p>
        </w:tc>
        <w:tc>
          <w:tcPr>
            <w:tcW w:w="28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5.6.2 Audit Committee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audit committee include:</w:t>
      </w:r>
    </w:p>
    <w:p>
      <w:pPr>
        <w:spacing w:after="0" w:line="302" w:lineRule="exact"/>
        <w:rPr>
          <w:sz w:val="20"/>
          <w:szCs w:val="20"/>
          <w:color w:val="auto"/>
        </w:rPr>
      </w:pPr>
    </w:p>
    <w:p>
      <w:pPr>
        <w:jc w:val="both"/>
        <w:ind w:left="1020" w:hanging="503"/>
        <w:spacing w:after="0" w:line="259"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monitoring the Board with respect to (i) the relations with, and the compliance with recommendations and follow-up of comments made by, the Company's internal audit function and the Dutch independent auditor, and, if relevant, other external parties involved in the audit of the Company's sustainability reporting (ii) the Company's funding, (iii) the application of information and communication technology by the Company, including risks relating to cybersecurity and (iv) the Company's tax policy;</w:t>
      </w:r>
    </w:p>
    <w:p>
      <w:pPr>
        <w:spacing w:after="0" w:line="69"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compliance with applicable legal and regulatory requirements;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operation of the Company's code of business conduct and ethics and its other internal policies;</w:t>
      </w:r>
    </w:p>
    <w:p>
      <w:pPr>
        <w:spacing w:after="0" w:line="11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issuing recommendations concerning the appointment and the dismissal of the head of the Company's internal audit function and reviewing and discussing the performance of the Company's internal audit function;</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the Company's audit plan with the Company's internal audit function and the Dutch independent auditor;</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the audit results with the Company's internal audit function and the Dutch independent auditor, including (i) flaws in the effectiveness of the Company's internal risk management and control systems, (ii) findings and observations with a material impact on the Company's risk profile and (iii) failing in the follow-up of recommendations made previously by the Company's internal audit function;</w:t>
      </w:r>
    </w:p>
    <w:p>
      <w:pPr>
        <w:spacing w:after="0" w:line="63"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at least annually, (i) the scope and materiality of the Company's audit plan and the principal risks of the Company's annual financial reporting identified in such audit plan, (ii) the findings and outcome of the Dutch independent auditor of the Company's financial statements and its management letter and (iii) significant findings from the audit of the Company's financial statements and any problems or difficulties encountered, including restrictions on the scope of the Dutch independent auditor's activities or on access to requested information, as well as significant disagreements with the Company's management;</w:t>
      </w:r>
    </w:p>
    <w:p>
      <w:pPr>
        <w:spacing w:after="0" w:line="71" w:lineRule="exact"/>
        <w:rPr>
          <w:rFonts w:ascii="Arial" w:cs="Arial" w:eastAsia="Arial" w:hAnsi="Arial"/>
          <w:sz w:val="16"/>
          <w:szCs w:val="16"/>
          <w:color w:val="auto"/>
        </w:rPr>
      </w:pPr>
    </w:p>
    <w:p>
      <w:pPr>
        <w:jc w:val="both"/>
        <w:ind w:left="1020" w:right="20" w:hanging="503"/>
        <w:spacing w:after="0" w:line="266"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receiving from the Dutch independent auditor a formal written statement at least annually delineating all relationships between the Dutch independent auditor and the Company consistent with applicable requirements of the Public Company Accounting Oversight Board regarding the Dutch independent auditor's communications with the audit committee concerning independence;</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determining whether and, if so, how the Dutch independent auditor should be involved in the content and publication of financial reports other than the Company's financial statements;</w:t>
      </w:r>
    </w:p>
    <w:p>
      <w:pPr>
        <w:spacing w:after="0" w:line="47" w:lineRule="exact"/>
        <w:rPr>
          <w:rFonts w:ascii="Arial" w:cs="Arial" w:eastAsia="Arial" w:hAnsi="Arial"/>
          <w:sz w:val="16"/>
          <w:szCs w:val="16"/>
          <w:color w:val="auto"/>
        </w:rPr>
      </w:pPr>
    </w:p>
    <w:p>
      <w:pPr>
        <w:ind w:left="1020" w:hanging="503"/>
        <w:spacing w:after="0" w:line="263"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resolving disagreements between the Company's management and the Dutch independent auditor regarding the Company's financial reporting;</w:t>
      </w:r>
    </w:p>
    <w:p>
      <w:pPr>
        <w:spacing w:after="0" w:line="284"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any audit problems or difficulties and the response of the Company's management thereto, including those matters required to be discussed with the audit committee by the Dutch independent auditor pursuant to established auditing standards, including (i) restrictions on the scope of the Dutch independent auditor's activities or on access to requested information, (ii) accounting adjustments that were noted or proposed by the Dutch independent auditor but were "passed" as immaterial or otherwise, (iii) communications between the audit team and the audit firm's national office regarding auditing or accounting issues presented by the engagement, and (iv) management or internal control letters issued, or proposed to be issued, by the Dutch independent auditor;</w:t>
      </w:r>
    </w:p>
    <w:p>
      <w:pPr>
        <w:spacing w:after="0" w:line="73" w:lineRule="exact"/>
        <w:rPr>
          <w:rFonts w:ascii="Arial" w:cs="Arial" w:eastAsia="Arial" w:hAnsi="Arial"/>
          <w:sz w:val="16"/>
          <w:szCs w:val="16"/>
          <w:color w:val="auto"/>
        </w:rPr>
      </w:pPr>
    </w:p>
    <w:p>
      <w:pPr>
        <w:jc w:val="both"/>
        <w:ind w:left="1020" w:hanging="503"/>
        <w:spacing w:after="0" w:line="259"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and discussing the effectiveness of the design and operation of the Company's risk management and control systems with the Board, the CEO and the CFO, including (i) identified material failings, deficiencies or material weaknesses in the Company's internal risk management and control systems, including whether there are significant deficiencies and material weaknesses in the design or operation of the Company's internal risk management and control systems which are reasonably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87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both"/>
        <w:ind w:left="1020"/>
        <w:spacing w:after="0" w:line="259" w:lineRule="auto"/>
        <w:rPr>
          <w:sz w:val="20"/>
          <w:szCs w:val="20"/>
          <w:color w:val="auto"/>
        </w:rPr>
      </w:pPr>
      <w:r>
        <w:rPr>
          <w:rFonts w:ascii="Arial" w:cs="Arial" w:eastAsia="Arial" w:hAnsi="Arial"/>
          <w:sz w:val="16"/>
          <w:szCs w:val="16"/>
          <w:color w:val="auto"/>
        </w:rPr>
        <w:t>likely to affect the Company's ability to record, process, summarize and report financial information and fraud involving the Company's management or other employees with a significant role in the design or operation of the Company's internal risk management and control systems and (ii) material changes made to, and material improvements planned for, the Company's internal risk management and control systems;</w:t>
      </w:r>
    </w:p>
    <w:p>
      <w:pPr>
        <w:spacing w:after="0" w:line="70" w:lineRule="exact"/>
        <w:rPr>
          <w:sz w:val="20"/>
          <w:szCs w:val="20"/>
          <w:color w:val="auto"/>
        </w:rPr>
      </w:pPr>
    </w:p>
    <w:p>
      <w:pPr>
        <w:ind w:left="1020" w:hanging="503"/>
        <w:spacing w:after="0" w:line="28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assisting the Company in preparing the disclosure to be included in the Company's applicable filings as required by the Securities Act, the Exchange Act and their related rules;</w:t>
      </w:r>
    </w:p>
    <w:p>
      <w:pPr>
        <w:spacing w:after="0" w:line="47"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advising the Board regarding the Dutch independent auditor's nomination for (re)appointment or dismissal (including confirmation and evaluation on the rotation of the audit partners on the audit engagement team as required by applicable law and NASDAQ requirements) and preparing the selection of the Dutch independent auditor for such purpose, as relevant;</w:t>
      </w:r>
    </w:p>
    <w:p>
      <w:pPr>
        <w:spacing w:after="0" w:line="63"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and discussing the terms of engagement of the Dutch independent auditor to audit the Company's financial statements, to prepare or issue an audit report, or to perform other audit, review or attest services, submitting proposals to the Board concerning the Dutch independent auditor 's engagement to audit the Company's financial statements, in each case including the scope of the audit, the materiality standard to be applied and the Dutch independent auditor 's compensation and causing the Company, without further action, to pay the compensation of the Dutch independent auditor as approved by the audit committee;</w:t>
      </w:r>
    </w:p>
    <w:p>
      <w:pPr>
        <w:spacing w:after="0" w:line="71" w:lineRule="exact"/>
        <w:rPr>
          <w:rFonts w:ascii="Arial" w:cs="Arial" w:eastAsia="Arial" w:hAnsi="Arial"/>
          <w:sz w:val="16"/>
          <w:szCs w:val="16"/>
          <w:color w:val="auto"/>
        </w:rPr>
      </w:pPr>
    </w:p>
    <w:p>
      <w:pPr>
        <w:jc w:val="both"/>
        <w:ind w:left="1020" w:right="20" w:hanging="503"/>
        <w:spacing w:after="0" w:line="26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engagement of such independent legal, accounting and other advisors as the audit committee deems necessary or appropriate to carry out its responsibilities, including causing the Company, without further action, to pay the reasonable compensation of such advisors as approved by the audit committee;</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causing the Company to pay, without further action, the ordinary administrative expenses of the audit committee that are necessary or appropriate in carrying out its responsibilities;</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preparing the audit committee report that the SEC rules require to be included in the Company's annual proxy statement (if and when the Company would become subject to those rules);</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establishing policies for the Company's hiring of current or former employees of the Dutch independent auditor;</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establishing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6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potential conflicts of interest involving our directors, including whether they may take part in the deliberations and the decision-making on any issue as to which there may be a conflict;</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reviewing, approving and overseeing any transaction between the Company and any related persons on an ongoing basis, in accordance with the Company’s policies and procedures; and</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developing and recommending to the Board the Company's related person transaction policy.</w:t>
      </w:r>
    </w:p>
    <w:p>
      <w:pPr>
        <w:spacing w:after="0" w:line="370"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During the fiscal year to which this report relates, our audit committee met four times in order to carry out its responsibilities. The main items discussed at those meetings included the internal control remediation plan and follow-up on this during 2025, the (interim) financial statements, the actual financial results of each of the quarters, securities filings and financial press releases as well as the audit approach and the budget for 2025 and partly 2026.</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5.6.3 Compensation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compensation committee include:</w:t>
      </w:r>
    </w:p>
    <w:p>
      <w:pPr>
        <w:spacing w:after="0" w:line="113" w:lineRule="exact"/>
        <w:rPr>
          <w:sz w:val="20"/>
          <w:szCs w:val="20"/>
          <w:color w:val="auto"/>
        </w:rPr>
      </w:pPr>
    </w:p>
    <w:p>
      <w:pPr>
        <w:jc w:val="both"/>
        <w:ind w:left="1020" w:hanging="503"/>
        <w:spacing w:after="0" w:line="266"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reviewing and evaluating the Company's compensation policy (the "</w:t>
      </w:r>
      <w:r>
        <w:rPr>
          <w:rFonts w:ascii="Arial" w:cs="Arial" w:eastAsia="Arial" w:hAnsi="Arial"/>
          <w:sz w:val="16"/>
          <w:szCs w:val="16"/>
          <w:b w:val="1"/>
          <w:bCs w:val="1"/>
          <w:color w:val="auto"/>
        </w:rPr>
        <w:t>Compensation Policy</w:t>
      </w:r>
      <w:r>
        <w:rPr>
          <w:rFonts w:ascii="Arial" w:cs="Arial" w:eastAsia="Arial" w:hAnsi="Arial"/>
          <w:sz w:val="16"/>
          <w:szCs w:val="16"/>
          <w:color w:val="auto"/>
        </w:rPr>
        <w:t>") and benefits policies generally, including the review and recommendation of incentive-compensation and equity-based plans of the Company, as well as the compensation of the CEO and the Company's other executive officers;</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evaluate at least annually the CEO's performance in light of those goals and objectives, and make recommendations to the Board regarding the CEO's compensation level based on this evaluation;</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submitting proposals to the Board concerning changes to Compensation Policy, as relevant;</w:t>
      </w:r>
    </w:p>
    <w:p>
      <w:pPr>
        <w:spacing w:after="0" w:line="113"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submitting proposals to the Board concerning the compensation of the Company's executive officers and the individual directors, at least covering (i) the compensation structure, (ii) the amount of the fixed and variable compensation components, (iii) the applicable performance criteria (iv) the scenario analyses that have been carried out (v) the pay ratios within the Company's group, (vi) if it concerns the compensation of a director, the views of the director concerned with regard to the amount and structure of his own compensation and (vii) if considered appropriate by the Board or the compensation committee, the views of the executive officer concerned with regard to the amount and structure of his own compensation;</w:t>
      </w:r>
    </w:p>
    <w:p>
      <w:pPr>
        <w:spacing w:after="0" w:line="7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review and assessment of risks arising from the Compensation Policy and practices and whether any such risks are reasonably likely to have a material adverse effect on the Company;</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preparation of the Company's compensation report for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set the composition of the peer company group used for market comparison for executive compensation;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88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preparation of the compensation committee's report required by SEC rules or the rules of any other regulatory body;</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review and recommend to the Board for approval the adoption, amendment or modification of a “clawback” policy that allows the Company to recoup incentive compensation in compliance with Section 10D of the Securities Exchange Act of 1934, as amended, the rules promulgated thereunder, and the NASDAQ listing standards, and to administer the “clawback” policy in accordance with its terms ; and</w:t>
      </w:r>
    </w:p>
    <w:p>
      <w:pPr>
        <w:spacing w:after="0" w:line="63"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retention of or obtaining advice from a compensation consultant, legal counsel or other advisor as the compensation committee deems necessary or appropriate to carry out its responsibilities, including the appointment of such consultant, counsel or advisor and the ability to cause the Company, without further action, to pay with Company funds the reasonable compensation of such consultant, counsel or advisor as approved by the compensation committee, provided, however, that (i) in retaining or obtaining the advice of such consultant, counsel or advisor, other than in-house legal counsel, the compensation committee shall take into consideration the factors affecting independence and conflicts of interest required by applicable SEC rules and NASDAQ rules and (ii) the compensation committee will be responsible for the oversight of the work of any such consultant, counsel or advisor.</w:t>
      </w:r>
    </w:p>
    <w:p>
      <w:pPr>
        <w:spacing w:after="0" w:line="14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During the fiscal year to which this report relates, our compensation committee met four times in order to carry out its responsibilities. The main items discussed at those meetings included the performance and terms and conditions of our executive compensation, the long-term incentive grants analysis and recommendations and the non-executive salary increase and bonus proposal.</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5.6.4 Nomination and corporate governance committee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nomination and corporate governance committee include:</w:t>
      </w:r>
    </w:p>
    <w:p>
      <w:pPr>
        <w:spacing w:after="0" w:line="343" w:lineRule="exact"/>
        <w:rPr>
          <w:sz w:val="20"/>
          <w:szCs w:val="20"/>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drawing up selection criteria and appointment procedures for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the size and composition of the Board and submitting proposals for the composition profile of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making recommendations to the Board as to the determination of independence of non-executive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the functioning of individual directors and reporting on such review to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drawing up a plan for the succession of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submitting proposals for (re)appointment of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supervising the policy of the Board regarding the selection criteria and appointment procedures for the Company's senior management;</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overseeing the self-evaluation of the Board and its committees to determine whether they are functioning effectively;</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and discussing with management disclosure of the Company's corporate governance practices, including information regarding the operations of the corporate governance committee and other Board committees, director independence and the director nominations process, and to recommend that this disclosure be included in the Company's annual report on Form 20-F;</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developing and implementing the goals the Company may establish from time to time with respect to its environmental, social and governance and sustainability matters, and provide guidance to the Board on such matters;</w:t>
      </w:r>
    </w:p>
    <w:p>
      <w:pPr>
        <w:spacing w:after="0" w:line="47" w:lineRule="exact"/>
        <w:rPr>
          <w:rFonts w:ascii="Arial" w:cs="Arial" w:eastAsia="Arial" w:hAnsi="Arial"/>
          <w:sz w:val="16"/>
          <w:szCs w:val="16"/>
          <w:color w:val="auto"/>
        </w:rPr>
      </w:pPr>
    </w:p>
    <w:p>
      <w:pPr>
        <w:jc w:val="both"/>
        <w:ind w:left="1020" w:right="20" w:hanging="503"/>
        <w:spacing w:after="0" w:line="28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developing the Company's code of conduct, corporate governance guidelines and other corporate governance policies, including, at least annually, reviewing and reassessing the adequacy of the Company's code of conduct and recommending any proposed changes to the Board;</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relating to succession planning for the CEO, including in the event of an emergency, and reviewing development plans for those individuals identified as potential successors to the CEO; and</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and making recommendations relating to talent management and succession planning for senior executive officers other than the CEO.</w:t>
      </w:r>
    </w:p>
    <w:p>
      <w:pPr>
        <w:spacing w:after="0" w:line="115" w:lineRule="exact"/>
        <w:rPr>
          <w:sz w:val="20"/>
          <w:szCs w:val="20"/>
          <w:color w:val="auto"/>
        </w:rPr>
      </w:pPr>
    </w:p>
    <w:p>
      <w:pPr>
        <w:ind w:right="700" w:firstLine="458"/>
        <w:spacing w:after="0" w:line="286" w:lineRule="auto"/>
        <w:rPr>
          <w:sz w:val="20"/>
          <w:szCs w:val="20"/>
          <w:color w:val="auto"/>
        </w:rPr>
      </w:pPr>
      <w:r>
        <w:rPr>
          <w:rFonts w:ascii="Arial" w:cs="Arial" w:eastAsia="Arial" w:hAnsi="Arial"/>
          <w:sz w:val="16"/>
          <w:szCs w:val="16"/>
          <w:color w:val="auto"/>
        </w:rPr>
        <w:t>During the fiscal year to which this report relates, our nomination and corporate governance committee met four times in order to carry out its responsibilities. The main items discussed at those meetings included a regulatory update and committee governance.</w:t>
      </w:r>
    </w:p>
    <w:p>
      <w:pPr>
        <w:spacing w:after="0" w:line="30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5.6.5 Science and technology committee</w:t>
      </w:r>
    </w:p>
    <w:p>
      <w:pPr>
        <w:spacing w:after="0" w:line="194"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overall purpose of the science and technology committee is to technically review all research, discovery and development plans and activities. The science and technology committee assesses the opportunities and risks associated with such activities in the context of the Company's overall strategy in place at the time of the respective review as well as in the context of the respective competitive environment. In this context, it is not the role of the science and technology committee to serve as a review and governance body on the critical path for reaching decisions on the Company's R&amp;D plans and activities, but merely to review decisions taken by the Board committees or the executive director(s) and to provide its view on associated opportunities and risks to the non-executive directors.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89</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During the fiscal year to which this report relates, our science and technology committee met eight times in order to carry out its responsibilities. The main items discussed at the meetings included submission strategy for on demand, early portfolio and LCM strategy.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5.7 Evaluation</w:t>
      </w:r>
    </w:p>
    <w:p>
      <w:pPr>
        <w:spacing w:after="0" w:line="194"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During the fiscal year to which this report relates, the Board has evaluated its own functioning, the functioning of the committees of the Board and that of the individual directors on the basis of a questionnaire approved by the Nominating and Governance committee. The Company conducted interviews with each member of the Board utilizing the approved questionnaire. As part of these evaluations, the Board has considered (i) substantive aspects, mutual interaction, (ii) events that occurred in practice from which lessons may be learned and (iii) the desired profile, composition, competencies and expertise of the Board. These evaluations are intended to facilitate an examination and discussion by the Board of its effectiveness and areas for improvement. The Board conducted a self-evaluation in 2025 and reviewed the findings at the Company's December Board meeting. The overall assessment from the Board members is that the Board is performing well, has constructive discussions and is effective in its decision-making. The Board questionnaire addressed four themes:</w:t>
      </w:r>
    </w:p>
    <w:p>
      <w:pPr>
        <w:spacing w:after="0" w:line="200" w:lineRule="exact"/>
        <w:rPr>
          <w:sz w:val="20"/>
          <w:szCs w:val="20"/>
          <w:color w:val="auto"/>
        </w:rPr>
      </w:pPr>
    </w:p>
    <w:p>
      <w:pPr>
        <w:spacing w:after="0" w:line="270"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Composition of the Board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Functioning of the Board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Access to Information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Functioning of the Committees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these evaluations, the Board has concluded that the Board is functioning properly.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5.8 Diversity</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i w:val="1"/>
          <w:iCs w:val="1"/>
          <w:color w:val="auto"/>
        </w:rPr>
        <w:t>Diversity Policy</w:t>
      </w:r>
      <w:r>
        <w:rPr>
          <w:rFonts w:ascii="Arial" w:cs="Arial" w:eastAsia="Arial" w:hAnsi="Arial"/>
          <w:sz w:val="16"/>
          <w:szCs w:val="16"/>
          <w:color w:val="auto"/>
        </w:rPr>
        <w:t>. The Company does not have a Diversity and Inclusion Policy that is fully responsive to the DCGC; however,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objectives with respect to the composition of the Board as part of the Company’s policy regarding the qualification and nomination of director candidates. The Company is committed to supporting, valuing and leveraging diversity and the Company recognizes and welcomes diversity with respect to gender, age, race, ethnicity, nationality, sexual orientation and other important cultural differences. In its evaluation of new candidates, the nominating and governance committee may consider race or ethnicity, nationality, gender, sexual orientation, age, background, education skills and experience, as well as the restrictions, requirements and recommendations concerning those matters under applicable law, Nasdaq rules or best practice provisions of the Dutch Corporate Governance Code in relation to the full Board and/or individual directors or director candidates. However, the Company also believes that there is a fine line between diversity and unintentional discrimination. For that reason, the importance of diversity, in and of itself, should not set aside the overriding principle that someone should be recommended, nominated and appointed for being “the right person for the job.”</w:t>
      </w:r>
    </w:p>
    <w:p>
      <w:pPr>
        <w:spacing w:after="0" w:line="158"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Although the Company has not yet set specific targets with respect to certain elements of diversity, the Company believes that it is important for the Board and its senior management to represent a diverse composite mix of personal backgrounds, experiences, qualifications, knowledge, abilities and viewpoints, consistent with the principles outlined above. The Company also seeks to combine the skills and experience of long-standing members of the Board and its senior management with the fresh perspectives, insights, skills and experiences of new candidates from time to time. To further increase the range of viewpoints, perspectives, talents and experience, the Company strives for a mix of ages among the Board and its senior management, but also does not set a specific target in this respect.</w:t>
      </w:r>
    </w:p>
    <w:p>
      <w:pPr>
        <w:spacing w:after="0" w:line="141"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i w:val="1"/>
          <w:iCs w:val="1"/>
          <w:color w:val="auto"/>
        </w:rPr>
        <w:t>Diversity Targets</w:t>
      </w:r>
      <w:r>
        <w:rPr>
          <w:rFonts w:ascii="Arial" w:cs="Arial" w:eastAsia="Arial" w:hAnsi="Arial"/>
          <w:sz w:val="16"/>
          <w:szCs w:val="16"/>
          <w:color w:val="auto"/>
        </w:rPr>
        <w:t>. As of December 31, 2025, 4 out of 6 of the Directors were male and 2 out of 6 of the Directors were female. To the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and practicable, the Company intends for the composition of the Board to remain as balanced as reasonably possible, provided for a minimum target of at least 30% of the directors to be male and at least 30% of them to be female.</w:t>
      </w:r>
    </w:p>
    <w:p>
      <w:pPr>
        <w:spacing w:after="0" w:line="131"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The Company believes that the current composition of its Board has achieved the Company’s diversity objectives, as outlined above, including the Company’s diversity objective with respect to gender.</w:t>
      </w:r>
    </w:p>
    <w:p>
      <w:pPr>
        <w:spacing w:after="0" w:line="129"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connection with the operation of the Company's diversity objectives, the Company has defined its senior management.The Company's senior management consists of senior professionals either holding an Officer role at Pharvaris, overseeing a department and relevant department budget and reporting to the CEO or being the CEO or is the Principal Accounting Officer/Head of SOX. As of December 31, 2025, 4 out of 8 senior management members were male and 4 out of 8 senior management members were female. To the extent reasonable and practicable, the Company intends for the composition of senior management to be at least 30% female. Based on the size of our senior management, the Company’s goal is to maintain our current level of gender diversity and believes that the current composition of its senior management has more than achieved the Company’s diversity objective with respect to gender.</w:t>
      </w:r>
    </w:p>
    <w:p>
      <w:pPr>
        <w:spacing w:after="0" w:line="14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Company employs 129 persons as of December 31, 2025, of which 57 are male and 72 are female. The Company targets an overall gender ratio among its employees of at least 30% male employees and at least 30% female employees.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taken the following activities and measures for a more balanced gender ratio within the organization:</w:t>
      </w:r>
    </w:p>
    <w:p>
      <w:pPr>
        <w:spacing w:after="0" w:line="343"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policies that support equal opportunities for employees, senior management and applicants for employment;</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90</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encouraging and enforcing respectful communication and cooperation among all employees and senior management;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fostering a corporate culture where employees and senior management are treated with dignity, respect and understanding;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employee and senior management participation in training on diversity and inclusion;</w:t>
      </w:r>
    </w:p>
    <w:p>
      <w:pPr>
        <w:spacing w:after="0" w:line="125"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actively encouraging employees and officers who feel that they have been subjected to discrimination or harassment to report this to their supervisor or to the Company’s human resources department;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regularly review our corporate policies to ensure equal treatment.</w:t>
      </w:r>
    </w:p>
    <w:p>
      <w:pPr>
        <w:spacing w:after="0" w:line="19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Given the gender ratios both in the Board as well as senior management, we are satisfied overall with our efforts towards improving gender diversity and we believe that our activities, training, mentoring and programs will continue to enhance the Company’s diversity objectives.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5.9 Corporate values and code of business conduct and ethics</w:t>
      </w:r>
    </w:p>
    <w:p>
      <w:pPr>
        <w:spacing w:after="0" w:line="194"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We recently revised our code of business conduct and ethics which covers a broad range of matters including the handling of conflicts of interest, compliance topics (including reporting concerns), and other corporate policies such as insider trading and equal opportunity and non-discrimination standards. We believe our code of business conduct and ethics is effective.</w:t>
      </w:r>
    </w:p>
    <w:p>
      <w:pPr>
        <w:spacing w:after="0" w:line="131" w:lineRule="exact"/>
        <w:rPr>
          <w:sz w:val="20"/>
          <w:szCs w:val="20"/>
          <w:color w:val="auto"/>
        </w:rPr>
      </w:pPr>
    </w:p>
    <w:p>
      <w:pPr>
        <w:jc w:val="both"/>
        <w:ind w:right="500" w:firstLine="458"/>
        <w:spacing w:after="0" w:line="266" w:lineRule="auto"/>
        <w:rPr>
          <w:sz w:val="20"/>
          <w:szCs w:val="20"/>
          <w:color w:val="auto"/>
        </w:rPr>
      </w:pPr>
      <w:r>
        <w:rPr>
          <w:rFonts w:ascii="Arial" w:cs="Arial" w:eastAsia="Arial" w:hAnsi="Arial"/>
          <w:sz w:val="16"/>
          <w:szCs w:val="16"/>
          <w:color w:val="auto"/>
        </w:rPr>
        <w:t>We have defined and communicated internally and externally our Corporate Values which underpin our overall Company Culture and reflect the organization's brand. The values act as a set of guiding principles and beliefs and help the workforce function together as a team and work towards a common goal.</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Compensation</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6.1 Compensation policy</w:t>
      </w:r>
    </w:p>
    <w:p>
      <w:pPr>
        <w:spacing w:after="0" w:line="194"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Pursuant to Section 2:135(1) DCC, the General Meeting has adopted a Compensation Policy. The Compensation Policy is designed to contribute to the Company's strategy, long-term interests and sustainability by:</w:t>
      </w:r>
    </w:p>
    <w:p>
      <w:pPr>
        <w:spacing w:after="0" w:line="237" w:lineRule="exact"/>
        <w:rPr>
          <w:sz w:val="20"/>
          <w:szCs w:val="20"/>
          <w:color w:val="auto"/>
        </w:rPr>
      </w:pPr>
    </w:p>
    <w:p>
      <w:pPr>
        <w:ind w:left="2040" w:hanging="505"/>
        <w:spacing w:after="0" w:line="286" w:lineRule="auto"/>
        <w:tabs>
          <w:tab w:leader="none" w:pos="2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individuals with the qualities, capabilities, profile and experience needed to support and promote the growth and sustainable success of the Company and its business;</w:t>
      </w:r>
    </w:p>
    <w:p>
      <w:pPr>
        <w:spacing w:after="0" w:line="47" w:lineRule="exact"/>
        <w:rPr>
          <w:rFonts w:ascii="Arial" w:cs="Arial" w:eastAsia="Arial" w:hAnsi="Arial"/>
          <w:sz w:val="16"/>
          <w:szCs w:val="16"/>
          <w:color w:val="auto"/>
        </w:rPr>
      </w:pPr>
    </w:p>
    <w:p>
      <w:pPr>
        <w:jc w:val="both"/>
        <w:ind w:left="2040" w:hanging="505"/>
        <w:spacing w:after="0" w:line="266" w:lineRule="auto"/>
        <w:tabs>
          <w:tab w:leader="none" w:pos="2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driving strong business performance, promoting accountability and incentivising the achievement of short and long-term performance targets with the objective of furthering long-term value creation in a manner consistent with the Company's identity, mission and values;</w:t>
      </w:r>
    </w:p>
    <w:p>
      <w:pPr>
        <w:spacing w:after="0" w:line="63" w:lineRule="exact"/>
        <w:rPr>
          <w:rFonts w:ascii="Arial" w:cs="Arial" w:eastAsia="Arial" w:hAnsi="Arial"/>
          <w:sz w:val="16"/>
          <w:szCs w:val="16"/>
          <w:color w:val="auto"/>
        </w:rPr>
      </w:pPr>
    </w:p>
    <w:p>
      <w:pPr>
        <w:ind w:left="2040" w:hanging="505"/>
        <w:spacing w:after="0"/>
        <w:tabs>
          <w:tab w:leader="none" w:pos="2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assuring that the interests of the Directors are closely aligned to those of the Company, its business and its stakeholders; and</w:t>
      </w:r>
    </w:p>
    <w:p>
      <w:pPr>
        <w:spacing w:after="0" w:line="113" w:lineRule="exact"/>
        <w:rPr>
          <w:rFonts w:ascii="Arial" w:cs="Arial" w:eastAsia="Arial" w:hAnsi="Arial"/>
          <w:sz w:val="16"/>
          <w:szCs w:val="16"/>
          <w:color w:val="auto"/>
        </w:rPr>
      </w:pPr>
    </w:p>
    <w:p>
      <w:pPr>
        <w:ind w:left="2040" w:hanging="505"/>
        <w:spacing w:after="0" w:line="286" w:lineRule="auto"/>
        <w:tabs>
          <w:tab w:leader="none" w:pos="2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ensuring overall market competitiveness of the Compensation Packages, while providing the Board sufficient flexibility to tailor the Company's compensation practices on a case-by-case basis, depending on the market conditions from time to time.</w:t>
      </w:r>
    </w:p>
    <w:p>
      <w:pPr>
        <w:spacing w:after="0" w:line="115"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We believe that this approach and philosophy benefits the realisation of the Company's long-term objectives while keeping with the Company's risk profile.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6.2 Compensation of directors</w:t>
      </w:r>
    </w:p>
    <w:p>
      <w:pPr>
        <w:spacing w:after="0" w:line="194" w:lineRule="exact"/>
        <w:rPr>
          <w:sz w:val="20"/>
          <w:szCs w:val="20"/>
          <w:color w:val="auto"/>
        </w:rPr>
      </w:pPr>
    </w:p>
    <w:p>
      <w:pPr>
        <w:ind w:right="20" w:firstLine="749"/>
        <w:spacing w:after="0" w:line="254" w:lineRule="auto"/>
        <w:rPr>
          <w:sz w:val="20"/>
          <w:szCs w:val="20"/>
          <w:color w:val="auto"/>
        </w:rPr>
      </w:pPr>
      <w:r>
        <w:rPr>
          <w:rFonts w:ascii="Arial" w:cs="Arial" w:eastAsia="Arial" w:hAnsi="Arial"/>
          <w:sz w:val="16"/>
          <w:szCs w:val="16"/>
          <w:color w:val="auto"/>
        </w:rPr>
        <w:t>See Note 20 (Related parties) to the consolidated financial statements for an overview of the implementation of the Compensation Policy in the fiscal year to which this report relates. In determining the level and structure of the compensation of the directors in the fiscal year to which this report relates relevant scenario analyses carried out in advance have been considered as follows: In the second half of 2024, - and after CC approval in August 2024, the independent and objective external compensation consultant reviewed the global peer group, and used the updated peer group companies to assess current NED compensation (cash fee &amp; equity) and to propose status quo on cash compensation and adjustment to equity award for 2025. This proposal was presented by the Chair of the compensation Committee and received Board approval early 2025.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6.3 Pay ratio</w:t>
      </w:r>
    </w:p>
    <w:p>
      <w:pPr>
        <w:spacing w:after="0" w:line="18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DCGC recommends that the Company provide a ratio comparing the total annual compensation of our executive director and that of a "representative reference group" determined by the Company. We have chosen to compare the cash compensation of our Chief Executive Officer to that of a median full-time permanent employee. Our methodology for producing this ratio excludes employees employed on a non-permanent basis. We have used the aggregate target cash compensation over the fiscal year concerned as a reference amount (i.e., excluding the value of equity incentive awards and other non-cash compensation components). To calculate the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91</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ratio, we have annualized the salaries of employees who had worked with us for less than a year as of December 31, 2025, and have calculated the salaries of employees on a part-time basis to reflect a full-time employment. Based on this methodology, the ratio between the total target cash compensation (Annual Base Salary and bonus target) of our Chief Executive Officer and a median full-time permanent employee for the fiscal year to which this report relates is 1 to 3.36 (rounded to the nearest integer). This CEO pay ratio has decreased slightly in 2025 compared to the CEO pay ratio reported in our previous report for 2024 at 1 to 3.57 (2023 at 1 to 3.20, 2022: 1 to 3.18, 2021: 1 to 2.77).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Related party transactions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on related party transactions, see Note 20 (Related parties) to the Consolidated Financial Statements.</w:t>
      </w:r>
    </w:p>
    <w:p>
      <w:pPr>
        <w:spacing w:after="0" w:line="18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Where applicable, best practice provisions 2.7.3, 2.7.4 and 2.7.5 of the DCGC have been observed with respect to the transactions referenced above in this chapter 7.</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Protective Measures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several provisions that may have the effect of making a takeover of our Company more difficult or less attractive, including:</w:t>
      </w:r>
    </w:p>
    <w:p>
      <w:pPr>
        <w:spacing w:after="0" w:line="113" w:lineRule="exact"/>
        <w:rPr>
          <w:sz w:val="20"/>
          <w:szCs w:val="20"/>
          <w:color w:val="auto"/>
        </w:rPr>
      </w:pPr>
    </w:p>
    <w:p>
      <w:pPr>
        <w:ind w:left="1020" w:hanging="503"/>
        <w:spacing w:after="0" w:line="285" w:lineRule="auto"/>
        <w:tabs>
          <w:tab w:leader="none" w:pos="10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48" w:lineRule="exact"/>
        <w:rPr>
          <w:rFonts w:ascii="Times New Roman" w:cs="Times New Roman" w:eastAsia="Times New Roman" w:hAnsi="Times New Roman"/>
          <w:sz w:val="16"/>
          <w:szCs w:val="16"/>
          <w:color w:val="auto"/>
        </w:rPr>
      </w:pPr>
    </w:p>
    <w:p>
      <w:pPr>
        <w:jc w:val="both"/>
        <w:ind w:left="1020" w:right="20" w:hanging="503"/>
        <w:spacing w:after="0" w:line="266" w:lineRule="auto"/>
        <w:tabs>
          <w:tab w:leader="none" w:pos="10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16"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29"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42"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4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for early termination of the cooling-off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Enterprise Chamber must rule in favor of the request if the shareholders can demonstrate that: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92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right="20" w:hanging="503"/>
        <w:spacing w:after="0" w:line="285" w:lineRule="auto"/>
        <w:tabs>
          <w:tab w:leader="none" w:pos="10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5"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93</w:t>
      </w:r>
      <w:r>
        <w:rPr>
          <w:rFonts w:ascii="Arial" w:cs="Arial" w:eastAsia="Arial" w:hAnsi="Arial"/>
          <w:sz w:val="16"/>
          <w:szCs w:val="16"/>
          <w:b w:val="1"/>
          <w:bCs w:val="1"/>
          <w:u w:val="single" w:color="auto"/>
          <w:color w:val="0000FF"/>
        </w:rPr>
        <w:t>Table of Contents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94</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Loss and Comprehensive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Years ended December 31,</w:t>
            </w:r>
          </w:p>
        </w:tc>
        <w:tc>
          <w:tcPr>
            <w:tcW w:w="134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40" w:type="dxa"/>
            <w:vAlign w:val="bottom"/>
          </w:tcPr>
          <w:p>
            <w:pPr>
              <w:spacing w:after="0"/>
              <w:rPr>
                <w:sz w:val="13"/>
                <w:szCs w:val="13"/>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Note</w:t>
            </w:r>
          </w:p>
        </w:tc>
        <w:tc>
          <w:tcPr>
            <w:tcW w:w="100" w:type="dxa"/>
            <w:vAlign w:val="bottom"/>
            <w:vMerge w:val="restart"/>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7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Research and development expenses</w:t>
            </w:r>
          </w:p>
        </w:tc>
        <w:tc>
          <w:tcPr>
            <w:tcW w:w="5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(124,478,334)</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(98,563,529)</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(65,575,030)</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(45,344,598)</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(47,124,638)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(31,338,590)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operating expenses</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(169,822,932)</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(145,688,167)</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(96,913,620)</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Finance (expenses) income</w:t>
            </w: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(3,888,564)</w:t>
            </w:r>
          </w:p>
        </w:tc>
        <w:tc>
          <w:tcPr>
            <w:tcW w:w="172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220" w:type="dxa"/>
            <w:vAlign w:val="bottom"/>
          </w:tcPr>
          <w:p>
            <w:pPr>
              <w:spacing w:after="0"/>
              <w:rPr>
                <w:sz w:val="15"/>
                <w:szCs w:val="15"/>
                <w:color w:val="auto"/>
              </w:rPr>
            </w:pPr>
          </w:p>
        </w:tc>
        <w:tc>
          <w:tcPr>
            <w:tcW w:w="14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(2,912,643)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Loss before income tax</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(173,711,496)</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(132,396,503)</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(99,826,263)</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Income tax expense</w:t>
            </w: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(1,987,901)</w:t>
            </w:r>
          </w:p>
        </w:tc>
        <w:tc>
          <w:tcPr>
            <w:tcW w:w="19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(1,825,024)</w:t>
            </w:r>
          </w:p>
        </w:tc>
        <w:tc>
          <w:tcPr>
            <w:tcW w:w="14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(1,048,805)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(175,699,397)</w:t>
            </w:r>
          </w:p>
        </w:tc>
        <w:tc>
          <w:tcPr>
            <w:tcW w:w="19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(134,221,527)</w:t>
            </w:r>
          </w:p>
        </w:tc>
        <w:tc>
          <w:tcPr>
            <w:tcW w:w="14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(100,875,068)</w:t>
            </w:r>
          </w:p>
        </w:tc>
        <w:tc>
          <w:tcPr>
            <w:tcW w:w="0" w:type="dxa"/>
            <w:vAlign w:val="bottom"/>
          </w:tcPr>
          <w:p>
            <w:pPr>
              <w:spacing w:after="0"/>
              <w:rPr>
                <w:sz w:val="1"/>
                <w:szCs w:val="1"/>
                <w:color w:val="auto"/>
              </w:rPr>
            </w:pPr>
          </w:p>
        </w:tc>
      </w:tr>
      <w:tr>
        <w:trPr>
          <w:trHeight w:val="183"/>
        </w:trPr>
        <w:tc>
          <w:tcPr>
            <w:tcW w:w="56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Other comprehensive (loss) / income</w:t>
            </w:r>
          </w:p>
        </w:tc>
        <w:tc>
          <w:tcPr>
            <w:tcW w:w="5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Items that may be reclassified to profit or loss:</w:t>
            </w: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Exchange (loss) gain arising on translation of foreign operations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(407,895)</w:t>
            </w:r>
          </w:p>
        </w:tc>
        <w:tc>
          <w:tcPr>
            <w:tcW w:w="1720" w:type="dxa"/>
            <w:vAlign w:val="bottom"/>
          </w:tcPr>
          <w:p>
            <w:pPr>
              <w:jc w:val="right"/>
              <w:spacing w:after="0"/>
              <w:rPr>
                <w:sz w:val="20"/>
                <w:szCs w:val="20"/>
                <w:color w:val="auto"/>
              </w:rPr>
            </w:pPr>
            <w:r>
              <w:rPr>
                <w:rFonts w:ascii="Arial" w:cs="Arial" w:eastAsia="Arial" w:hAnsi="Arial"/>
                <w:sz w:val="16"/>
                <w:szCs w:val="16"/>
                <w:color w:val="auto"/>
              </w:rPr>
              <w:t>152,310</w:t>
            </w:r>
          </w:p>
        </w:tc>
        <w:tc>
          <w:tcPr>
            <w:tcW w:w="22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(57,874)</w:t>
            </w:r>
          </w:p>
        </w:tc>
        <w:tc>
          <w:tcPr>
            <w:tcW w:w="0" w:type="dxa"/>
            <w:vAlign w:val="bottom"/>
          </w:tcPr>
          <w:p>
            <w:pPr>
              <w:spacing w:after="0"/>
              <w:rPr>
                <w:sz w:val="1"/>
                <w:szCs w:val="1"/>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comprehensive loss attributable to:</w:t>
            </w: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Equity holders of the Company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(176,107,292)</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(134,069,217)</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(100,932,942)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4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Basic and diluted loss per share</w:t>
            </w:r>
          </w:p>
        </w:tc>
        <w:tc>
          <w:tcPr>
            <w:tcW w:w="560" w:type="dxa"/>
            <w:vAlign w:val="bottom"/>
            <w:shd w:val="clear" w:color="auto" w:fill="CFF0FC"/>
          </w:tcPr>
          <w:p>
            <w:pPr>
              <w:jc w:val="center"/>
              <w:spacing w:after="0" w:line="170"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(2.97)</w:t>
            </w:r>
          </w:p>
        </w:tc>
        <w:tc>
          <w:tcPr>
            <w:tcW w:w="194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(2.48)</w:t>
            </w:r>
          </w:p>
        </w:tc>
        <w:tc>
          <w:tcPr>
            <w:tcW w:w="14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-1276985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-1276985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-1019810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-1019810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-762635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-762635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95</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at</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December 31,</w:t>
            </w:r>
          </w:p>
        </w:tc>
        <w:tc>
          <w:tcPr>
            <w:tcW w:w="13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13"/>
                <w:szCs w:val="13"/>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Notes</w:t>
            </w: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642,470</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Right-of-use assets</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756,951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813,842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887,352</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474,347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Current tax receivable</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3,994,384</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2,486,680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Receivables</w:t>
            </w:r>
          </w:p>
        </w:tc>
        <w:tc>
          <w:tcPr>
            <w:tcW w:w="106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556,739</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457,834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2,938,215</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5,747,025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291,678,888</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280,728,037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301,454,999</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291,374,765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260" w:type="dxa"/>
            <w:vAlign w:val="bottom"/>
          </w:tcPr>
          <w:p>
            <w:pPr>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Share capital</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7,825,271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6,525,539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Share premium</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792,549,401</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623,641,380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Other reserves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50,766,138</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39,711,103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reserve</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(270,169)</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Accumulated loss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(579,596,307)</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(402,255,007)</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271,274,334</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267,760,741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260" w:type="dxa"/>
            <w:vAlign w:val="bottom"/>
          </w:tcPr>
          <w:p>
            <w:pPr>
              <w:spacing w:after="0" w:line="170" w:lineRule="exact"/>
              <w:rPr>
                <w:sz w:val="20"/>
                <w:szCs w:val="20"/>
                <w:color w:val="auto"/>
              </w:rPr>
            </w:pPr>
            <w:r>
              <w:rPr>
                <w:rFonts w:ascii="Arial" w:cs="Arial" w:eastAsia="Arial" w:hAnsi="Arial"/>
                <w:sz w:val="16"/>
                <w:szCs w:val="16"/>
                <w:b w:val="1"/>
                <w:bCs w:val="1"/>
                <w:color w:val="auto"/>
              </w:rPr>
              <w:t>Long term liabilities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Non-current lease liability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576,585</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5,114,186</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Accrued liabilities</w:t>
            </w:r>
          </w:p>
        </w:tc>
        <w:tc>
          <w:tcPr>
            <w:tcW w:w="106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23,348,472</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Current lease liability</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200,213</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Current tax payable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941,209</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601,247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0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30,180,665</w:t>
            </w:r>
          </w:p>
        </w:tc>
        <w:tc>
          <w:tcPr>
            <w:tcW w:w="2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23,614,024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301,454,999</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291,374,765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-2133600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-2116455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-1139190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-1122045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-153670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96</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Share</w:t>
            </w:r>
          </w:p>
        </w:tc>
        <w:tc>
          <w:tcPr>
            <w:tcW w:w="13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2"/>
              </w:rPr>
              <w:t>Other</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Currency</w:t>
            </w: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5"/>
              </w:rPr>
              <w:t>Accumulated</w:t>
            </w:r>
          </w:p>
        </w:tc>
        <w:tc>
          <w:tcPr>
            <w:tcW w:w="14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Notes</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4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premium</w:t>
            </w:r>
          </w:p>
        </w:tc>
        <w:tc>
          <w:tcPr>
            <w:tcW w:w="13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reserves</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reserve</w:t>
            </w:r>
          </w:p>
        </w:tc>
        <w:tc>
          <w:tcPr>
            <w:tcW w:w="14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losses</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260" w:type="dxa"/>
            <w:vAlign w:val="bottom"/>
            <w:tcBorders>
              <w:top w:val="single" w:sz="8" w:color="auto"/>
              <w:bottom w:val="single" w:sz="8" w:color="auto"/>
            </w:tcBorders>
          </w:tcPr>
          <w:p>
            <w:pPr>
              <w:jc w:val="center"/>
              <w:ind w:left="50"/>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2023</w:t>
            </w:r>
          </w:p>
        </w:tc>
        <w:tc>
          <w:tcPr>
            <w:tcW w:w="5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4,057,976</w:t>
            </w:r>
          </w:p>
        </w:tc>
        <w:tc>
          <w:tcPr>
            <w:tcW w:w="1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(164,188,892)</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(100,875,068)</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(100,875,068)</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5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2,169,859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340,388,989</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4"/>
                <w:szCs w:val="14"/>
                <w:color w:val="auto"/>
              </w:rPr>
              <w:t>(17,712,292)</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(17,712,292)</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(57,874)</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(57,874)</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5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46,998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(2,937,889)</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(854,668)</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(502,200)</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w:t>
            </w:r>
          </w:p>
        </w:tc>
        <w:tc>
          <w:tcPr>
            <w:tcW w:w="56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6,274,833</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615,811,986</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(14,584)</w:t>
            </w: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(265,918,628)</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384,048,403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b w:val="1"/>
                <w:bCs w:val="1"/>
                <w:color w:val="auto"/>
              </w:rPr>
              <w:t>Balance at January 1, 2024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6,274,833</w:t>
            </w:r>
          </w:p>
        </w:tc>
        <w:tc>
          <w:tcPr>
            <w:tcW w:w="12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2"/>
                <w:szCs w:val="12"/>
                <w:color w:val="auto"/>
              </w:rPr>
            </w:pPr>
          </w:p>
        </w:tc>
        <w:tc>
          <w:tcPr>
            <w:tcW w:w="12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(14,584)</w:t>
            </w:r>
          </w:p>
        </w:tc>
        <w:tc>
          <w:tcPr>
            <w:tcW w:w="14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(265,918,628)</w:t>
            </w:r>
          </w:p>
        </w:tc>
        <w:tc>
          <w:tcPr>
            <w:tcW w:w="1320" w:type="dxa"/>
            <w:vAlign w:val="bottom"/>
          </w:tcPr>
          <w:p>
            <w:pPr>
              <w:jc w:val="right"/>
              <w:spacing w:after="0" w:line="143" w:lineRule="exact"/>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(134,221,527)</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(134,221,527)</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Issue of share capital</w:t>
            </w:r>
          </w:p>
        </w:tc>
        <w:tc>
          <w:tcPr>
            <w:tcW w:w="560" w:type="dxa"/>
            <w:vAlign w:val="bottom"/>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165,000</w:t>
            </w:r>
          </w:p>
        </w:tc>
        <w:tc>
          <w:tcPr>
            <w:tcW w:w="1500" w:type="dxa"/>
            <w:vAlign w:val="bottom"/>
            <w:gridSpan w:val="3"/>
          </w:tcPr>
          <w:p>
            <w:pPr>
              <w:jc w:val="right"/>
              <w:ind w:right="60"/>
              <w:spacing w:after="0"/>
              <w:rPr>
                <w:sz w:val="20"/>
                <w:szCs w:val="20"/>
                <w:color w:val="auto"/>
              </w:rPr>
            </w:pPr>
            <w:r>
              <w:rPr>
                <w:rFonts w:ascii="Arial" w:cs="Arial" w:eastAsia="Arial" w:hAnsi="Arial"/>
                <w:sz w:val="14"/>
                <w:szCs w:val="14"/>
                <w:color w:val="auto"/>
              </w:rPr>
              <w:t>(165,000)</w:t>
            </w:r>
          </w:p>
        </w:tc>
        <w:tc>
          <w:tcPr>
            <w:tcW w:w="124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Tax effect on transaction costs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Settlement of share-based payments</w:t>
            </w:r>
          </w:p>
        </w:tc>
        <w:tc>
          <w:tcPr>
            <w:tcW w:w="560" w:type="dxa"/>
            <w:vAlign w:val="bottom"/>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85,706</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6,550,732</w:t>
            </w:r>
          </w:p>
        </w:tc>
        <w:tc>
          <w:tcPr>
            <w:tcW w:w="12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(4,404,835)</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(2,114,852)</w:t>
            </w:r>
          </w:p>
        </w:tc>
        <w:tc>
          <w:tcPr>
            <w:tcW w:w="1320" w:type="dxa"/>
            <w:vAlign w:val="bottom"/>
          </w:tcPr>
          <w:p>
            <w:pPr>
              <w:jc w:val="right"/>
              <w:spacing w:after="0"/>
              <w:rPr>
                <w:sz w:val="20"/>
                <w:szCs w:val="20"/>
                <w:color w:val="auto"/>
              </w:rPr>
            </w:pPr>
            <w:r>
              <w:rPr>
                <w:rFonts w:ascii="Arial" w:cs="Arial" w:eastAsia="Arial" w:hAnsi="Arial"/>
                <w:sz w:val="14"/>
                <w:szCs w:val="14"/>
                <w:color w:val="auto"/>
              </w:rPr>
              <w:t>116,751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56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6,525,539</w:t>
            </w:r>
          </w:p>
        </w:tc>
        <w:tc>
          <w:tcPr>
            <w:tcW w:w="1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623,641,380</w:t>
            </w:r>
          </w:p>
        </w:tc>
        <w:tc>
          <w:tcPr>
            <w:tcW w:w="1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39,711,103</w:t>
            </w: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137,726</w:t>
            </w:r>
          </w:p>
        </w:tc>
        <w:tc>
          <w:tcPr>
            <w:tcW w:w="120" w:type="dxa"/>
            <w:vAlign w:val="bottom"/>
          </w:tcPr>
          <w:p>
            <w:pPr>
              <w:spacing w:after="0"/>
              <w:rPr>
                <w:sz w:val="13"/>
                <w:szCs w:val="13"/>
                <w:color w:val="auto"/>
              </w:rPr>
            </w:pPr>
          </w:p>
        </w:tc>
        <w:tc>
          <w:tcPr>
            <w:tcW w:w="1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(402,255,007)</w:t>
            </w: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267,760,741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Balance at January 1, 2025</w:t>
            </w:r>
          </w:p>
        </w:tc>
        <w:tc>
          <w:tcPr>
            <w:tcW w:w="5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6,525,539</w:t>
            </w:r>
          </w:p>
        </w:tc>
        <w:tc>
          <w:tcPr>
            <w:tcW w:w="13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623,641,380</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39,711,103</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137,726</w:t>
            </w:r>
          </w:p>
        </w:tc>
        <w:tc>
          <w:tcPr>
            <w:tcW w:w="1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(402,255,007)</w:t>
            </w:r>
          </w:p>
        </w:tc>
        <w:tc>
          <w:tcPr>
            <w:tcW w:w="13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267,760,741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(175,699,397)</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(175,699,397)</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5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1,207,500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170,029,468</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171,236,968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4"/>
                <w:szCs w:val="14"/>
                <w:color w:val="auto"/>
              </w:rPr>
              <w:t>(10,888,209)</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(10,888,209)</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(407,895)</w:t>
            </w: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(407,895)</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5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92,232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8,380,149</w:t>
            </w: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(7,995,359)</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(1,641,903)</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(1,164,881)</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Share-based payments</w:t>
            </w:r>
          </w:p>
        </w:tc>
        <w:tc>
          <w:tcPr>
            <w:tcW w:w="56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19,050,394</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2025</w:t>
            </w: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7,825,271</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792,549,401</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50,766,138</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(270,169)</w:t>
            </w:r>
          </w:p>
        </w:tc>
        <w:tc>
          <w:tcPr>
            <w:tcW w:w="1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(579,596,307)</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271,274,334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-1945005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-1927860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-1945005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-1927860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-1945005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-1927860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-1945005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-1927860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-1945005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-1927860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-1096645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-1096645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-1096645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-1096645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-1096645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97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6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Notes</w:t>
            </w:r>
          </w:p>
        </w:tc>
        <w:tc>
          <w:tcPr>
            <w:tcW w:w="0" w:type="dxa"/>
            <w:vAlign w:val="bottom"/>
          </w:tcPr>
          <w:p>
            <w:pPr>
              <w:spacing w:after="0"/>
              <w:rPr>
                <w:sz w:val="1"/>
                <w:szCs w:val="1"/>
                <w:color w:val="auto"/>
              </w:rPr>
            </w:pPr>
          </w:p>
        </w:tc>
      </w:tr>
      <w:tr>
        <w:trPr>
          <w:trHeight w:val="168"/>
        </w:trPr>
        <w:tc>
          <w:tcPr>
            <w:tcW w:w="60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Loss before tax</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i w:val="1"/>
                <w:iCs w:val="1"/>
                <w:color w:val="auto"/>
              </w:rPr>
              <w:t>Non-cash adjustments to reconcile loss before tax to net cash flows / used 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20"/>
                <w:szCs w:val="20"/>
                <w:color w:val="auto"/>
              </w:rPr>
            </w:pPr>
            <w:r>
              <w:rPr>
                <w:rFonts w:ascii="Arial" w:cs="Arial" w:eastAsia="Arial" w:hAnsi="Arial"/>
                <w:sz w:val="16"/>
                <w:szCs w:val="16"/>
                <w:i w:val="1"/>
                <w:iCs w:val="1"/>
                <w:color w:val="auto"/>
              </w:rPr>
              <w:t>operations: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Share-based payment expense</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Depreciation expense</w:t>
            </w:r>
          </w:p>
        </w:tc>
        <w:tc>
          <w:tcPr>
            <w:tcW w:w="860" w:type="dxa"/>
            <w:vAlign w:val="bottom"/>
          </w:tcPr>
          <w:p>
            <w:pPr>
              <w:jc w:val="center"/>
              <w:spacing w:after="0"/>
              <w:rPr>
                <w:sz w:val="20"/>
                <w:szCs w:val="20"/>
                <w:color w:val="auto"/>
              </w:rPr>
            </w:pPr>
            <w:r>
              <w:rPr>
                <w:rFonts w:ascii="Arial" w:cs="Arial" w:eastAsia="Arial" w:hAnsi="Arial"/>
                <w:sz w:val="16"/>
                <w:szCs w:val="16"/>
                <w:color w:val="auto"/>
              </w:rPr>
              <w:t>8 &amp; 9</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Net foreign exchange loss (gain)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Finance (income) costs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20"/>
                <w:szCs w:val="20"/>
                <w:color w:val="auto"/>
              </w:rPr>
            </w:pPr>
            <w:r>
              <w:rPr>
                <w:rFonts w:ascii="Arial" w:cs="Arial" w:eastAsia="Arial" w:hAnsi="Arial"/>
                <w:sz w:val="16"/>
                <w:szCs w:val="16"/>
                <w:i w:val="1"/>
                <w:iCs w:val="1"/>
                <w:color w:val="auto"/>
              </w:rPr>
              <w:t>Changes in working capital: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(Increase) in receivables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Decrease (increase) in other current assets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(Decrease) increase in trade and other payables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Increase (decrease) in accrued liabilities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Income taxes paid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Interest received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used in operating activities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Purchase of property, plant and equipment</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used in investing activities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Proceeds from issue of shares and pre-funded warrants</w:t>
            </w:r>
          </w:p>
        </w:tc>
        <w:tc>
          <w:tcPr>
            <w:tcW w:w="860" w:type="dxa"/>
            <w:vAlign w:val="bottom"/>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Transaction costs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Payment of principal portion of lease liabilities</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6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860" w:type="dxa"/>
            <w:vAlign w:val="bottom"/>
          </w:tcPr>
          <w:p>
            <w:pPr>
              <w:jc w:val="center"/>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-3444240</wp:posOffset>
            </wp:positionV>
            <wp:extent cx="713232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-3204210</wp:posOffset>
            </wp:positionV>
            <wp:extent cx="713232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-2844165</wp:posOffset>
            </wp:positionV>
            <wp:extent cx="7132320" cy="1200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-2604135</wp:posOffset>
            </wp:positionV>
            <wp:extent cx="713232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-1138555</wp:posOffset>
            </wp:positionV>
            <wp:extent cx="713232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13232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-2364105</wp:posOffset>
            </wp:positionV>
            <wp:extent cx="6257925"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-2124075</wp:posOffset>
            </wp:positionV>
            <wp:extent cx="6257925"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-1884045</wp:posOffset>
            </wp:positionV>
            <wp:extent cx="6257925"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579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-1635125</wp:posOffset>
            </wp:positionV>
            <wp:extent cx="625792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579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-1386840</wp:posOffset>
            </wp:positionV>
            <wp:extent cx="71323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6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Years ended December 31,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180" w:type="dxa"/>
            <w:vAlign w:val="bottom"/>
          </w:tcPr>
          <w:p>
            <w:pPr>
              <w:jc w:val="right"/>
              <w:ind w:right="661"/>
              <w:spacing w:after="0" w:line="129" w:lineRule="exact"/>
              <w:rPr>
                <w:sz w:val="20"/>
                <w:szCs w:val="20"/>
                <w:color w:val="auto"/>
              </w:rPr>
            </w:pPr>
            <w:r>
              <w:rPr>
                <w:rFonts w:ascii="Arial" w:cs="Arial" w:eastAsia="Arial" w:hAnsi="Arial"/>
                <w:sz w:val="13"/>
                <w:szCs w:val="13"/>
                <w:b w:val="1"/>
                <w:bCs w:val="1"/>
                <w:color w:val="auto"/>
              </w:rPr>
              <w:t>2025</w:t>
            </w:r>
          </w:p>
        </w:tc>
        <w:tc>
          <w:tcPr>
            <w:tcW w:w="1200" w:type="dxa"/>
            <w:vAlign w:val="bottom"/>
            <w:tcBorders>
              <w:top w:val="single" w:sz="8" w:color="auto"/>
              <w:bottom w:val="single" w:sz="8" w:color="auto"/>
            </w:tcBorders>
          </w:tcPr>
          <w:p>
            <w:pPr>
              <w:jc w:val="right"/>
              <w:ind w:right="401"/>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81"/>
              <w:spacing w:after="0" w:line="129"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80" w:type="dxa"/>
            <w:vAlign w:val="bottom"/>
          </w:tcPr>
          <w:p>
            <w:pPr>
              <w:jc w:val="center"/>
              <w:ind w:right="501"/>
              <w:spacing w:after="0" w:line="129" w:lineRule="exact"/>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1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3"/>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(173,711,496)</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(132,396,503)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(99,826,263)</w:t>
            </w:r>
          </w:p>
        </w:tc>
        <w:tc>
          <w:tcPr>
            <w:tcW w:w="0" w:type="dxa"/>
            <w:vAlign w:val="bottom"/>
          </w:tcPr>
          <w:p>
            <w:pPr>
              <w:spacing w:after="0"/>
              <w:rPr>
                <w:sz w:val="1"/>
                <w:szCs w:val="1"/>
                <w:color w:val="auto"/>
              </w:rPr>
            </w:pPr>
          </w:p>
        </w:tc>
      </w:tr>
      <w:tr>
        <w:trPr>
          <w:trHeight w:val="541"/>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19,050,394</w:t>
            </w:r>
          </w:p>
        </w:tc>
        <w:tc>
          <w:tcPr>
            <w:tcW w:w="1200" w:type="dxa"/>
            <w:vAlign w:val="bottom"/>
          </w:tcPr>
          <w:p>
            <w:pPr>
              <w:jc w:val="right"/>
              <w:spacing w:after="0"/>
              <w:rPr>
                <w:sz w:val="20"/>
                <w:szCs w:val="20"/>
                <w:color w:val="auto"/>
              </w:rPr>
            </w:pPr>
            <w:r>
              <w:rPr>
                <w:rFonts w:ascii="Arial" w:cs="Arial" w:eastAsia="Arial" w:hAnsi="Arial"/>
                <w:sz w:val="16"/>
                <w:szCs w:val="16"/>
                <w:color w:val="auto"/>
              </w:rPr>
              <w:t>16,208,533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10,663,226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418,353</w:t>
            </w:r>
          </w:p>
        </w:tc>
        <w:tc>
          <w:tcPr>
            <w:tcW w:w="1200" w:type="dxa"/>
            <w:vAlign w:val="bottom"/>
          </w:tcPr>
          <w:p>
            <w:pPr>
              <w:jc w:val="right"/>
              <w:spacing w:after="0"/>
              <w:rPr>
                <w:sz w:val="20"/>
                <w:szCs w:val="20"/>
                <w:color w:val="auto"/>
              </w:rPr>
            </w:pPr>
            <w:r>
              <w:rPr>
                <w:rFonts w:ascii="Arial" w:cs="Arial" w:eastAsia="Arial" w:hAnsi="Arial"/>
                <w:sz w:val="16"/>
                <w:szCs w:val="16"/>
                <w:color w:val="auto"/>
              </w:rPr>
              <w:t>269,562</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11,742,407</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(7,329,038)</w:t>
            </w:r>
          </w:p>
        </w:tc>
        <w:tc>
          <w:tcPr>
            <w:tcW w:w="1160" w:type="dxa"/>
            <w:vAlign w:val="bottom"/>
          </w:tcPr>
          <w:p>
            <w:pPr>
              <w:jc w:val="right"/>
              <w:spacing w:after="0"/>
              <w:rPr>
                <w:sz w:val="20"/>
                <w:szCs w:val="20"/>
                <w:color w:val="auto"/>
              </w:rPr>
            </w:pPr>
            <w:r>
              <w:rPr>
                <w:rFonts w:ascii="Arial" w:cs="Arial" w:eastAsia="Arial" w:hAnsi="Arial"/>
                <w:sz w:val="16"/>
                <w:szCs w:val="16"/>
                <w:color w:val="auto"/>
              </w:rPr>
              <w:t>2,794,435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(439,591)</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(5,422,550)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(204,019)</w:t>
            </w:r>
          </w:p>
        </w:tc>
        <w:tc>
          <w:tcPr>
            <w:tcW w:w="0" w:type="dxa"/>
            <w:vAlign w:val="bottom"/>
          </w:tcPr>
          <w:p>
            <w:pPr>
              <w:spacing w:after="0"/>
              <w:rPr>
                <w:sz w:val="1"/>
                <w:szCs w:val="1"/>
                <w:color w:val="auto"/>
              </w:rPr>
            </w:pPr>
          </w:p>
        </w:tc>
      </w:tr>
      <w:tr>
        <w:trPr>
          <w:trHeight w:val="178"/>
        </w:trPr>
        <w:tc>
          <w:tcPr>
            <w:tcW w:w="1180" w:type="dxa"/>
            <w:vAlign w:val="bottom"/>
            <w:vMerge w:val="restart"/>
          </w:tcPr>
          <w:p>
            <w:pPr>
              <w:jc w:val="right"/>
              <w:ind w:right="81"/>
              <w:spacing w:after="0"/>
              <w:rPr>
                <w:sz w:val="20"/>
                <w:szCs w:val="20"/>
                <w:color w:val="auto"/>
              </w:rPr>
            </w:pPr>
            <w:r>
              <w:rPr>
                <w:rFonts w:ascii="Arial" w:cs="Arial" w:eastAsia="Arial" w:hAnsi="Arial"/>
                <w:sz w:val="16"/>
                <w:szCs w:val="16"/>
                <w:color w:val="auto"/>
              </w:rPr>
              <w:t>(331,339)</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(34,316)</w:t>
            </w: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(41,051)</w:t>
            </w: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1,745,450</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(136,354)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(953,861)</w:t>
            </w:r>
          </w:p>
        </w:tc>
        <w:tc>
          <w:tcPr>
            <w:tcW w:w="0" w:type="dxa"/>
            <w:vAlign w:val="bottom"/>
          </w:tcPr>
          <w:p>
            <w:pPr>
              <w:spacing w:after="0"/>
              <w:rPr>
                <w:sz w:val="1"/>
                <w:szCs w:val="1"/>
                <w:color w:val="auto"/>
              </w:rPr>
            </w:pPr>
          </w:p>
        </w:tc>
      </w:tr>
      <w:tr>
        <w:trPr>
          <w:trHeight w:val="189"/>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(25,909)</w:t>
            </w:r>
          </w:p>
        </w:tc>
        <w:tc>
          <w:tcPr>
            <w:tcW w:w="1200" w:type="dxa"/>
            <w:vAlign w:val="bottom"/>
          </w:tcPr>
          <w:p>
            <w:pPr>
              <w:jc w:val="right"/>
              <w:spacing w:after="0"/>
              <w:rPr>
                <w:sz w:val="20"/>
                <w:szCs w:val="20"/>
                <w:color w:val="auto"/>
              </w:rPr>
            </w:pPr>
            <w:r>
              <w:rPr>
                <w:rFonts w:ascii="Arial" w:cs="Arial" w:eastAsia="Arial" w:hAnsi="Arial"/>
                <w:sz w:val="16"/>
                <w:szCs w:val="16"/>
                <w:color w:val="auto"/>
              </w:rPr>
              <w:t>1,653,175</w:t>
            </w:r>
          </w:p>
        </w:tc>
        <w:tc>
          <w:tcPr>
            <w:tcW w:w="220" w:type="dxa"/>
            <w:vAlign w:val="bottom"/>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(4,171,990)</w:t>
            </w: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6,236,077</w:t>
            </w:r>
          </w:p>
        </w:tc>
        <w:tc>
          <w:tcPr>
            <w:tcW w:w="1200" w:type="dxa"/>
            <w:vAlign w:val="bottom"/>
          </w:tcPr>
          <w:p>
            <w:pPr>
              <w:jc w:val="right"/>
              <w:spacing w:after="0"/>
              <w:rPr>
                <w:sz w:val="20"/>
                <w:szCs w:val="20"/>
                <w:color w:val="auto"/>
              </w:rPr>
            </w:pPr>
            <w:r>
              <w:rPr>
                <w:rFonts w:ascii="Arial" w:cs="Arial" w:eastAsia="Arial" w:hAnsi="Arial"/>
                <w:sz w:val="16"/>
                <w:szCs w:val="16"/>
                <w:color w:val="auto"/>
              </w:rPr>
              <w:t>4,407,453</w:t>
            </w:r>
          </w:p>
        </w:tc>
        <w:tc>
          <w:tcPr>
            <w:tcW w:w="2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(695,753)</w:t>
            </w:r>
          </w:p>
        </w:tc>
        <w:tc>
          <w:tcPr>
            <w:tcW w:w="0" w:type="dxa"/>
            <w:vAlign w:val="bottom"/>
          </w:tcPr>
          <w:p>
            <w:pPr>
              <w:spacing w:after="0"/>
              <w:rPr>
                <w:sz w:val="1"/>
                <w:szCs w:val="1"/>
                <w:color w:val="auto"/>
              </w:rPr>
            </w:pPr>
          </w:p>
        </w:tc>
      </w:tr>
      <w:tr>
        <w:trPr>
          <w:trHeight w:val="189"/>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(2,168,735)</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(2,767,247)</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(1,108,410)</w:t>
            </w: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410,755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5,417,094</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jc w:val="right"/>
              <w:ind w:right="81"/>
              <w:spacing w:after="0" w:line="183" w:lineRule="exact"/>
              <w:rPr>
                <w:sz w:val="20"/>
                <w:szCs w:val="20"/>
                <w:color w:val="auto"/>
              </w:rPr>
            </w:pPr>
            <w:r>
              <w:rPr>
                <w:rFonts w:ascii="Arial" w:cs="Arial" w:eastAsia="Arial" w:hAnsi="Arial"/>
                <w:sz w:val="16"/>
                <w:szCs w:val="16"/>
                <w:color w:val="auto"/>
              </w:rPr>
              <w:t>(137,073,634)</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(120,130,191)</w:t>
            </w:r>
          </w:p>
        </w:tc>
        <w:tc>
          <w:tcPr>
            <w:tcW w:w="220" w:type="dxa"/>
            <w:vAlign w:val="bottom"/>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(93,049,093)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(164,619)</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(538,086)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(89,984)</w:t>
            </w:r>
          </w:p>
        </w:tc>
        <w:tc>
          <w:tcPr>
            <w:tcW w:w="0" w:type="dxa"/>
            <w:vAlign w:val="bottom"/>
          </w:tcPr>
          <w:p>
            <w:pPr>
              <w:spacing w:after="0"/>
              <w:rPr>
                <w:sz w:val="1"/>
                <w:szCs w:val="1"/>
                <w:color w:val="auto"/>
              </w:rPr>
            </w:pPr>
          </w:p>
        </w:tc>
      </w:tr>
      <w:tr>
        <w:trPr>
          <w:trHeight w:val="208"/>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(164,619)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(538,086)</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171,737,647</w:t>
            </w:r>
          </w:p>
        </w:tc>
        <w:tc>
          <w:tcPr>
            <w:tcW w:w="1200" w:type="dxa"/>
            <w:vAlign w:val="bottom"/>
          </w:tcPr>
          <w:p>
            <w:pPr>
              <w:jc w:val="right"/>
              <w:spacing w:after="0"/>
              <w:rPr>
                <w:sz w:val="20"/>
                <w:szCs w:val="20"/>
                <w:color w:val="auto"/>
              </w:rPr>
            </w:pPr>
            <w:r>
              <w:rPr>
                <w:rFonts w:ascii="Arial" w:cs="Arial" w:eastAsia="Arial" w:hAnsi="Arial"/>
                <w:sz w:val="16"/>
                <w:szCs w:val="16"/>
                <w:color w:val="auto"/>
              </w:rPr>
              <w:t>2,244,212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342,911,317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(10,911,415)</w:t>
            </w:r>
          </w:p>
        </w:tc>
        <w:tc>
          <w:tcPr>
            <w:tcW w:w="1200" w:type="dxa"/>
            <w:vAlign w:val="bottom"/>
          </w:tcPr>
          <w:p>
            <w:pPr>
              <w:jc w:val="right"/>
              <w:spacing w:after="0"/>
              <w:rPr>
                <w:sz w:val="20"/>
                <w:szCs w:val="20"/>
                <w:color w:val="auto"/>
              </w:rPr>
            </w:pPr>
            <w:r>
              <w:rPr>
                <w:rFonts w:ascii="Arial" w:cs="Arial" w:eastAsia="Arial" w:hAnsi="Arial"/>
                <w:sz w:val="16"/>
                <w:szCs w:val="16"/>
                <w:color w:val="auto"/>
              </w:rPr>
              <w:t>592,000</w:t>
            </w:r>
          </w:p>
        </w:tc>
        <w:tc>
          <w:tcPr>
            <w:tcW w:w="2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(17,297,810)</w:t>
            </w:r>
          </w:p>
        </w:tc>
        <w:tc>
          <w:tcPr>
            <w:tcW w:w="0" w:type="dxa"/>
            <w:vAlign w:val="bottom"/>
          </w:tcPr>
          <w:p>
            <w:pPr>
              <w:spacing w:after="0"/>
              <w:rPr>
                <w:sz w:val="1"/>
                <w:szCs w:val="1"/>
                <w:color w:val="auto"/>
              </w:rPr>
            </w:pPr>
          </w:p>
        </w:tc>
      </w:tr>
      <w:tr>
        <w:trPr>
          <w:trHeight w:val="203"/>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(219,013)</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(159,657)</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(220,507)</w:t>
            </w:r>
          </w:p>
        </w:tc>
        <w:tc>
          <w:tcPr>
            <w:tcW w:w="0" w:type="dxa"/>
            <w:vAlign w:val="bottom"/>
          </w:tcPr>
          <w:p>
            <w:pPr>
              <w:spacing w:after="0"/>
              <w:rPr>
                <w:sz w:val="1"/>
                <w:szCs w:val="1"/>
                <w:color w:val="auto"/>
              </w:rPr>
            </w:pPr>
          </w:p>
        </w:tc>
      </w:tr>
      <w:tr>
        <w:trPr>
          <w:trHeight w:val="183"/>
        </w:trPr>
        <w:tc>
          <w:tcPr>
            <w:tcW w:w="1180" w:type="dxa"/>
            <w:vAlign w:val="bottom"/>
          </w:tcPr>
          <w:p>
            <w:pPr>
              <w:jc w:val="right"/>
              <w:ind w:right="161"/>
              <w:spacing w:after="0" w:line="183" w:lineRule="exact"/>
              <w:rPr>
                <w:sz w:val="20"/>
                <w:szCs w:val="20"/>
                <w:color w:val="auto"/>
              </w:rPr>
            </w:pPr>
            <w:r>
              <w:rPr>
                <w:rFonts w:ascii="Arial" w:cs="Arial" w:eastAsia="Arial" w:hAnsi="Arial"/>
                <w:sz w:val="16"/>
                <w:szCs w:val="16"/>
                <w:color w:val="auto"/>
              </w:rPr>
              <w:t>160,607,219</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2,676,555</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325,393,000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80" w:type="dxa"/>
            <w:vAlign w:val="bottom"/>
          </w:tcPr>
          <w:p>
            <w:pPr>
              <w:jc w:val="right"/>
              <w:ind w:right="161"/>
              <w:spacing w:after="0" w:line="168" w:lineRule="exact"/>
              <w:rPr>
                <w:sz w:val="20"/>
                <w:szCs w:val="20"/>
                <w:color w:val="auto"/>
              </w:rPr>
            </w:pPr>
            <w:r>
              <w:rPr>
                <w:rFonts w:ascii="Arial" w:cs="Arial" w:eastAsia="Arial" w:hAnsi="Arial"/>
                <w:sz w:val="16"/>
                <w:szCs w:val="16"/>
                <w:color w:val="auto"/>
              </w:rPr>
              <w:t>23,368,966</w:t>
            </w:r>
          </w:p>
        </w:tc>
        <w:tc>
          <w:tcPr>
            <w:tcW w:w="1200" w:type="dxa"/>
            <w:vAlign w:val="bottom"/>
          </w:tcPr>
          <w:p>
            <w:pPr>
              <w:jc w:val="right"/>
              <w:spacing w:after="0" w:line="168" w:lineRule="exact"/>
              <w:rPr>
                <w:sz w:val="20"/>
                <w:szCs w:val="20"/>
                <w:color w:val="auto"/>
              </w:rPr>
            </w:pPr>
            <w:r>
              <w:rPr>
                <w:rFonts w:ascii="Arial" w:cs="Arial" w:eastAsia="Arial" w:hAnsi="Arial"/>
                <w:sz w:val="16"/>
                <w:szCs w:val="16"/>
                <w:color w:val="auto"/>
              </w:rPr>
              <w:t>(117,991,722)</w:t>
            </w:r>
          </w:p>
        </w:tc>
        <w:tc>
          <w:tcPr>
            <w:tcW w:w="22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232,253,923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ind w:right="161"/>
              <w:spacing w:after="0"/>
              <w:rPr>
                <w:sz w:val="20"/>
                <w:szCs w:val="20"/>
                <w:color w:val="auto"/>
              </w:rPr>
            </w:pPr>
            <w:r>
              <w:rPr>
                <w:rFonts w:ascii="Arial" w:cs="Arial" w:eastAsia="Arial" w:hAnsi="Arial"/>
                <w:sz w:val="16"/>
                <w:szCs w:val="16"/>
                <w:color w:val="auto"/>
              </w:rPr>
              <w:t>280,728,037</w:t>
            </w:r>
          </w:p>
        </w:tc>
        <w:tc>
          <w:tcPr>
            <w:tcW w:w="1200" w:type="dxa"/>
            <w:vAlign w:val="bottom"/>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right"/>
              <w:ind w:right="81"/>
              <w:spacing w:after="0"/>
              <w:rPr>
                <w:sz w:val="20"/>
                <w:szCs w:val="20"/>
                <w:color w:val="auto"/>
              </w:rPr>
            </w:pPr>
            <w:r>
              <w:rPr>
                <w:rFonts w:ascii="Arial" w:cs="Arial" w:eastAsia="Arial" w:hAnsi="Arial"/>
                <w:sz w:val="16"/>
                <w:szCs w:val="16"/>
                <w:color w:val="auto"/>
              </w:rPr>
              <w:t>(12,418,115)</w:t>
            </w:r>
          </w:p>
        </w:tc>
        <w:tc>
          <w:tcPr>
            <w:tcW w:w="1200" w:type="dxa"/>
            <w:vAlign w:val="bottom"/>
          </w:tcPr>
          <w:p>
            <w:pPr>
              <w:jc w:val="right"/>
              <w:spacing w:after="0"/>
              <w:rPr>
                <w:sz w:val="20"/>
                <w:szCs w:val="20"/>
                <w:color w:val="auto"/>
              </w:rPr>
            </w:pPr>
            <w:r>
              <w:rPr>
                <w:rFonts w:ascii="Arial" w:cs="Arial" w:eastAsia="Arial" w:hAnsi="Arial"/>
                <w:sz w:val="16"/>
                <w:szCs w:val="16"/>
                <w:color w:val="auto"/>
              </w:rPr>
              <w:t>7,488,122</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(2,859,715)</w:t>
            </w:r>
          </w:p>
        </w:tc>
        <w:tc>
          <w:tcPr>
            <w:tcW w:w="0" w:type="dxa"/>
            <w:vAlign w:val="bottom"/>
          </w:tcPr>
          <w:p>
            <w:pPr>
              <w:spacing w:after="0"/>
              <w:rPr>
                <w:sz w:val="1"/>
                <w:szCs w:val="1"/>
                <w:color w:val="auto"/>
              </w:rPr>
            </w:pPr>
          </w:p>
        </w:tc>
      </w:tr>
      <w:tr>
        <w:trPr>
          <w:trHeight w:val="183"/>
        </w:trPr>
        <w:tc>
          <w:tcPr>
            <w:tcW w:w="1180" w:type="dxa"/>
            <w:vAlign w:val="bottom"/>
          </w:tcPr>
          <w:p>
            <w:pPr>
              <w:jc w:val="right"/>
              <w:ind w:right="161"/>
              <w:spacing w:after="0" w:line="183" w:lineRule="exact"/>
              <w:rPr>
                <w:sz w:val="20"/>
                <w:szCs w:val="20"/>
                <w:color w:val="auto"/>
              </w:rPr>
            </w:pPr>
            <w:r>
              <w:rPr>
                <w:rFonts w:ascii="Arial" w:cs="Arial" w:eastAsia="Arial" w:hAnsi="Arial"/>
                <w:sz w:val="16"/>
                <w:szCs w:val="16"/>
                <w:color w:val="auto"/>
              </w:rPr>
              <w:t>291,678,888</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391,231,637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-3646805</wp:posOffset>
            </wp:positionV>
            <wp:extent cx="904240" cy="128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04240" cy="12827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-3646805</wp:posOffset>
            </wp:positionV>
            <wp:extent cx="93980" cy="128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-3646805</wp:posOffset>
            </wp:positionV>
            <wp:extent cx="93980" cy="1282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-3445510</wp:posOffset>
            </wp:positionV>
            <wp:extent cx="8229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-1637030</wp:posOffset>
            </wp:positionV>
            <wp:extent cx="8229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-1508125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-650875</wp:posOffset>
            </wp:positionV>
            <wp:extent cx="8229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-153670</wp:posOffset>
            </wp:positionV>
            <wp:extent cx="8229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120" w:space="260"/>
            <w:col w:w="3860"/>
          </w:cols>
          <w:pgMar w:left="320" w:top="773" w:right="3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2025 were authorized for issue in accordance with a resolution of the directors on April 2, 2026.</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98</w:t>
      </w:r>
      <w:r>
        <w:rPr>
          <w:rFonts w:ascii="Arial" w:cs="Arial" w:eastAsia="Arial" w:hAnsi="Arial"/>
          <w:sz w:val="16"/>
          <w:szCs w:val="16"/>
          <w:b w:val="1"/>
          <w:bCs w:val="1"/>
          <w:u w:val="single" w:color="auto"/>
          <w:color w:val="0000FF"/>
        </w:rPr>
        <w:t>Table of Contents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3"/>
                <w:szCs w:val="13"/>
                <w:color w:val="auto"/>
              </w:rPr>
            </w:pPr>
          </w:p>
        </w:tc>
        <w:tc>
          <w:tcPr>
            <w:tcW w:w="154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Legal seat</w:t>
            </w:r>
          </w:p>
        </w:tc>
        <w:tc>
          <w:tcPr>
            <w:tcW w:w="160" w:type="dxa"/>
            <w:vAlign w:val="bottom"/>
          </w:tcPr>
          <w:p>
            <w:pPr>
              <w:spacing w:after="0"/>
              <w:rPr>
                <w:sz w:val="13"/>
                <w:szCs w:val="13"/>
                <w:color w:val="auto"/>
              </w:rPr>
            </w:pPr>
          </w:p>
        </w:tc>
        <w:tc>
          <w:tcPr>
            <w:tcW w:w="254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00" w:type="dxa"/>
            <w:vAlign w:val="bottom"/>
          </w:tcPr>
          <w:p>
            <w:pPr>
              <w:spacing w:after="0"/>
              <w:rPr>
                <w:sz w:val="13"/>
                <w:szCs w:val="13"/>
                <w:color w:val="auto"/>
              </w:rPr>
            </w:pPr>
          </w:p>
        </w:tc>
        <w:tc>
          <w:tcPr>
            <w:tcW w:w="2700" w:type="dxa"/>
            <w:vAlign w:val="bottom"/>
            <w:gridSpan w:val="4"/>
          </w:tcPr>
          <w:p>
            <w:pPr>
              <w:ind w:left="660"/>
              <w:spacing w:after="0"/>
              <w:rPr>
                <w:sz w:val="20"/>
                <w:szCs w:val="20"/>
                <w:color w:val="auto"/>
              </w:rPr>
            </w:pPr>
            <w:r>
              <w:rPr>
                <w:rFonts w:ascii="Arial" w:cs="Arial" w:eastAsia="Arial" w:hAnsi="Arial"/>
                <w:sz w:val="13"/>
                <w:szCs w:val="13"/>
                <w:b w:val="1"/>
                <w:bCs w:val="1"/>
                <w:color w:val="auto"/>
              </w:rPr>
              <w:t>% of equity interest</w:t>
            </w:r>
          </w:p>
        </w:tc>
        <w:tc>
          <w:tcPr>
            <w:tcW w:w="0" w:type="dxa"/>
            <w:vAlign w:val="bottom"/>
          </w:tcPr>
          <w:p>
            <w:pPr>
              <w:spacing w:after="0"/>
              <w:rPr>
                <w:sz w:val="1"/>
                <w:szCs w:val="1"/>
                <w:color w:val="auto"/>
              </w:rPr>
            </w:pPr>
          </w:p>
        </w:tc>
      </w:tr>
      <w:tr>
        <w:trPr>
          <w:trHeight w:val="128"/>
        </w:trPr>
        <w:tc>
          <w:tcPr>
            <w:tcW w:w="3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2025</w:t>
            </w:r>
          </w:p>
        </w:tc>
        <w:tc>
          <w:tcPr>
            <w:tcW w:w="300" w:type="dxa"/>
            <w:vAlign w:val="bottom"/>
          </w:tcPr>
          <w:p>
            <w:pPr>
              <w:spacing w:after="0"/>
              <w:rPr>
                <w:sz w:val="11"/>
                <w:szCs w:val="11"/>
                <w:color w:val="auto"/>
              </w:rPr>
            </w:pPr>
          </w:p>
        </w:tc>
        <w:tc>
          <w:tcPr>
            <w:tcW w:w="1100" w:type="dxa"/>
            <w:vAlign w:val="bottom"/>
            <w:tcBorders>
              <w:top w:val="single" w:sz="8" w:color="auto"/>
              <w:bottom w:val="single" w:sz="8" w:color="auto"/>
            </w:tcBorders>
          </w:tcPr>
          <w:p>
            <w:pPr>
              <w:ind w:left="400"/>
              <w:spacing w:after="0" w:line="129"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Pharvaris Holdings B.V.</w:t>
            </w:r>
          </w:p>
        </w:tc>
        <w:tc>
          <w:tcPr>
            <w:tcW w:w="1820" w:type="dxa"/>
            <w:vAlign w:val="bottom"/>
            <w:gridSpan w:val="2"/>
            <w:shd w:val="clear" w:color="auto" w:fill="CFF0FC"/>
          </w:tcPr>
          <w:p>
            <w:pPr>
              <w:ind w:left="280"/>
              <w:spacing w:after="0" w:line="183" w:lineRule="exact"/>
              <w:rPr>
                <w:sz w:val="20"/>
                <w:szCs w:val="20"/>
                <w:color w:val="auto"/>
              </w:rPr>
            </w:pPr>
            <w:r>
              <w:rPr>
                <w:rFonts w:ascii="Arial" w:cs="Arial" w:eastAsia="Arial" w:hAnsi="Arial"/>
                <w:sz w:val="16"/>
                <w:szCs w:val="16"/>
                <w:color w:val="auto"/>
              </w:rPr>
              <w:t>Leiden</w:t>
            </w:r>
          </w:p>
        </w:tc>
        <w:tc>
          <w:tcPr>
            <w:tcW w:w="16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The Netherlands</w:t>
            </w:r>
          </w:p>
        </w:tc>
        <w:tc>
          <w:tcPr>
            <w:tcW w:w="150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100%</w:t>
            </w:r>
          </w:p>
        </w:tc>
        <w:tc>
          <w:tcPr>
            <w:tcW w:w="1300" w:type="dxa"/>
            <w:vAlign w:val="bottom"/>
            <w:gridSpan w:val="2"/>
            <w:shd w:val="clear" w:color="auto" w:fill="CFF0FC"/>
          </w:tcPr>
          <w:p>
            <w:pPr>
              <w:ind w:left="820"/>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1820" w:type="dxa"/>
            <w:vAlign w:val="bottom"/>
            <w:gridSpan w:val="2"/>
          </w:tcPr>
          <w:p>
            <w:pPr>
              <w:ind w:left="280"/>
              <w:spacing w:after="0"/>
              <w:rPr>
                <w:sz w:val="20"/>
                <w:szCs w:val="20"/>
                <w:color w:val="auto"/>
              </w:rPr>
            </w:pPr>
            <w:r>
              <w:rPr>
                <w:rFonts w:ascii="Arial" w:cs="Arial" w:eastAsia="Arial" w:hAnsi="Arial"/>
                <w:sz w:val="16"/>
                <w:szCs w:val="16"/>
                <w:color w:val="auto"/>
              </w:rPr>
              <w:t>Leiden</w:t>
            </w:r>
          </w:p>
        </w:tc>
        <w:tc>
          <w:tcPr>
            <w:tcW w:w="16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The Netherlands</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Pharvaris, Inc.</w:t>
            </w:r>
          </w:p>
        </w:tc>
        <w:tc>
          <w:tcPr>
            <w:tcW w:w="182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Delaware</w:t>
            </w:r>
          </w:p>
        </w:tc>
        <w:tc>
          <w:tcPr>
            <w:tcW w:w="16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United States of America</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Pharvaris GmbH</w:t>
            </w:r>
          </w:p>
        </w:tc>
        <w:tc>
          <w:tcPr>
            <w:tcW w:w="1820" w:type="dxa"/>
            <w:vAlign w:val="bottom"/>
            <w:gridSpan w:val="2"/>
          </w:tcPr>
          <w:p>
            <w:pPr>
              <w:ind w:left="280"/>
              <w:spacing w:after="0"/>
              <w:rPr>
                <w:sz w:val="20"/>
                <w:szCs w:val="20"/>
                <w:color w:val="auto"/>
              </w:rPr>
            </w:pPr>
            <w:r>
              <w:rPr>
                <w:rFonts w:ascii="Arial" w:cs="Arial" w:eastAsia="Arial" w:hAnsi="Arial"/>
                <w:sz w:val="16"/>
                <w:szCs w:val="16"/>
                <w:color w:val="auto"/>
              </w:rPr>
              <w:t>Zug</w:t>
            </w:r>
          </w:p>
        </w:tc>
        <w:tc>
          <w:tcPr>
            <w:tcW w:w="16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Switzerland</w:t>
            </w: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Pharvaris Pharmaceuticals, Inc.*</w:t>
            </w:r>
          </w:p>
        </w:tc>
        <w:tc>
          <w:tcPr>
            <w:tcW w:w="182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Delaware</w:t>
            </w:r>
          </w:p>
        </w:tc>
        <w:tc>
          <w:tcPr>
            <w:tcW w:w="16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United States of America</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*Pharvaris Pharmaceuticals, Inc was incorporated in June 2025</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-834390</wp:posOffset>
            </wp:positionV>
            <wp:extent cx="136525" cy="1282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6995795</wp:posOffset>
            </wp:positionH>
            <wp:positionV relativeFrom="paragraph">
              <wp:posOffset>-834390</wp:posOffset>
            </wp:positionV>
            <wp:extent cx="154305" cy="1282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128270"/>
                    </a:xfrm>
                    <a:prstGeom prst="rect">
                      <a:avLst/>
                    </a:prstGeom>
                    <a:noFill/>
                  </pic:spPr>
                </pic:pic>
              </a:graphicData>
            </a:graphic>
          </wp:anchor>
        </w:drawing>
      </w:r>
    </w:p>
    <w:p>
      <w:pPr>
        <w:spacing w:after="0" w:line="16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owns the Group’s intellectual property and makes the major operating decisions.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370"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Summary of material accounting policies</w:t>
      </w:r>
    </w:p>
    <w:p>
      <w:pPr>
        <w:spacing w:after="0" w:line="18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IFRS Accounting Standards (IFRS) as issued by the International Accounting Standards Board (IASB).</w:t>
      </w:r>
    </w:p>
    <w:p>
      <w:pPr>
        <w:spacing w:after="0" w:line="12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56"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Certain personnel, consulting, and facility related costs previously reported under General and Administrative expenses were determined to be more appropriately classified as Research and Development expenses. The Company reclassified approximately €4.6 million from General and Administrative expenses to Research and Development expenses for the year ended December 31, 2025. This reclassification had no impact on the total operating expenses, net loss, or loss per share.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 Since the profit and loss statement for 2025 of Pharvaris N.V. is included in the consolidated financial statements, an abridged profit and loss statement has been disclosed in the company financial statements in accordance with Section 402, Book 2, of the Dutch Civil Code.</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the Executive Committee which serves as the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CODM reviews the consolidated operating results regularly to make decisions about the resources and to assess overall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99</w:t>
      </w:r>
      <w:r>
        <w:rPr>
          <w:rFonts w:ascii="Arial" w:cs="Arial" w:eastAsia="Arial" w:hAnsi="Arial"/>
          <w:sz w:val="16"/>
          <w:szCs w:val="16"/>
          <w:b w:val="1"/>
          <w:bCs w:val="1"/>
          <w:u w:val="single" w:color="auto"/>
          <w:color w:val="0000FF"/>
        </w:rPr>
        <w:t>Table of Contents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 and money market funds.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81" w:lineRule="exact"/>
        <w:rPr>
          <w:sz w:val="20"/>
          <w:szCs w:val="20"/>
          <w:color w:val="auto"/>
        </w:rPr>
      </w:pPr>
    </w:p>
    <w:p>
      <w:pPr>
        <w:ind w:left="1140" w:hanging="444"/>
        <w:spacing w:after="0"/>
        <w:tabs>
          <w:tab w:leader="none" w:pos="114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pacing w:after="0" w:line="13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7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the Group had the following financial assets to be measured at amortized cost:</w:t>
      </w:r>
    </w:p>
    <w:p>
      <w:pPr>
        <w:spacing w:after="0" w:line="181" w:lineRule="exact"/>
        <w:rPr>
          <w:sz w:val="20"/>
          <w:szCs w:val="20"/>
          <w:color w:val="auto"/>
        </w:rPr>
      </w:pPr>
    </w:p>
    <w:p>
      <w:pPr>
        <w:ind w:left="1140" w:hanging="444"/>
        <w:spacing w:after="0"/>
        <w:tabs>
          <w:tab w:leader="none" w:pos="11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ectPr>
          <w:pgSz w:w="11900" w:h="16838" w:orient="portrait"/>
          <w:cols w:equalWidth="0" w:num="1">
            <w:col w:w="11160"/>
          </w:cols>
          <w:pgMar w:left="320" w:top="773" w:right="4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100</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ind w:left="1140" w:hanging="444"/>
        <w:spacing w:after="0"/>
        <w:tabs>
          <w:tab w:leader="none" w:pos="114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94"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 and money market funds.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8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101</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3"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 (considering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39"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8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 when net settlement is used in order to satisfy the Company’s tax withholding obligations.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102</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2025 or 2024. See Note 3 for information relating to research and development expenses incurred in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the Group’s consolidated statements of loss and comprehensive loss as expenses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9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employees provide the associated services.</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do not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94" w:lineRule="exact"/>
        <w:rPr>
          <w:sz w:val="20"/>
          <w:szCs w:val="20"/>
          <w:color w:val="auto"/>
        </w:rPr>
      </w:pPr>
    </w:p>
    <w:p>
      <w:pPr>
        <w:ind w:right="200"/>
        <w:spacing w:after="0" w:line="481" w:lineRule="auto"/>
        <w:rPr>
          <w:sz w:val="20"/>
          <w:szCs w:val="20"/>
          <w:color w:val="auto"/>
        </w:rPr>
      </w:pPr>
      <w:r>
        <w:rPr>
          <w:rFonts w:ascii="Arial" w:cs="Arial" w:eastAsia="Arial" w:hAnsi="Arial"/>
          <w:sz w:val="16"/>
          <w:szCs w:val="16"/>
          <w:color w:val="auto"/>
        </w:rPr>
        <w:t xml:space="preserve">The standards and interpretations that are issued, but not yet effective, up to the date of issuance of the Group’s financial statements are disclosed below. The Group intends to adopt these standards, if applicable, when they become effective. </w:t>
      </w:r>
      <w:r>
        <w:rPr>
          <w:rFonts w:ascii="Arial" w:cs="Arial" w:eastAsia="Arial" w:hAnsi="Arial"/>
          <w:sz w:val="16"/>
          <w:szCs w:val="16"/>
          <w:b w:val="1"/>
          <w:bCs w:val="1"/>
          <w:i w:val="1"/>
          <w:iCs w:val="1"/>
          <w:color w:val="auto"/>
        </w:rPr>
        <w:t>Amendment to IFRS 9 and IFRS 7 - Classification and Measurement of Financial Instruments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amendment is effective for reporting periods beginning on or after January 1, 2026. The amendments are not expected to have a material impact on the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18, Presentation and Disclosure in Financial Statements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amendment is effective for reporting periods beginning on or after January 1, 2027. The amendments are being assessed by the Group.</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103</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3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20" w:type="dxa"/>
            <w:vAlign w:val="bottom"/>
          </w:tcPr>
          <w:p>
            <w:pPr>
              <w:spacing w:after="0"/>
              <w:rPr>
                <w:sz w:val="13"/>
                <w:szCs w:val="13"/>
                <w:color w:val="auto"/>
              </w:rPr>
            </w:pPr>
          </w:p>
        </w:tc>
        <w:tc>
          <w:tcPr>
            <w:tcW w:w="14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3"/>
                <w:szCs w:val="13"/>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6520" w:type="dxa"/>
            <w:vAlign w:val="bottom"/>
          </w:tcPr>
          <w:p>
            <w:pPr>
              <w:spacing w:after="0"/>
              <w:rPr>
                <w:sz w:val="11"/>
                <w:szCs w:val="11"/>
                <w:color w:val="auto"/>
              </w:rPr>
            </w:pPr>
          </w:p>
        </w:tc>
        <w:tc>
          <w:tcPr>
            <w:tcW w:w="1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80" w:type="dxa"/>
            <w:vAlign w:val="bottom"/>
          </w:tcPr>
          <w:p>
            <w:pPr>
              <w:spacing w:after="0"/>
              <w:rPr>
                <w:sz w:val="11"/>
                <w:szCs w:val="11"/>
                <w:color w:val="auto"/>
              </w:rPr>
            </w:pPr>
          </w:p>
        </w:tc>
        <w:tc>
          <w:tcPr>
            <w:tcW w:w="13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Clinical expenses</w:t>
            </w:r>
          </w:p>
        </w:tc>
        <w:tc>
          <w:tcPr>
            <w:tcW w:w="1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(67,744,537)</w:t>
            </w:r>
          </w:p>
        </w:tc>
        <w:tc>
          <w:tcPr>
            <w:tcW w:w="15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(55,867,694)</w:t>
            </w: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(30,690,293)</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Personnel expenses (Note 5)</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(35,755,155)</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(27,767,184)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(19,132,307)</w:t>
            </w: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(12,024,982)</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(9,434,537)</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(6,500,986)</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Nonclinical expenses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(7,485,648)</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(3,324,513)</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(8,977,187)</w:t>
            </w: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(1,065,471)</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(1,592,687)</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(402,541)</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(576,914)</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(274,257)</w:t>
            </w:r>
          </w:p>
        </w:tc>
      </w:tr>
      <w:tr>
        <w:trPr>
          <w:trHeight w:val="20"/>
        </w:trPr>
        <w:tc>
          <w:tcPr>
            <w:tcW w:w="6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5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(124,478,334)</w:t>
            </w:r>
          </w:p>
        </w:tc>
        <w:tc>
          <w:tcPr>
            <w:tcW w:w="15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(98,563,529)</w:t>
            </w: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(65,575,030)</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License costs comprise milestone payments associated with the development, approval and commercialization of deucrictibant, including the payment of a milestone during the fourth quarter of 2025 for the successful finalization of the Phase III study.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104</w:t>
      </w: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88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6180" w:type="dxa"/>
            <w:vAlign w:val="bottom"/>
          </w:tcPr>
          <w:p>
            <w:pPr>
              <w:spacing w:after="0"/>
              <w:rPr>
                <w:sz w:val="11"/>
                <w:szCs w:val="11"/>
                <w:color w:val="auto"/>
              </w:rPr>
            </w:pPr>
          </w:p>
        </w:tc>
        <w:tc>
          <w:tcPr>
            <w:tcW w:w="1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r>
      <w:tr>
        <w:trPr>
          <w:trHeight w:val="183"/>
        </w:trPr>
        <w:tc>
          <w:tcPr>
            <w:tcW w:w="6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Personnel expenses (Note 5)</w:t>
            </w:r>
          </w:p>
        </w:tc>
        <w:tc>
          <w:tcPr>
            <w:tcW w:w="20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(23,139,822)</w:t>
            </w:r>
          </w:p>
        </w:tc>
        <w:tc>
          <w:tcPr>
            <w:tcW w:w="15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(18,883,708)</w:t>
            </w:r>
          </w:p>
        </w:tc>
        <w:tc>
          <w:tcPr>
            <w:tcW w:w="15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(13,314,359)</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Professional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(8,616,327)</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(7,757,750)</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(4,689,462)</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and office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(5,957,027)</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(6,509,691)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(6,031,513)</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(2,626,525)</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(4,017,669)</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(2,029,554)</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(1,212,356)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(2,129,631)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(1,797,588)</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Consulting fees</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(103,848)</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(858,843)</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(602,110)</w:t>
            </w: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(3,688,693)</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(6,967,346)</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(2,874,004)</w:t>
            </w:r>
          </w:p>
        </w:tc>
      </w:tr>
      <w:tr>
        <w:trPr>
          <w:trHeight w:val="20"/>
        </w:trPr>
        <w:tc>
          <w:tcPr>
            <w:tcW w:w="618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180" w:type="dxa"/>
            <w:vAlign w:val="bottom"/>
          </w:tcPr>
          <w:p>
            <w:pPr>
              <w:spacing w:after="0"/>
              <w:rPr>
                <w:sz w:val="15"/>
                <w:szCs w:val="15"/>
                <w:color w:val="auto"/>
              </w:rPr>
            </w:pPr>
          </w:p>
        </w:tc>
        <w:tc>
          <w:tcPr>
            <w:tcW w:w="20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(45,344,598)</w:t>
            </w:r>
          </w:p>
        </w:tc>
        <w:tc>
          <w:tcPr>
            <w:tcW w:w="15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(47,124,638)</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(31,338,590)</w:t>
            </w:r>
          </w:p>
        </w:tc>
      </w:tr>
      <w:tr>
        <w:trPr>
          <w:trHeight w:val="20"/>
        </w:trPr>
        <w:tc>
          <w:tcPr>
            <w:tcW w:w="618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-153670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22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For the year ended December 31, 2025, depreciation expense of €0.4 million (2024: €0.1 million; 2023: €0.06 million), which relate to property, plant and equipment and leases,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8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Wages and salaries</w:t>
            </w:r>
          </w:p>
        </w:tc>
        <w:tc>
          <w:tcPr>
            <w:tcW w:w="19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(33,570,013)</w:t>
            </w:r>
          </w:p>
        </w:tc>
        <w:tc>
          <w:tcPr>
            <w:tcW w:w="15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(25,805,171)</w:t>
            </w:r>
          </w:p>
        </w:tc>
        <w:tc>
          <w:tcPr>
            <w:tcW w:w="17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(18,746,645)</w:t>
            </w:r>
          </w:p>
        </w:tc>
      </w:tr>
      <w:tr>
        <w:trPr>
          <w:trHeight w:val="189"/>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Pension charges</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(2,063,817)</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(1,572,233)</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(1,156,028)</w:t>
            </w:r>
          </w:p>
        </w:tc>
      </w:tr>
      <w:tr>
        <w:trPr>
          <w:trHeight w:val="189"/>
        </w:trPr>
        <w:tc>
          <w:tcPr>
            <w:tcW w:w="20" w:type="dxa"/>
            <w:vAlign w:val="bottom"/>
          </w:tcPr>
          <w:p>
            <w:pPr>
              <w:spacing w:after="0"/>
              <w:rPr>
                <w:sz w:val="16"/>
                <w:szCs w:val="16"/>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(3,579,948)</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(3,064,955)</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(1,880,767)</w:t>
            </w:r>
          </w:p>
        </w:tc>
      </w:tr>
      <w:tr>
        <w:trPr>
          <w:trHeight w:val="189"/>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Share-based payments</w:t>
            </w: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(19,050,394)</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(16,208,533)</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(10,663,226)</w:t>
            </w:r>
          </w:p>
        </w:tc>
      </w:tr>
      <w:tr>
        <w:trPr>
          <w:trHeight w:val="189"/>
        </w:trPr>
        <w:tc>
          <w:tcPr>
            <w:tcW w:w="20" w:type="dxa"/>
            <w:vAlign w:val="bottom"/>
          </w:tcPr>
          <w:p>
            <w:pPr>
              <w:spacing w:after="0"/>
              <w:rPr>
                <w:sz w:val="16"/>
                <w:szCs w:val="16"/>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Other employee related costs</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(630,805)</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586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9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(58,894,977)</w:t>
            </w:r>
          </w:p>
        </w:tc>
        <w:tc>
          <w:tcPr>
            <w:tcW w:w="15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(46,650,892)</w:t>
            </w:r>
          </w:p>
        </w:tc>
        <w:tc>
          <w:tcPr>
            <w:tcW w:w="17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(32,446,666)</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-153670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-153670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2025 was 129 (2024: 108; 2023: 82).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 /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80" w:type="dxa"/>
            <w:vAlign w:val="bottom"/>
          </w:tcPr>
          <w:p>
            <w:pPr>
              <w:spacing w:after="0"/>
              <w:rPr>
                <w:sz w:val="13"/>
                <w:szCs w:val="13"/>
                <w:color w:val="auto"/>
              </w:rPr>
            </w:pPr>
          </w:p>
        </w:tc>
        <w:tc>
          <w:tcPr>
            <w:tcW w:w="144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6780" w:type="dxa"/>
            <w:vAlign w:val="bottom"/>
          </w:tcPr>
          <w:p>
            <w:pPr>
              <w:spacing w:after="0"/>
              <w:rPr>
                <w:sz w:val="11"/>
                <w:szCs w:val="11"/>
                <w:color w:val="auto"/>
              </w:rPr>
            </w:pPr>
          </w:p>
        </w:tc>
        <w:tc>
          <w:tcPr>
            <w:tcW w:w="1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Foreign exchange differences</w:t>
            </w:r>
          </w:p>
        </w:tc>
        <w:tc>
          <w:tcPr>
            <w:tcW w:w="16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(10,250,749)</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7,869,114</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(3,116,662)</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Interest and other income over bank balances</w:t>
            </w:r>
          </w:p>
        </w:tc>
        <w:tc>
          <w:tcPr>
            <w:tcW w:w="1440" w:type="dxa"/>
            <w:vAlign w:val="bottom"/>
          </w:tcPr>
          <w:p>
            <w:pPr>
              <w:jc w:val="right"/>
              <w:spacing w:after="0"/>
              <w:rPr>
                <w:sz w:val="20"/>
                <w:szCs w:val="20"/>
                <w:color w:val="auto"/>
              </w:rPr>
            </w:pPr>
            <w:r>
              <w:rPr>
                <w:rFonts w:ascii="Arial" w:cs="Arial" w:eastAsia="Arial" w:hAnsi="Arial"/>
                <w:sz w:val="16"/>
                <w:szCs w:val="16"/>
                <w:color w:val="auto"/>
              </w:rPr>
              <w:t>6,535,046</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5,469,464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224,494</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(172,861)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(46,914)</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(20,475)</w:t>
            </w:r>
          </w:p>
        </w:tc>
      </w:tr>
      <w:tr>
        <w:trPr>
          <w:trHeight w:val="20"/>
        </w:trPr>
        <w:tc>
          <w:tcPr>
            <w:tcW w:w="678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780" w:type="dxa"/>
            <w:vAlign w:val="bottom"/>
          </w:tcPr>
          <w:p>
            <w:pPr>
              <w:spacing w:after="0"/>
              <w:rPr>
                <w:sz w:val="15"/>
                <w:szCs w:val="15"/>
                <w:color w:val="auto"/>
              </w:rPr>
            </w:pPr>
          </w:p>
        </w:tc>
        <w:tc>
          <w:tcPr>
            <w:tcW w:w="16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(3,888,564)</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100" w:type="dxa"/>
            <w:vAlign w:val="bottom"/>
          </w:tcPr>
          <w:p>
            <w:pPr>
              <w:spacing w:after="0"/>
              <w:rPr>
                <w:sz w:val="15"/>
                <w:szCs w:val="15"/>
                <w:color w:val="auto"/>
              </w:rPr>
            </w:pPr>
          </w:p>
        </w:tc>
        <w:tc>
          <w:tcPr>
            <w:tcW w:w="14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(2,912,643)</w:t>
            </w:r>
          </w:p>
        </w:tc>
      </w:tr>
      <w:tr>
        <w:trPr>
          <w:trHeight w:val="20"/>
        </w:trPr>
        <w:tc>
          <w:tcPr>
            <w:tcW w:w="67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-153670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 reports financial results in Euros. Since bank balances are in Euros, U.S. Dollars and Swiss Francs, changes in the conversion rates of the Dollars and Swiss Francs versus the Euro result in either income or expense over time. Interest income relates to earnings on cash deposits.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32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9"/>
        </w:trPr>
        <w:tc>
          <w:tcPr>
            <w:tcW w:w="664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income tax expense</w:t>
            </w:r>
          </w:p>
        </w:tc>
        <w:tc>
          <w:tcPr>
            <w:tcW w:w="15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(1,087,278)</w:t>
            </w: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(1,033,115)</w:t>
            </w:r>
          </w:p>
        </w:tc>
        <w:tc>
          <w:tcPr>
            <w:tcW w:w="14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(473,623)</w:t>
            </w:r>
          </w:p>
        </w:tc>
      </w:tr>
      <w:tr>
        <w:trPr>
          <w:trHeight w:val="189"/>
        </w:trPr>
        <w:tc>
          <w:tcPr>
            <w:tcW w:w="6640" w:type="dxa"/>
            <w:vAlign w:val="bottom"/>
          </w:tcPr>
          <w:p>
            <w:pPr>
              <w:spacing w:after="0"/>
              <w:rPr>
                <w:sz w:val="20"/>
                <w:szCs w:val="20"/>
                <w:color w:val="auto"/>
              </w:rPr>
            </w:pPr>
            <w:r>
              <w:rPr>
                <w:rFonts w:ascii="Arial" w:cs="Arial" w:eastAsia="Arial" w:hAnsi="Arial"/>
                <w:sz w:val="16"/>
                <w:szCs w:val="16"/>
                <w:color w:val="auto"/>
              </w:rPr>
              <w:t>Deferred tax (charge)</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(900,623)</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(791,909)</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(575,182)</w:t>
            </w:r>
          </w:p>
        </w:tc>
      </w:tr>
      <w:tr>
        <w:trPr>
          <w:trHeight w:val="223"/>
        </w:trPr>
        <w:tc>
          <w:tcPr>
            <w:tcW w:w="6640" w:type="dxa"/>
            <w:vAlign w:val="bottom"/>
            <w:tcBorders>
              <w:top w:val="single" w:sz="8" w:color="CFF0FC"/>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Income tax (expense)</w:t>
            </w:r>
          </w:p>
        </w:tc>
        <w:tc>
          <w:tcPr>
            <w:tcW w:w="13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(1,987,901)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(1,825,024)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(1,048,805)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200"/>
        <w:spacing w:after="0" w:line="257" w:lineRule="auto"/>
        <w:rPr>
          <w:sz w:val="20"/>
          <w:szCs w:val="20"/>
          <w:color w:val="auto"/>
        </w:rPr>
      </w:pPr>
      <w:r>
        <w:rPr>
          <w:rFonts w:ascii="Arial" w:cs="Arial" w:eastAsia="Arial" w:hAnsi="Arial"/>
          <w:sz w:val="16"/>
          <w:szCs w:val="16"/>
          <w:color w:val="auto"/>
        </w:rPr>
        <w:t>The current tax expenses for the years ended December 31, 2025, 2024 and 2023 relates to the Company's U.S. and Dutch subsidiaries as the result of a cost-plus agreement between the U.S. and Dutch entities and the Group's principal entity in Switzerland. For the year ended December 31, 2025, a tax benefit of €1.4 million is additionally directly recognized in equity (2024: €0.9 million; 2023: €0.7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105</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3"/>
        </w:trPr>
        <w:tc>
          <w:tcPr>
            <w:tcW w:w="6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income tax</w:t>
            </w:r>
          </w:p>
        </w:tc>
        <w:tc>
          <w:tcPr>
            <w:tcW w:w="440" w:type="dxa"/>
            <w:vAlign w:val="bottom"/>
          </w:tcPr>
          <w:p>
            <w:pPr>
              <w:spacing w:after="0"/>
              <w:rPr>
                <w:sz w:val="15"/>
                <w:szCs w:val="15"/>
                <w:color w:val="auto"/>
              </w:rPr>
            </w:pP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(173,711,496)</w:t>
            </w: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(132,396,503)</w:t>
            </w: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(99,826,263)</w:t>
            </w:r>
          </w:p>
        </w:tc>
        <w:tc>
          <w:tcPr>
            <w:tcW w:w="100" w:type="dxa"/>
            <w:vAlign w:val="bottom"/>
            <w:shd w:val="clear" w:color="auto" w:fill="CFF0FC"/>
          </w:tcPr>
          <w:p>
            <w:pPr>
              <w:spacing w:after="0"/>
              <w:rPr>
                <w:sz w:val="15"/>
                <w:szCs w:val="15"/>
                <w:color w:val="auto"/>
              </w:rPr>
            </w:pPr>
          </w:p>
        </w:tc>
      </w:tr>
      <w:tr>
        <w:trPr>
          <w:trHeight w:val="175"/>
        </w:trPr>
        <w:tc>
          <w:tcPr>
            <w:tcW w:w="6200" w:type="dxa"/>
            <w:vAlign w:val="bottom"/>
          </w:tcPr>
          <w:p>
            <w:pPr>
              <w:spacing w:after="0" w:line="175" w:lineRule="exact"/>
              <w:rPr>
                <w:sz w:val="20"/>
                <w:szCs w:val="20"/>
                <w:color w:val="auto"/>
              </w:rPr>
            </w:pPr>
            <w:r>
              <w:rPr>
                <w:rFonts w:ascii="Arial" w:cs="Arial" w:eastAsia="Arial" w:hAnsi="Arial"/>
                <w:sz w:val="16"/>
                <w:szCs w:val="16"/>
                <w:color w:val="auto"/>
              </w:rPr>
              <w:t>Income tax at statutory income tax rate in the Netherlands (2025, 2024 and 2023:</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25.8%)</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44,817,566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34,158,298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7"/>
                <w:szCs w:val="17"/>
                <w:color w:val="auto"/>
              </w:rPr>
            </w:pPr>
          </w:p>
        </w:tc>
      </w:tr>
      <w:tr>
        <w:trPr>
          <w:trHeight w:val="189"/>
        </w:trPr>
        <w:tc>
          <w:tcPr>
            <w:tcW w:w="6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(24,993,816)</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(17,611,881)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(14,334,369)</w:t>
            </w:r>
          </w:p>
        </w:tc>
      </w:tr>
      <w:tr>
        <w:trPr>
          <w:trHeight w:val="175"/>
        </w:trPr>
        <w:tc>
          <w:tcPr>
            <w:tcW w:w="6640" w:type="dxa"/>
            <w:vAlign w:val="bottom"/>
            <w:gridSpan w:val="2"/>
          </w:tcPr>
          <w:p>
            <w:pPr>
              <w:spacing w:after="0" w:line="175" w:lineRule="exact"/>
              <w:rPr>
                <w:sz w:val="20"/>
                <w:szCs w:val="20"/>
                <w:color w:val="auto"/>
              </w:rPr>
            </w:pPr>
            <w:r>
              <w:rPr>
                <w:rFonts w:ascii="Arial" w:cs="Arial" w:eastAsia="Arial" w:hAnsi="Arial"/>
                <w:sz w:val="16"/>
                <w:szCs w:val="16"/>
                <w:color w:val="auto"/>
              </w:rPr>
              <w:t>Recognition (derecognition) of previously unrecognized (recognized) deferred tax</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4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440" w:type="dxa"/>
            <w:vAlign w:val="bottom"/>
          </w:tcPr>
          <w:p>
            <w:pPr>
              <w:jc w:val="right"/>
              <w:spacing w:after="0"/>
              <w:rPr>
                <w:sz w:val="20"/>
                <w:szCs w:val="20"/>
                <w:color w:val="auto"/>
              </w:rPr>
            </w:pPr>
            <w:r>
              <w:rPr>
                <w:rFonts w:ascii="Arial" w:cs="Arial" w:eastAsia="Arial" w:hAnsi="Arial"/>
                <w:sz w:val="16"/>
                <w:szCs w:val="16"/>
                <w:color w:val="auto"/>
              </w:rPr>
              <w:t>270,882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762,594</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(58,506)</w:t>
            </w:r>
          </w:p>
        </w:tc>
      </w:tr>
      <w:tr>
        <w:trPr>
          <w:trHeight w:val="189"/>
        </w:trPr>
        <w:tc>
          <w:tcPr>
            <w:tcW w:w="6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period losses for which no deferred tax asset has been recognized</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(22,244,353)</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(17,950,456)</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(14,771,877)</w:t>
            </w:r>
          </w:p>
        </w:tc>
      </w:tr>
      <w:tr>
        <w:trPr>
          <w:trHeight w:val="189"/>
        </w:trPr>
        <w:tc>
          <w:tcPr>
            <w:tcW w:w="6640" w:type="dxa"/>
            <w:vAlign w:val="bottom"/>
            <w:gridSpan w:val="2"/>
          </w:tcPr>
          <w:p>
            <w:pPr>
              <w:spacing w:after="0"/>
              <w:rPr>
                <w:sz w:val="20"/>
                <w:szCs w:val="20"/>
                <w:color w:val="auto"/>
              </w:rPr>
            </w:pPr>
            <w:r>
              <w:rPr>
                <w:rFonts w:ascii="Arial" w:cs="Arial" w:eastAsia="Arial" w:hAnsi="Arial"/>
                <w:sz w:val="16"/>
                <w:szCs w:val="16"/>
                <w:color w:val="auto"/>
              </w:rPr>
              <w:t>Nondeductible expenses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(891,058)</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(1,085,015)</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(458,482)</w:t>
            </w:r>
          </w:p>
        </w:tc>
      </w:tr>
      <w:tr>
        <w:trPr>
          <w:trHeight w:val="189"/>
        </w:trPr>
        <w:tc>
          <w:tcPr>
            <w:tcW w:w="6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Prior period adjustments</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1,052,878</w:t>
            </w:r>
          </w:p>
        </w:tc>
        <w:tc>
          <w:tcPr>
            <w:tcW w:w="1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(98,564)</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6"/>
                <w:szCs w:val="16"/>
                <w:color w:val="auto"/>
              </w:rPr>
            </w:pPr>
          </w:p>
        </w:tc>
      </w:tr>
      <w:tr>
        <w:trPr>
          <w:trHeight w:val="183"/>
        </w:trPr>
        <w:tc>
          <w:tcPr>
            <w:tcW w:w="6640" w:type="dxa"/>
            <w:vAlign w:val="bottom"/>
            <w:gridSpan w:val="2"/>
          </w:tcPr>
          <w:p>
            <w:pPr>
              <w:spacing w:after="0" w:line="183" w:lineRule="exact"/>
              <w:rPr>
                <w:sz w:val="20"/>
                <w:szCs w:val="20"/>
                <w:color w:val="auto"/>
              </w:rPr>
            </w:pPr>
            <w:r>
              <w:rPr>
                <w:rFonts w:ascii="Arial" w:cs="Arial" w:eastAsia="Arial" w:hAnsi="Arial"/>
                <w:sz w:val="16"/>
                <w:szCs w:val="16"/>
                <w:color w:val="auto"/>
              </w:rPr>
              <w:t>Income tax (expense)</w:t>
            </w:r>
          </w:p>
        </w:tc>
        <w:tc>
          <w:tcPr>
            <w:tcW w:w="14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(1,987,901)</w:t>
            </w:r>
          </w:p>
        </w:tc>
        <w:tc>
          <w:tcPr>
            <w:tcW w:w="10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(1,825,024)</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(1,048,805)</w:t>
            </w:r>
          </w:p>
        </w:tc>
        <w:tc>
          <w:tcPr>
            <w:tcW w:w="100" w:type="dxa"/>
            <w:vAlign w:val="bottom"/>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2025 is (1.1%) (2024: (1.4)%; 2023: (1.1)%).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22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The Company did not recognize the tax benefit of the losses incurred in previous years for Switzerland.</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Group has tax loss carry-forwards as of December 31, 2025 of approximately €643.0 million (2024: €449.8 million; 2023: €325.0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1700" w:type="dxa"/>
            <w:vAlign w:val="bottom"/>
          </w:tcPr>
          <w:p>
            <w:pPr>
              <w:jc w:val="right"/>
              <w:ind w:right="424"/>
              <w:spacing w:after="0"/>
              <w:rPr>
                <w:sz w:val="20"/>
                <w:szCs w:val="20"/>
                <w:color w:val="auto"/>
              </w:rPr>
            </w:pPr>
            <w:r>
              <w:rPr>
                <w:rFonts w:ascii="Arial" w:cs="Arial" w:eastAsia="Arial" w:hAnsi="Arial"/>
                <w:sz w:val="13"/>
                <w:szCs w:val="13"/>
                <w:b w:val="1"/>
                <w:bCs w:val="1"/>
                <w:color w:val="auto"/>
              </w:rPr>
              <w:t>Switzerland</w:t>
            </w:r>
          </w:p>
        </w:tc>
        <w:tc>
          <w:tcPr>
            <w:tcW w:w="220" w:type="dxa"/>
            <w:vAlign w:val="bottom"/>
          </w:tcPr>
          <w:p>
            <w:pPr>
              <w:spacing w:after="0"/>
              <w:rPr>
                <w:sz w:val="13"/>
                <w:szCs w:val="13"/>
                <w:color w:val="auto"/>
              </w:rPr>
            </w:pPr>
          </w:p>
        </w:tc>
        <w:tc>
          <w:tcPr>
            <w:tcW w:w="1700" w:type="dxa"/>
            <w:vAlign w:val="bottom"/>
          </w:tcPr>
          <w:p>
            <w:pPr>
              <w:jc w:val="right"/>
              <w:ind w:right="404"/>
              <w:spacing w:after="0"/>
              <w:rPr>
                <w:sz w:val="20"/>
                <w:szCs w:val="20"/>
                <w:color w:val="auto"/>
              </w:rPr>
            </w:pPr>
            <w:r>
              <w:rPr>
                <w:rFonts w:ascii="Arial" w:cs="Arial" w:eastAsia="Arial" w:hAnsi="Arial"/>
                <w:sz w:val="13"/>
                <w:szCs w:val="13"/>
                <w:b w:val="1"/>
                <w:bCs w:val="1"/>
                <w:color w:val="auto"/>
              </w:rPr>
              <w:t>Netherlands</w:t>
            </w:r>
          </w:p>
        </w:tc>
        <w:tc>
          <w:tcPr>
            <w:tcW w:w="240" w:type="dxa"/>
            <w:vAlign w:val="bottom"/>
          </w:tcPr>
          <w:p>
            <w:pPr>
              <w:spacing w:after="0"/>
              <w:rPr>
                <w:sz w:val="13"/>
                <w:szCs w:val="13"/>
                <w:color w:val="auto"/>
              </w:rPr>
            </w:pPr>
          </w:p>
        </w:tc>
        <w:tc>
          <w:tcPr>
            <w:tcW w:w="1820" w:type="dxa"/>
            <w:vAlign w:val="bottom"/>
            <w:gridSpan w:val="2"/>
          </w:tcPr>
          <w:p>
            <w:pPr>
              <w:ind w:left="520"/>
              <w:spacing w:after="0"/>
              <w:rPr>
                <w:sz w:val="20"/>
                <w:szCs w:val="20"/>
                <w:color w:val="auto"/>
              </w:rPr>
            </w:pPr>
            <w:r>
              <w:rPr>
                <w:rFonts w:ascii="Arial" w:cs="Arial" w:eastAsia="Arial" w:hAnsi="Arial"/>
                <w:sz w:val="13"/>
                <w:szCs w:val="13"/>
                <w:b w:val="1"/>
                <w:bCs w:val="1"/>
                <w:color w:val="auto"/>
              </w:rPr>
              <w:t>Tax losses</w:t>
            </w:r>
          </w:p>
        </w:tc>
        <w:tc>
          <w:tcPr>
            <w:tcW w:w="0" w:type="dxa"/>
            <w:vAlign w:val="bottom"/>
          </w:tcPr>
          <w:p>
            <w:pPr>
              <w:spacing w:after="0"/>
              <w:rPr>
                <w:sz w:val="1"/>
                <w:szCs w:val="1"/>
                <w:color w:val="auto"/>
              </w:rPr>
            </w:pPr>
          </w:p>
        </w:tc>
      </w:tr>
      <w:tr>
        <w:trPr>
          <w:trHeight w:val="129"/>
        </w:trPr>
        <w:tc>
          <w:tcPr>
            <w:tcW w:w="5560" w:type="dxa"/>
            <w:vAlign w:val="bottom"/>
            <w:gridSpan w:val="2"/>
            <w:vMerge w:val="continue"/>
          </w:tcPr>
          <w:p>
            <w:pPr>
              <w:spacing w:after="0"/>
              <w:rPr>
                <w:sz w:val="11"/>
                <w:szCs w:val="11"/>
                <w:color w:val="auto"/>
              </w:rPr>
            </w:pPr>
          </w:p>
        </w:tc>
        <w:tc>
          <w:tcPr>
            <w:tcW w:w="1700" w:type="dxa"/>
            <w:vAlign w:val="bottom"/>
            <w:tcBorders>
              <w:top w:val="single" w:sz="8" w:color="auto"/>
            </w:tcBorders>
          </w:tcPr>
          <w:p>
            <w:pPr>
              <w:jc w:val="right"/>
              <w:ind w:right="744"/>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700" w:type="dxa"/>
            <w:vAlign w:val="bottom"/>
            <w:tcBorders>
              <w:top w:val="single" w:sz="8" w:color="auto"/>
            </w:tcBorders>
          </w:tcPr>
          <w:p>
            <w:pPr>
              <w:jc w:val="right"/>
              <w:ind w:right="744"/>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700" w:type="dxa"/>
            <w:vAlign w:val="bottom"/>
            <w:tcBorders>
              <w:top w:val="single" w:sz="8" w:color="auto"/>
            </w:tcBorders>
          </w:tcPr>
          <w:p>
            <w:pPr>
              <w:jc w:val="right"/>
              <w:ind w:right="751"/>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2027</w:t>
            </w: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103,161,581</w:t>
            </w: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103,161,581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spacing w:after="0"/>
              <w:rPr>
                <w:sz w:val="20"/>
                <w:szCs w:val="20"/>
                <w:color w:val="auto"/>
              </w:rPr>
            </w:pPr>
            <w:r>
              <w:rPr>
                <w:rFonts w:ascii="Arial" w:cs="Arial" w:eastAsia="Arial" w:hAnsi="Arial"/>
                <w:sz w:val="16"/>
                <w:szCs w:val="16"/>
                <w:color w:val="auto"/>
              </w:rPr>
              <w:t>2028</w:t>
            </w:r>
          </w:p>
        </w:tc>
        <w:tc>
          <w:tcPr>
            <w:tcW w:w="1700" w:type="dxa"/>
            <w:vAlign w:val="bottom"/>
          </w:tcPr>
          <w:p>
            <w:pPr>
              <w:jc w:val="right"/>
              <w:spacing w:after="0"/>
              <w:rPr>
                <w:sz w:val="20"/>
                <w:szCs w:val="20"/>
                <w:color w:val="auto"/>
              </w:rPr>
            </w:pPr>
            <w:r>
              <w:rPr>
                <w:rFonts w:ascii="Arial" w:cs="Arial" w:eastAsia="Arial" w:hAnsi="Arial"/>
                <w:sz w:val="16"/>
                <w:szCs w:val="16"/>
                <w:color w:val="auto"/>
              </w:rPr>
              <w:t>74,599,050</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74,599,050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2029</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108,339,820</w:t>
            </w:r>
          </w:p>
        </w:tc>
        <w:tc>
          <w:tcPr>
            <w:tcW w:w="22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108,339,820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spacing w:after="0"/>
              <w:rPr>
                <w:sz w:val="20"/>
                <w:szCs w:val="20"/>
                <w:color w:val="auto"/>
              </w:rPr>
            </w:pPr>
            <w:r>
              <w:rPr>
                <w:rFonts w:ascii="Arial" w:cs="Arial" w:eastAsia="Arial" w:hAnsi="Arial"/>
                <w:sz w:val="16"/>
                <w:szCs w:val="16"/>
                <w:color w:val="auto"/>
              </w:rPr>
              <w:t>2030</w:t>
            </w:r>
          </w:p>
        </w:tc>
        <w:tc>
          <w:tcPr>
            <w:tcW w:w="1700" w:type="dxa"/>
            <w:vAlign w:val="bottom"/>
          </w:tcPr>
          <w:p>
            <w:pPr>
              <w:jc w:val="right"/>
              <w:spacing w:after="0"/>
              <w:rPr>
                <w:sz w:val="20"/>
                <w:szCs w:val="20"/>
                <w:color w:val="auto"/>
              </w:rPr>
            </w:pPr>
            <w:r>
              <w:rPr>
                <w:rFonts w:ascii="Arial" w:cs="Arial" w:eastAsia="Arial" w:hAnsi="Arial"/>
                <w:sz w:val="16"/>
                <w:szCs w:val="16"/>
                <w:color w:val="auto"/>
              </w:rPr>
              <w:t>323,032,344</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323,032,344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Unlimited</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33,892,029</w:t>
            </w:r>
          </w:p>
        </w:tc>
        <w:tc>
          <w:tcPr>
            <w:tcW w:w="240" w:type="dxa"/>
            <w:vAlign w:val="bottom"/>
            <w:tcBorders>
              <w:bottom w:val="single" w:sz="8" w:color="CFF0FC"/>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33,892,029</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gridSpan w:val="2"/>
          </w:tcPr>
          <w:p>
            <w:pPr>
              <w:spacing w:after="0" w:line="183" w:lineRule="exact"/>
              <w:rPr>
                <w:sz w:val="20"/>
                <w:szCs w:val="20"/>
                <w:color w:val="auto"/>
              </w:rPr>
            </w:pPr>
            <w:r>
              <w:rPr>
                <w:rFonts w:ascii="Arial" w:cs="Arial" w:eastAsia="Arial" w:hAnsi="Arial"/>
                <w:sz w:val="16"/>
                <w:szCs w:val="16"/>
                <w:color w:val="auto"/>
              </w:rPr>
              <w:t>Total carry-forward losses</w:t>
            </w: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609,132,795</w:t>
            </w:r>
          </w:p>
        </w:tc>
        <w:tc>
          <w:tcPr>
            <w:tcW w:w="19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33,892,029</w:t>
            </w:r>
          </w:p>
        </w:tc>
        <w:tc>
          <w:tcPr>
            <w:tcW w:w="1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643,024,824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-153670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The net deferred tax asset balance at December 31, 2025, includes €0.9 million of deductible temporary differences that have been recognized as deferred tax asset and relates to personnel bonus accruals that are expected to reverse within 12 months after the balance sheet date.</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106</w:t>
      </w:r>
      <w:r>
        <w:rPr>
          <w:rFonts w:ascii="Arial" w:cs="Arial" w:eastAsia="Arial" w:hAnsi="Arial"/>
          <w:sz w:val="16"/>
          <w:szCs w:val="16"/>
          <w:b w:val="1"/>
          <w:bCs w:val="1"/>
          <w:u w:val="single" w:color="auto"/>
          <w:color w:val="0000FF"/>
        </w:rPr>
        <w:t>Table of Contents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R&amp;D</w:t>
            </w:r>
          </w:p>
        </w:tc>
        <w:tc>
          <w:tcPr>
            <w:tcW w:w="240" w:type="dxa"/>
            <w:vAlign w:val="bottom"/>
          </w:tcPr>
          <w:p>
            <w:pPr>
              <w:spacing w:after="0"/>
              <w:rPr>
                <w:sz w:val="13"/>
                <w:szCs w:val="13"/>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4"/>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provisions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00" w:type="dxa"/>
            <w:vAlign w:val="bottom"/>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expenses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20" w:type="dxa"/>
            <w:vAlign w:val="bottom"/>
            <w:gridSpan w:val="2"/>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At January 1, 2025</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1,901,513</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626,838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2,528,351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46,119</w:t>
            </w:r>
          </w:p>
        </w:tc>
        <w:tc>
          <w:tcPr>
            <w:tcW w:w="24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483,602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(90,558)</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(90,558)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At December 31, 2025</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1,947,632</w:t>
            </w: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1,019,882</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2,967,514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6"/>
                <w:szCs w:val="16"/>
                <w:b w:val="1"/>
                <w:bCs w:val="1"/>
                <w:color w:val="auto"/>
              </w:rPr>
              <w:t>Deferred tax liability</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At January 1, 2025</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(152,491)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(1,901,513)</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(2,054,004)</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 Profit or (loss)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2,388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(46,120)</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(43,732)</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At December 31, 2025</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(132,529)</w:t>
            </w: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(1,947,633)</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(2,080,162)</w:t>
            </w:r>
          </w:p>
        </w:tc>
        <w:tc>
          <w:tcPr>
            <w:tcW w:w="0" w:type="dxa"/>
            <w:vAlign w:val="bottom"/>
          </w:tcPr>
          <w:p>
            <w:pPr>
              <w:spacing w:after="0"/>
              <w:rPr>
                <w:sz w:val="1"/>
                <w:szCs w:val="1"/>
                <w:color w:val="auto"/>
              </w:rPr>
            </w:pPr>
          </w:p>
        </w:tc>
      </w:tr>
      <w:tr>
        <w:trPr>
          <w:trHeight w:val="183"/>
        </w:trPr>
        <w:tc>
          <w:tcPr>
            <w:tcW w:w="58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2025</w:t>
            </w: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887,352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R&amp;D</w:t>
            </w:r>
          </w:p>
        </w:tc>
        <w:tc>
          <w:tcPr>
            <w:tcW w:w="240" w:type="dxa"/>
            <w:vAlign w:val="bottom"/>
          </w:tcPr>
          <w:p>
            <w:pPr>
              <w:spacing w:after="0" w:line="20" w:lineRule="exact"/>
              <w:rPr>
                <w:sz w:val="1"/>
                <w:szCs w:val="1"/>
                <w:color w:val="auto"/>
              </w:rPr>
            </w:pPr>
          </w:p>
        </w:tc>
        <w:tc>
          <w:tcPr>
            <w:tcW w:w="13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4"/>
              </w:rPr>
              <w:t>Fixed</w:t>
            </w:r>
          </w:p>
        </w:tc>
        <w:tc>
          <w:tcPr>
            <w:tcW w:w="1360" w:type="dxa"/>
            <w:vAlign w:val="bottom"/>
            <w:gridSpan w:val="2"/>
            <w:vMerge w:val="restart"/>
          </w:tcPr>
          <w:p>
            <w:pPr>
              <w:jc w:val="center"/>
              <w:ind w:right="240"/>
              <w:spacing w:after="0" w:line="138" w:lineRule="exact"/>
              <w:rPr>
                <w:sz w:val="20"/>
                <w:szCs w:val="20"/>
                <w:color w:val="auto"/>
              </w:rPr>
            </w:pPr>
            <w:r>
              <w:rPr>
                <w:rFonts w:ascii="Arial" w:cs="Arial" w:eastAsia="Arial" w:hAnsi="Arial"/>
                <w:sz w:val="13"/>
                <w:szCs w:val="13"/>
                <w:b w:val="1"/>
                <w:bCs w:val="1"/>
                <w:color w:val="auto"/>
                <w:w w:val="96"/>
              </w:rPr>
              <w:t>Non-current</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expenses</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220" w:type="dxa"/>
            <w:vAlign w:val="bottom"/>
            <w:gridSpan w:val="2"/>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1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60" w:type="dxa"/>
            <w:vAlign w:val="bottom"/>
            <w:gridSpan w:val="3"/>
            <w:shd w:val="clear" w:color="auto" w:fill="CFF0FC"/>
          </w:tcPr>
          <w:p>
            <w:pPr>
              <w:jc w:val="center"/>
              <w:ind w:right="2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center"/>
              <w:ind w:right="120"/>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At January 1, 2024</w:t>
            </w:r>
          </w:p>
        </w:tc>
        <w:tc>
          <w:tcPr>
            <w:tcW w:w="1180" w:type="dxa"/>
            <w:vAlign w:val="bottom"/>
          </w:tcPr>
          <w:p>
            <w:pPr>
              <w:jc w:val="right"/>
              <w:spacing w:after="0"/>
              <w:rPr>
                <w:sz w:val="20"/>
                <w:szCs w:val="20"/>
                <w:color w:val="auto"/>
              </w:rPr>
            </w:pPr>
            <w:r>
              <w:rPr>
                <w:rFonts w:ascii="Arial" w:cs="Arial" w:eastAsia="Arial" w:hAnsi="Arial"/>
                <w:sz w:val="16"/>
                <w:szCs w:val="16"/>
                <w:color w:val="auto"/>
              </w:rPr>
              <w:t>1,754,773</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400,200</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2,154,973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 Profit</w:t>
            </w:r>
          </w:p>
        </w:tc>
        <w:tc>
          <w:tcPr>
            <w:tcW w:w="1180" w:type="dxa"/>
            <w:vAlign w:val="bottom"/>
          </w:tcPr>
          <w:p>
            <w:pPr>
              <w:jc w:val="right"/>
              <w:spacing w:after="0"/>
              <w:rPr>
                <w:sz w:val="20"/>
                <w:szCs w:val="20"/>
                <w:color w:val="auto"/>
              </w:rPr>
            </w:pPr>
            <w:r>
              <w:rPr>
                <w:rFonts w:ascii="Arial" w:cs="Arial" w:eastAsia="Arial" w:hAnsi="Arial"/>
                <w:sz w:val="16"/>
                <w:szCs w:val="16"/>
                <w:color w:val="auto"/>
              </w:rPr>
              <w:t>146,740</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193,381</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1,901,513</w:t>
            </w:r>
          </w:p>
        </w:tc>
        <w:tc>
          <w:tcPr>
            <w:tcW w:w="240" w:type="dxa"/>
            <w:vAlign w:val="bottom"/>
          </w:tcPr>
          <w:p>
            <w:pPr>
              <w:spacing w:after="0"/>
              <w:rPr>
                <w:sz w:val="15"/>
                <w:szCs w:val="15"/>
                <w:color w:val="auto"/>
              </w:rPr>
            </w:pPr>
          </w:p>
        </w:tc>
        <w:tc>
          <w:tcPr>
            <w:tcW w:w="1360" w:type="dxa"/>
            <w:vAlign w:val="bottom"/>
            <w:gridSpan w:val="3"/>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626,838</w:t>
            </w:r>
          </w:p>
        </w:tc>
        <w:tc>
          <w:tcPr>
            <w:tcW w:w="2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2,528,351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At January 1, 2024</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(1,754,773)</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(1,767,444)</w:t>
            </w: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Arial" w:cs="Arial" w:eastAsia="Arial" w:hAnsi="Arial"/>
                <w:sz w:val="16"/>
                <w:szCs w:val="16"/>
                <w:color w:val="auto"/>
              </w:rPr>
              <w: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(133,628)</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(146,740)</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(280,368)</w:t>
            </w: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(6,192)</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tcPr>
          <w:p>
            <w:pPr>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(152,491)</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(1,901,513)</w:t>
            </w:r>
          </w:p>
        </w:tc>
        <w:tc>
          <w:tcPr>
            <w:tcW w:w="13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(2,054,004)</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1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474,347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-2862580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-2862580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-2862580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-2039620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-2039620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-1019810</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-1019810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-1019810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-281940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total unrecognized deferred tax assets from temporary differences amounts to €9.2 million as at December 31, 2025 (2024: €10.4 million, 2023: €11.0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3"/>
                <w:szCs w:val="13"/>
                <w:b w:val="1"/>
                <w:bCs w:val="1"/>
                <w:color w:val="auto"/>
                <w:w w:val="88"/>
              </w:rPr>
              <w:t>Notes</w:t>
            </w:r>
          </w:p>
        </w:tc>
        <w:tc>
          <w:tcPr>
            <w:tcW w:w="120" w:type="dxa"/>
            <w:vAlign w:val="bottom"/>
          </w:tcPr>
          <w:p>
            <w:pPr>
              <w:spacing w:after="0"/>
              <w:rPr>
                <w:sz w:val="13"/>
                <w:szCs w:val="13"/>
                <w:color w:val="auto"/>
              </w:rPr>
            </w:pPr>
          </w:p>
        </w:tc>
        <w:tc>
          <w:tcPr>
            <w:tcW w:w="1160" w:type="dxa"/>
            <w:vAlign w:val="bottom"/>
            <w:gridSpan w:val="2"/>
          </w:tcPr>
          <w:p>
            <w:pPr>
              <w:jc w:val="center"/>
              <w:ind w:left="127"/>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980" w:type="dxa"/>
            <w:vAlign w:val="bottom"/>
            <w:gridSpan w:val="2"/>
          </w:tcPr>
          <w:p>
            <w:pPr>
              <w:ind w:left="1140"/>
              <w:spacing w:after="0" w:line="129" w:lineRule="exact"/>
              <w:rPr>
                <w:sz w:val="20"/>
                <w:szCs w:val="20"/>
                <w:color w:val="auto"/>
              </w:rPr>
            </w:pPr>
            <w:r>
              <w:rPr>
                <w:rFonts w:ascii="Arial" w:cs="Arial" w:eastAsia="Arial" w:hAnsi="Arial"/>
                <w:sz w:val="13"/>
                <w:szCs w:val="13"/>
                <w:b w:val="1"/>
                <w:bCs w:val="1"/>
                <w:color w:val="auto"/>
              </w:rPr>
              <w:t>Net book value</w:t>
            </w: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2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667,000</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223,678</w:t>
            </w:r>
          </w:p>
        </w:tc>
        <w:tc>
          <w:tcPr>
            <w:tcW w:w="10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164,620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538,085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w:t>
            </w:r>
          </w:p>
        </w:tc>
        <w:tc>
          <w:tcPr>
            <w:tcW w:w="2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(189,150)</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(94,763)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gridSpan w:val="3"/>
          </w:tcPr>
          <w:p>
            <w:pPr>
              <w:ind w:left="1140"/>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642,470</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667,000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20" w:type="dxa"/>
            <w:vAlign w:val="bottom"/>
            <w:gridSpan w:val="3"/>
            <w:vMerge w:val="restart"/>
          </w:tcPr>
          <w:p>
            <w:pPr>
              <w:ind w:left="1140"/>
              <w:spacing w:after="0"/>
              <w:rPr>
                <w:sz w:val="20"/>
                <w:szCs w:val="20"/>
                <w:color w:val="auto"/>
              </w:rPr>
            </w:pPr>
            <w:r>
              <w:rPr>
                <w:rFonts w:ascii="Arial" w:cs="Arial" w:eastAsia="Arial" w:hAnsi="Arial"/>
                <w:sz w:val="13"/>
                <w:szCs w:val="13"/>
                <w:b w:val="1"/>
                <w:bCs w:val="1"/>
                <w:color w:val="auto"/>
              </w:rPr>
              <w:t>Cumulative depreciation</w:t>
            </w:r>
          </w:p>
        </w:tc>
        <w:tc>
          <w:tcPr>
            <w:tcW w:w="120" w:type="dxa"/>
            <w:vAlign w:val="bottom"/>
          </w:tcPr>
          <w:p>
            <w:pPr>
              <w:spacing w:after="0"/>
              <w:rPr>
                <w:sz w:val="24"/>
                <w:szCs w:val="24"/>
                <w:color w:val="auto"/>
              </w:rPr>
            </w:pPr>
          </w:p>
        </w:tc>
        <w:tc>
          <w:tcPr>
            <w:tcW w:w="1160" w:type="dxa"/>
            <w:vAlign w:val="bottom"/>
            <w:gridSpan w:val="2"/>
          </w:tcPr>
          <w:p>
            <w:pPr>
              <w:jc w:val="center"/>
              <w:ind w:left="127"/>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2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(220,136)</w:t>
            </w: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(125,373)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(189,150)</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(94,763)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628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(409,286)</w:t>
            </w:r>
          </w:p>
        </w:tc>
        <w:tc>
          <w:tcPr>
            <w:tcW w:w="12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(220,136)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20" w:type="dxa"/>
            <w:vAlign w:val="bottom"/>
            <w:gridSpan w:val="3"/>
            <w:vMerge w:val="restart"/>
          </w:tcPr>
          <w:p>
            <w:pPr>
              <w:ind w:left="1140"/>
              <w:spacing w:after="0"/>
              <w:rPr>
                <w:sz w:val="20"/>
                <w:szCs w:val="20"/>
                <w:color w:val="auto"/>
              </w:rPr>
            </w:pPr>
            <w:r>
              <w:rPr>
                <w:rFonts w:ascii="Arial" w:cs="Arial" w:eastAsia="Arial" w:hAnsi="Arial"/>
                <w:sz w:val="13"/>
                <w:szCs w:val="13"/>
                <w:b w:val="1"/>
                <w:bCs w:val="1"/>
                <w:color w:val="auto"/>
              </w:rPr>
              <w:t>Cumulative Costs</w:t>
            </w:r>
          </w:p>
        </w:tc>
        <w:tc>
          <w:tcPr>
            <w:tcW w:w="120" w:type="dxa"/>
            <w:vAlign w:val="bottom"/>
          </w:tcPr>
          <w:p>
            <w:pPr>
              <w:spacing w:after="0"/>
              <w:rPr>
                <w:sz w:val="24"/>
                <w:szCs w:val="24"/>
                <w:color w:val="auto"/>
              </w:rPr>
            </w:pPr>
          </w:p>
        </w:tc>
        <w:tc>
          <w:tcPr>
            <w:tcW w:w="1160" w:type="dxa"/>
            <w:vAlign w:val="bottom"/>
            <w:gridSpan w:val="2"/>
          </w:tcPr>
          <w:p>
            <w:pPr>
              <w:jc w:val="center"/>
              <w:ind w:left="127"/>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2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887,136</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349,051</w:t>
            </w:r>
          </w:p>
        </w:tc>
        <w:tc>
          <w:tcPr>
            <w:tcW w:w="10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164,620</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538,085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28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1,051,756</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887,136</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6980" w:type="dxa"/>
            <w:vAlign w:val="bottom"/>
            <w:gridSpan w:val="2"/>
          </w:tcPr>
          <w:p>
            <w:pPr>
              <w:ind w:left="5480"/>
              <w:spacing w:after="0"/>
              <w:rPr>
                <w:sz w:val="20"/>
                <w:szCs w:val="20"/>
                <w:color w:val="auto"/>
              </w:rPr>
            </w:pPr>
            <w:r>
              <w:rPr>
                <w:rFonts w:ascii="Arial" w:cs="Arial" w:eastAsia="Arial" w:hAnsi="Arial"/>
                <w:sz w:val="16"/>
                <w:szCs w:val="16"/>
                <w:color w:val="auto"/>
              </w:rPr>
              <w:t>106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1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-2605405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-2605405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-1773555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-1756410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-1773555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-1756410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-1070610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-1053465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-1070610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-1053465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107</w:t>
      </w: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During 2025, the Group acquired assets with a cost of €0.2 million (2024: €0.5 million; 2023: €0.09 million). The investments in property, plant and equipment, relate to equipment, tools and installations.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5"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540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2025</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464"/>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r>
      <w:tr>
        <w:trPr>
          <w:trHeight w:val="128"/>
        </w:trPr>
        <w:tc>
          <w:tcPr>
            <w:tcW w:w="3780" w:type="dxa"/>
            <w:vAlign w:val="bottom"/>
          </w:tcPr>
          <w:p>
            <w:pPr>
              <w:spacing w:after="0"/>
              <w:rPr>
                <w:sz w:val="11"/>
                <w:szCs w:val="11"/>
                <w:color w:val="auto"/>
              </w:rPr>
            </w:pPr>
          </w:p>
        </w:tc>
        <w:tc>
          <w:tcPr>
            <w:tcW w:w="1620" w:type="dxa"/>
            <w:vAlign w:val="bottom"/>
            <w:tcBorders>
              <w:top w:val="single" w:sz="8" w:color="auto"/>
              <w:bottom w:val="single" w:sz="8" w:color="auto"/>
            </w:tcBorders>
          </w:tcPr>
          <w:p>
            <w:pPr>
              <w:jc w:val="center"/>
              <w:ind w:left="817"/>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r>
      <w:tr>
        <w:trPr>
          <w:trHeight w:val="183"/>
        </w:trPr>
        <w:tc>
          <w:tcPr>
            <w:tcW w:w="54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813,842</w:t>
            </w:r>
          </w:p>
        </w:tc>
        <w:tc>
          <w:tcPr>
            <w:tcW w:w="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231,893</w:t>
            </w:r>
          </w:p>
        </w:tc>
        <w:tc>
          <w:tcPr>
            <w:tcW w:w="60" w:type="dxa"/>
            <w:vAlign w:val="bottom"/>
            <w:shd w:val="clear" w:color="auto" w:fill="CFF0FC"/>
          </w:tcPr>
          <w:p>
            <w:pPr>
              <w:spacing w:after="0"/>
              <w:rPr>
                <w:sz w:val="15"/>
                <w:szCs w:val="15"/>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Additions / (Disposals)</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756,748</w:t>
            </w:r>
          </w:p>
        </w:tc>
        <w:tc>
          <w:tcPr>
            <w:tcW w:w="60" w:type="dxa"/>
            <w:vAlign w:val="bottom"/>
          </w:tcPr>
          <w:p>
            <w:pPr>
              <w:spacing w:after="0"/>
              <w:rPr>
                <w:sz w:val="16"/>
                <w:szCs w:val="16"/>
                <w:color w:val="auto"/>
              </w:rPr>
            </w:pPr>
          </w:p>
        </w:tc>
      </w:tr>
      <w:tr>
        <w:trPr>
          <w:trHeight w:val="189"/>
        </w:trPr>
        <w:tc>
          <w:tcPr>
            <w:tcW w:w="5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Remeasurement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251,427</w:t>
            </w:r>
          </w:p>
        </w:tc>
        <w:tc>
          <w:tcPr>
            <w:tcW w:w="8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Depreciation charges</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(229,203)</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(174,799)</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Impact of transaction of foreign currency</w:t>
            </w:r>
          </w:p>
        </w:tc>
        <w:tc>
          <w:tcPr>
            <w:tcW w:w="16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(79,115)</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183"/>
        </w:trPr>
        <w:tc>
          <w:tcPr>
            <w:tcW w:w="37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As of December 31,</w:t>
            </w:r>
          </w:p>
        </w:tc>
        <w:tc>
          <w:tcPr>
            <w:tcW w:w="16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756,951</w:t>
            </w:r>
          </w:p>
        </w:tc>
        <w:tc>
          <w:tcPr>
            <w:tcW w:w="80" w:type="dxa"/>
            <w:vAlign w:val="bottom"/>
            <w:tcBorders>
              <w:top w:val="single" w:sz="8" w:color="CFF0FC"/>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813,842</w:t>
            </w:r>
          </w:p>
        </w:tc>
        <w:tc>
          <w:tcPr>
            <w:tcW w:w="60" w:type="dxa"/>
            <w:vAlign w:val="bottom"/>
            <w:tcBorders>
              <w:top w:val="single" w:sz="8" w:color="CFF0FC"/>
            </w:tcBorders>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-153670</wp:posOffset>
            </wp:positionV>
            <wp:extent cx="431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2025:</w:t>
      </w:r>
    </w:p>
    <w:p>
      <w:pPr>
        <w:spacing w:after="0" w:line="200" w:lineRule="exact"/>
        <w:rPr>
          <w:sz w:val="20"/>
          <w:szCs w:val="20"/>
          <w:color w:val="auto"/>
        </w:rPr>
      </w:pP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3"/>
                <w:szCs w:val="13"/>
                <w:color w:val="auto"/>
              </w:rPr>
            </w:pPr>
          </w:p>
        </w:tc>
        <w:tc>
          <w:tcPr>
            <w:tcW w:w="146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Office leases</w:t>
            </w:r>
          </w:p>
        </w:tc>
        <w:tc>
          <w:tcPr>
            <w:tcW w:w="15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(776,798)</w:t>
            </w:r>
          </w:p>
        </w:tc>
        <w:tc>
          <w:tcPr>
            <w:tcW w:w="15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(861,470)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Total lease liability</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(776,798)</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(861,470)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(200,213)</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(222,427)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70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Portion</w:t>
            </w:r>
          </w:p>
        </w:tc>
        <w:tc>
          <w:tcPr>
            <w:tcW w:w="156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(576,585)</w:t>
            </w:r>
          </w:p>
        </w:tc>
        <w:tc>
          <w:tcPr>
            <w:tcW w:w="158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(639,043)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-136525</wp:posOffset>
            </wp:positionV>
            <wp:extent cx="1028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-136525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119380</wp:posOffset>
            </wp:positionV>
            <wp:extent cx="6858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8" w:lineRule="exact"/>
        <w:rPr>
          <w:sz w:val="20"/>
          <w:szCs w:val="20"/>
          <w:color w:val="auto"/>
        </w:rPr>
      </w:pPr>
    </w:p>
    <w:tbl>
      <w:tblPr>
        <w:tblLayout w:type="fixed"/>
        <w:tblInd w:w="2320" w:type="dxa"/>
        <w:tblCellMar>
          <w:top w:w="0" w:type="dxa"/>
          <w:left w:w="0" w:type="dxa"/>
          <w:bottom w:w="0" w:type="dxa"/>
          <w:right w:w="0" w:type="dxa"/>
        </w:tblCellMar>
      </w:tblPr>
      <w:tr>
        <w:trPr>
          <w:trHeight w:val="176"/>
        </w:trPr>
        <w:tc>
          <w:tcPr>
            <w:tcW w:w="4700" w:type="dxa"/>
            <w:vAlign w:val="bottom"/>
          </w:tcPr>
          <w:p>
            <w:pPr>
              <w:spacing w:after="0" w:line="175" w:lineRule="exact"/>
              <w:rPr>
                <w:sz w:val="20"/>
                <w:szCs w:val="20"/>
                <w:color w:val="auto"/>
              </w:rPr>
            </w:pPr>
            <w:r>
              <w:rPr>
                <w:rFonts w:ascii="Arial" w:cs="Arial" w:eastAsia="Arial" w:hAnsi="Arial"/>
                <w:sz w:val="16"/>
                <w:szCs w:val="16"/>
                <w:b w:val="1"/>
                <w:bCs w:val="1"/>
                <w:color w:val="auto"/>
              </w:rPr>
              <w:t>As at December 31,</w:t>
            </w:r>
          </w:p>
        </w:tc>
        <w:tc>
          <w:tcPr>
            <w:tcW w:w="18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r>
      <w:tr>
        <w:trPr>
          <w:trHeight w:val="183"/>
        </w:trPr>
        <w:tc>
          <w:tcPr>
            <w:tcW w:w="47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Less than 1 year</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310,692</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jc w:val="right"/>
              <w:spacing w:after="0"/>
              <w:rPr>
                <w:sz w:val="20"/>
                <w:szCs w:val="20"/>
                <w:color w:val="auto"/>
              </w:rPr>
            </w:pPr>
            <w:r>
              <w:rPr>
                <w:rFonts w:ascii="Arial" w:cs="Arial" w:eastAsia="Arial" w:hAnsi="Arial"/>
                <w:sz w:val="16"/>
                <w:szCs w:val="16"/>
                <w:color w:val="auto"/>
              </w:rPr>
              <w:t>1-5 Years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894,952</w:t>
            </w:r>
          </w:p>
        </w:tc>
        <w:tc>
          <w:tcPr>
            <w:tcW w:w="80" w:type="dxa"/>
            <w:vAlign w:val="bottom"/>
          </w:tcPr>
          <w:p>
            <w:pPr>
              <w:spacing w:after="0"/>
              <w:rPr>
                <w:sz w:val="16"/>
                <w:szCs w:val="16"/>
                <w:color w:val="auto"/>
              </w:rPr>
            </w:pPr>
          </w:p>
        </w:tc>
      </w:tr>
      <w:tr>
        <w:trPr>
          <w:trHeight w:val="183"/>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payments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1,205,644</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Less: imputed interest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428,846</w:t>
            </w:r>
          </w:p>
        </w:tc>
        <w:tc>
          <w:tcPr>
            <w:tcW w:w="80" w:type="dxa"/>
            <w:vAlign w:val="bottom"/>
          </w:tcPr>
          <w:p>
            <w:pPr>
              <w:spacing w:after="0"/>
              <w:rPr>
                <w:sz w:val="16"/>
                <w:szCs w:val="16"/>
                <w:color w:val="auto"/>
              </w:rPr>
            </w:pPr>
          </w:p>
        </w:tc>
      </w:tr>
      <w:tr>
        <w:trPr>
          <w:trHeight w:val="183"/>
        </w:trPr>
        <w:tc>
          <w:tcPr>
            <w:tcW w:w="4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Total lease liabilities</w:t>
            </w:r>
          </w:p>
        </w:tc>
        <w:tc>
          <w:tcPr>
            <w:tcW w:w="184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776,798</w:t>
            </w:r>
          </w:p>
        </w:tc>
        <w:tc>
          <w:tcPr>
            <w:tcW w:w="80" w:type="dxa"/>
            <w:vAlign w:val="bottom"/>
            <w:shd w:val="clear" w:color="auto" w:fill="CFF0FF"/>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Current lease liabilities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200,213</w:t>
            </w:r>
          </w:p>
        </w:tc>
        <w:tc>
          <w:tcPr>
            <w:tcW w:w="80" w:type="dxa"/>
            <w:vAlign w:val="bottom"/>
          </w:tcPr>
          <w:p>
            <w:pPr>
              <w:spacing w:after="0"/>
              <w:rPr>
                <w:sz w:val="16"/>
                <w:szCs w:val="16"/>
                <w:color w:val="auto"/>
              </w:rPr>
            </w:pPr>
          </w:p>
        </w:tc>
      </w:tr>
      <w:tr>
        <w:trPr>
          <w:trHeight w:val="223"/>
        </w:trPr>
        <w:tc>
          <w:tcPr>
            <w:tcW w:w="4700" w:type="dxa"/>
            <w:vAlign w:val="bottom"/>
            <w:tcBorders>
              <w:bottom w:val="single" w:sz="8" w:color="CFF0FF"/>
            </w:tcBorders>
            <w:shd w:val="clear" w:color="auto" w:fill="CFF0FF"/>
          </w:tcPr>
          <w:p>
            <w:pPr>
              <w:spacing w:after="0" w:line="169" w:lineRule="exact"/>
              <w:rPr>
                <w:sz w:val="20"/>
                <w:szCs w:val="20"/>
                <w:color w:val="auto"/>
              </w:rPr>
            </w:pPr>
            <w:r>
              <w:rPr>
                <w:rFonts w:ascii="Arial" w:cs="Arial" w:eastAsia="Arial" w:hAnsi="Arial"/>
                <w:sz w:val="16"/>
                <w:szCs w:val="16"/>
                <w:color w:val="auto"/>
              </w:rPr>
              <w:t>Long-term lease liabilities</w:t>
            </w:r>
          </w:p>
        </w:tc>
        <w:tc>
          <w:tcPr>
            <w:tcW w:w="184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576,585</w:t>
            </w:r>
          </w:p>
        </w:tc>
        <w:tc>
          <w:tcPr>
            <w:tcW w:w="8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Office leases consist of (i) a lease that was renewed on December 1, 2025 with an expiration date of November 30, 2028 for offices in Leiden, the Netherlands. The lease has a lease term of three years, and (ii) a new lease agreement entered into on October 16, 2024 with an expiration date of December 31, 2029, for office space in Lexington, Cranberry One Suite 400, United States of America, or the U.S. The lease has a lease term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twelve months ended December 31, 2025 and 2024.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December 31, 2025.</w:t>
      </w:r>
    </w:p>
    <w:p>
      <w:pPr>
        <w:spacing w:after="0" w:line="26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 xml:space="preserve">Depreciation expense of </w:t>
      </w:r>
      <w:r>
        <w:rPr>
          <w:rFonts w:ascii="Arial" w:cs="Arial" w:eastAsia="Arial" w:hAnsi="Arial"/>
          <w:sz w:val="16"/>
          <w:szCs w:val="16"/>
          <w:color w:val="252525"/>
        </w:rPr>
        <w:t>€0.2 million</w:t>
      </w:r>
      <w:r>
        <w:rPr>
          <w:rFonts w:ascii="Arial" w:cs="Arial" w:eastAsia="Arial" w:hAnsi="Arial"/>
          <w:sz w:val="16"/>
          <w:szCs w:val="16"/>
          <w:color w:val="auto"/>
        </w:rPr>
        <w:t xml:space="preserve"> for each of the years ended December 31, 2025, 2024 and 2023, was incurred and is reflected in general and administrative expenses as determined by the underlying activities.</w:t>
      </w:r>
    </w:p>
    <w:p>
      <w:pPr>
        <w:spacing w:after="0" w:line="16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in 2025 was €0.3 </w:t>
      </w:r>
      <w:r>
        <w:rPr>
          <w:rFonts w:ascii="Arial" w:cs="Arial" w:eastAsia="Arial" w:hAnsi="Arial"/>
          <w:sz w:val="16"/>
          <w:szCs w:val="16"/>
          <w:color w:val="000000"/>
        </w:rPr>
        <w:t>million</w:t>
      </w:r>
      <w:r>
        <w:rPr>
          <w:rFonts w:ascii="Arial" w:cs="Arial" w:eastAsia="Arial" w:hAnsi="Arial"/>
          <w:sz w:val="16"/>
          <w:szCs w:val="16"/>
          <w:color w:val="252525"/>
        </w:rPr>
        <w:t xml:space="preserve">, (2024: €0.4 million; 2023: €0.2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ectPr>
          <w:pgSz w:w="11900" w:h="16838" w:orient="portrait"/>
          <w:cols w:equalWidth="0" w:num="1">
            <w:col w:w="11140"/>
          </w:cols>
          <w:pgMar w:left="320" w:top="77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108</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2025, 2024 and 2023 were €0.2 million in each of the years.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4"/>
          </w:tcPr>
          <w:p>
            <w:pPr>
              <w:jc w:val="center"/>
              <w:ind w:left="146"/>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Borders>
              <w:top w:val="single" w:sz="8" w:color="auto"/>
              <w:bottom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 tax receivable</w:t>
            </w:r>
          </w:p>
        </w:tc>
        <w:tc>
          <w:tcPr>
            <w:tcW w:w="166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3,994,384</w:t>
            </w:r>
          </w:p>
        </w:tc>
        <w:tc>
          <w:tcPr>
            <w:tcW w:w="1800" w:type="dxa"/>
            <w:vAlign w:val="bottom"/>
            <w:gridSpan w:val="5"/>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2,486,680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VAT receivables</w:t>
            </w: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556,739</w:t>
            </w:r>
          </w:p>
        </w:tc>
        <w:tc>
          <w:tcPr>
            <w:tcW w:w="220" w:type="dxa"/>
            <w:vAlign w:val="bottom"/>
            <w:gridSpan w:val="3"/>
          </w:tcPr>
          <w:p>
            <w:pPr>
              <w:spacing w:after="0"/>
              <w:rPr>
                <w:sz w:val="16"/>
                <w:szCs w:val="16"/>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457,834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4,551,123</w:t>
            </w:r>
          </w:p>
        </w:tc>
        <w:tc>
          <w:tcPr>
            <w:tcW w:w="1800" w:type="dxa"/>
            <w:vAlign w:val="bottom"/>
            <w:gridSpan w:val="5"/>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2,944,514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768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11. Other current assets</w:t>
            </w:r>
          </w:p>
        </w:tc>
        <w:tc>
          <w:tcPr>
            <w:tcW w:w="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68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tcPr>
          <w:p>
            <w:pPr>
              <w:jc w:val="center"/>
              <w:ind w:left="146"/>
              <w:spacing w:after="0"/>
              <w:rPr>
                <w:sz w:val="20"/>
                <w:szCs w:val="20"/>
                <w:color w:val="auto"/>
              </w:rPr>
            </w:pPr>
            <w:r>
              <w:rPr>
                <w:rFonts w:ascii="Arial" w:cs="Arial" w:eastAsia="Arial" w:hAnsi="Arial"/>
                <w:sz w:val="13"/>
                <w:szCs w:val="13"/>
                <w:b w:val="1"/>
                <w:bCs w:val="1"/>
                <w:color w:val="auto"/>
                <w:w w:val="96"/>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Borders>
              <w:top w:val="single" w:sz="8" w:color="auto"/>
              <w:bottom w:val="single" w:sz="8" w:color="auto"/>
            </w:tcBorders>
            <w:gridSpan w:val="2"/>
          </w:tcPr>
          <w:p>
            <w:pPr>
              <w:jc w:val="center"/>
              <w:ind w:right="2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Prepayments</w:t>
            </w:r>
          </w:p>
        </w:tc>
        <w:tc>
          <w:tcPr>
            <w:tcW w:w="1660" w:type="dxa"/>
            <w:vAlign w:val="bottom"/>
            <w:gridSpan w:val="4"/>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2,938,215</w:t>
            </w:r>
          </w:p>
        </w:tc>
        <w:tc>
          <w:tcPr>
            <w:tcW w:w="1800" w:type="dxa"/>
            <w:vAlign w:val="bottom"/>
            <w:gridSpan w:val="5"/>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5,747,025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6"/>
                <w:szCs w:val="16"/>
                <w:color w:val="auto"/>
              </w:rPr>
              <w:t>2,938,215</w:t>
            </w:r>
          </w:p>
        </w:tc>
        <w:tc>
          <w:tcPr>
            <w:tcW w:w="1800" w:type="dxa"/>
            <w:vAlign w:val="bottom"/>
            <w:gridSpan w:val="5"/>
          </w:tcPr>
          <w:p>
            <w:pPr>
              <w:jc w:val="right"/>
              <w:ind w:right="20"/>
              <w:spacing w:after="0"/>
              <w:rPr>
                <w:sz w:val="20"/>
                <w:szCs w:val="20"/>
                <w:color w:val="auto"/>
              </w:rPr>
            </w:pPr>
            <w:r>
              <w:rPr>
                <w:rFonts w:ascii="Arial" w:cs="Arial" w:eastAsia="Arial" w:hAnsi="Arial"/>
                <w:sz w:val="16"/>
                <w:szCs w:val="16"/>
                <w:color w:val="auto"/>
              </w:rPr>
              <w:t>5,747,025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0"/>
        </w:trPr>
        <w:tc>
          <w:tcPr>
            <w:tcW w:w="7680" w:type="dxa"/>
            <w:vAlign w:val="bottom"/>
          </w:tcPr>
          <w:p>
            <w:pPr>
              <w:spacing w:after="0"/>
              <w:rPr>
                <w:sz w:val="20"/>
                <w:szCs w:val="20"/>
                <w:color w:val="auto"/>
              </w:rPr>
            </w:pPr>
            <w:r>
              <w:rPr>
                <w:rFonts w:ascii="Arial" w:cs="Arial" w:eastAsia="Arial" w:hAnsi="Arial"/>
                <w:sz w:val="16"/>
                <w:szCs w:val="16"/>
                <w:b w:val="1"/>
                <w:bCs w:val="1"/>
                <w:color w:val="auto"/>
              </w:rPr>
              <w:t>12. Cash and cash equivalents</w:t>
            </w:r>
          </w:p>
        </w:tc>
        <w:tc>
          <w:tcPr>
            <w:tcW w:w="1620" w:type="dxa"/>
            <w:vAlign w:val="bottom"/>
            <w:gridSpan w:val="2"/>
            <w:vMerge w:val="restart"/>
          </w:tcPr>
          <w:p>
            <w:pPr>
              <w:jc w:val="right"/>
              <w:ind w:right="593"/>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vMerge w:val="restart"/>
          </w:tcPr>
          <w:p>
            <w:pPr>
              <w:jc w:val="right"/>
              <w:ind w:right="593"/>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291,678,888</w:t>
            </w:r>
          </w:p>
        </w:tc>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160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280,728,037</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164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291,678,888</w:t>
            </w:r>
          </w:p>
        </w:tc>
        <w:tc>
          <w:tcPr>
            <w:tcW w:w="20" w:type="dxa"/>
            <w:vAlign w:val="bottom"/>
          </w:tcPr>
          <w:p>
            <w:pPr>
              <w:spacing w:after="0"/>
              <w:rPr>
                <w:sz w:val="15"/>
                <w:szCs w:val="15"/>
                <w:color w:val="auto"/>
              </w:rPr>
            </w:pPr>
          </w:p>
        </w:tc>
        <w:tc>
          <w:tcPr>
            <w:tcW w:w="1800" w:type="dxa"/>
            <w:vAlign w:val="bottom"/>
            <w:gridSpan w:val="5"/>
          </w:tcPr>
          <w:p>
            <w:pPr>
              <w:jc w:val="right"/>
              <w:ind w:right="20"/>
              <w:spacing w:after="0" w:line="183" w:lineRule="exact"/>
              <w:rPr>
                <w:sz w:val="20"/>
                <w:szCs w:val="20"/>
                <w:color w:val="auto"/>
              </w:rPr>
            </w:pPr>
            <w:r>
              <w:rPr>
                <w:rFonts w:ascii="Arial" w:cs="Arial" w:eastAsia="Arial" w:hAnsi="Arial"/>
                <w:sz w:val="16"/>
                <w:szCs w:val="16"/>
                <w:color w:val="auto"/>
              </w:rPr>
              <w:t>280,728,037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-2357120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-2339340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Cash and cash equivalents consist of bank balances and money market funds and are not subject to any restriction. Of the cash on hand, €0.1 million relates to guarantees. Cash and cash equivalent balances as of December 31, 2025 include investments in money market funds of €232.5 million at fair market value. (Cost: €241.2 million) (December 31, 2024: Euro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December 31, 2025 and 2024, the Company’s authorized share capital amounted to € 14.1 million divided into 117,500,000 ordinary shares, each with a nominal value of (€0.12). (2023: authorized share capital amounted to € 14.1 million divided into 58,750,000 ordinary shares and 58,750,000 preferred shares, each with a nominal value of (€0.12).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total number of issued and fully paid shares was 65,210,590 (2024: 54,379,491; 2023: 52,290,212).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issued share capital totaled €7.8 million (2024: €6.5 million; 2023: €6.3 million).</w:t>
      </w:r>
    </w:p>
    <w:p>
      <w:pPr>
        <w:spacing w:after="0" w:line="1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December 31, 2025, the Company has sold a total of 593,927 ordinary shares under the sales agreement generating total net proceeds of €9.3 million ($9.8 million), after deducting €0.3 million ($0.3 million), which was payable to Leerink Partners as commission in respect of such sales.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109</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6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160"/>
        <w:spacing w:after="0" w:line="247"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1540" w:type="dxa"/>
            <w:vAlign w:val="bottom"/>
            <w:tcBorders>
              <w:bottom w:val="single" w:sz="8" w:color="auto"/>
            </w:tcBorders>
          </w:tcPr>
          <w:p>
            <w:pPr>
              <w:jc w:val="right"/>
              <w:ind w:right="544"/>
              <w:spacing w:after="0" w:line="159"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400" w:type="dxa"/>
            <w:vAlign w:val="bottom"/>
            <w:tcBorders>
              <w:bottom w:val="single" w:sz="8" w:color="auto"/>
            </w:tcBorders>
          </w:tcPr>
          <w:p>
            <w:pPr>
              <w:jc w:val="right"/>
              <w:ind w:right="464"/>
              <w:spacing w:after="0" w:line="159"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4680" w:type="dxa"/>
            <w:vAlign w:val="bottom"/>
          </w:tcPr>
          <w:p>
            <w:pPr>
              <w:spacing w:after="0"/>
              <w:rPr>
                <w:sz w:val="13"/>
                <w:szCs w:val="13"/>
                <w:color w:val="auto"/>
              </w:rPr>
            </w:pPr>
          </w:p>
        </w:tc>
        <w:tc>
          <w:tcPr>
            <w:tcW w:w="1540" w:type="dxa"/>
            <w:vAlign w:val="bottom"/>
          </w:tcPr>
          <w:p>
            <w:pPr>
              <w:jc w:val="right"/>
              <w:ind w:right="84"/>
              <w:spacing w:after="0" w:line="155"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r>
      <w:tr>
        <w:trPr>
          <w:trHeight w:val="18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65,210,590</w:t>
            </w:r>
          </w:p>
        </w:tc>
        <w:tc>
          <w:tcPr>
            <w:tcW w:w="1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54,379,491</w:t>
            </w:r>
          </w:p>
        </w:tc>
      </w:tr>
      <w:tr>
        <w:trPr>
          <w:trHeight w:val="20"/>
        </w:trPr>
        <w:tc>
          <w:tcPr>
            <w:tcW w:w="468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46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65,210,590</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54,379,491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-144145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-144145</wp:posOffset>
            </wp:positionV>
            <wp:extent cx="431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2025, 2024 or 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40" w:type="dxa"/>
            <w:vAlign w:val="bottom"/>
          </w:tcPr>
          <w:p>
            <w:pPr>
              <w:spacing w:after="0"/>
              <w:rPr>
                <w:sz w:val="13"/>
                <w:szCs w:val="13"/>
                <w:color w:val="auto"/>
              </w:rPr>
            </w:pPr>
          </w:p>
        </w:tc>
        <w:tc>
          <w:tcPr>
            <w:tcW w:w="1300" w:type="dxa"/>
            <w:vAlign w:val="bottom"/>
          </w:tcPr>
          <w:p>
            <w:pPr>
              <w:jc w:val="right"/>
              <w:ind w:right="448"/>
              <w:spacing w:after="0"/>
              <w:rPr>
                <w:sz w:val="20"/>
                <w:szCs w:val="20"/>
                <w:color w:val="auto"/>
              </w:rPr>
            </w:pPr>
            <w:r>
              <w:rPr>
                <w:rFonts w:ascii="Arial" w:cs="Arial" w:eastAsia="Arial" w:hAnsi="Arial"/>
                <w:sz w:val="13"/>
                <w:szCs w:val="13"/>
                <w:b w:val="1"/>
                <w:bCs w:val="1"/>
                <w:color w:val="auto"/>
              </w:rPr>
              <w:t>2025</w:t>
            </w:r>
          </w:p>
        </w:tc>
        <w:tc>
          <w:tcPr>
            <w:tcW w:w="1900" w:type="dxa"/>
            <w:vAlign w:val="bottom"/>
            <w:gridSpan w:val="2"/>
          </w:tcPr>
          <w:p>
            <w:pPr>
              <w:jc w:val="right"/>
              <w:ind w:right="628"/>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28"/>
        </w:trPr>
        <w:tc>
          <w:tcPr>
            <w:tcW w:w="794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1"/>
                <w:szCs w:val="11"/>
                <w:color w:val="auto"/>
              </w:rPr>
            </w:pPr>
          </w:p>
        </w:tc>
        <w:tc>
          <w:tcPr>
            <w:tcW w:w="16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payables</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5,114,186</w:t>
            </w:r>
          </w:p>
        </w:tc>
        <w:tc>
          <w:tcPr>
            <w:tcW w:w="19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5"/>
                <w:szCs w:val="15"/>
                <w:color w:val="auto"/>
              </w:rPr>
            </w:pPr>
          </w:p>
        </w:tc>
      </w:tr>
      <w:tr>
        <w:trPr>
          <w:trHeight w:val="183"/>
        </w:trPr>
        <w:tc>
          <w:tcPr>
            <w:tcW w:w="794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5,114,186</w:t>
            </w:r>
          </w:p>
        </w:tc>
        <w:tc>
          <w:tcPr>
            <w:tcW w:w="240" w:type="dxa"/>
            <w:vAlign w:val="bottom"/>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110</w:t>
      </w: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940" w:type="dxa"/>
            <w:vAlign w:val="bottom"/>
          </w:tcPr>
          <w:p>
            <w:pPr>
              <w:spacing w:after="0"/>
              <w:rPr>
                <w:sz w:val="13"/>
                <w:szCs w:val="13"/>
                <w:color w:val="auto"/>
              </w:rPr>
            </w:pPr>
          </w:p>
        </w:tc>
        <w:tc>
          <w:tcPr>
            <w:tcW w:w="13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2025</w:t>
            </w:r>
          </w:p>
        </w:tc>
        <w:tc>
          <w:tcPr>
            <w:tcW w:w="1880" w:type="dxa"/>
            <w:vAlign w:val="bottom"/>
            <w:gridSpan w:val="2"/>
          </w:tcPr>
          <w:p>
            <w:pPr>
              <w:jc w:val="right"/>
              <w:ind w:right="625"/>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28"/>
        </w:trPr>
        <w:tc>
          <w:tcPr>
            <w:tcW w:w="794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6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Consulting, professional and audit liability</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1,226,432</w:t>
            </w:r>
          </w:p>
        </w:tc>
        <w:tc>
          <w:tcPr>
            <w:tcW w:w="18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729,162</w:t>
            </w:r>
          </w:p>
        </w:tc>
        <w:tc>
          <w:tcPr>
            <w:tcW w:w="100" w:type="dxa"/>
            <w:vAlign w:val="bottom"/>
            <w:shd w:val="clear" w:color="auto" w:fill="CFF0FC"/>
          </w:tcPr>
          <w:p>
            <w:pPr>
              <w:spacing w:after="0"/>
              <w:rPr>
                <w:sz w:val="15"/>
                <w:szCs w:val="15"/>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Clinical accrued liabilities</w:t>
            </w:r>
          </w:p>
        </w:tc>
        <w:tc>
          <w:tcPr>
            <w:tcW w:w="1320" w:type="dxa"/>
            <w:vAlign w:val="bottom"/>
          </w:tcPr>
          <w:p>
            <w:pPr>
              <w:jc w:val="right"/>
              <w:spacing w:after="0"/>
              <w:rPr>
                <w:sz w:val="20"/>
                <w:szCs w:val="20"/>
                <w:color w:val="auto"/>
              </w:rPr>
            </w:pPr>
            <w:r>
              <w:rPr>
                <w:rFonts w:ascii="Arial" w:cs="Arial" w:eastAsia="Arial" w:hAnsi="Arial"/>
                <w:sz w:val="16"/>
                <w:szCs w:val="16"/>
                <w:color w:val="auto"/>
              </w:rPr>
              <w:t>5,806,522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5,221,572</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Manufacturing accrued liabilities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2,879,222</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1,767,291</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Nonclinical accrued liabilities</w:t>
            </w:r>
          </w:p>
        </w:tc>
        <w:tc>
          <w:tcPr>
            <w:tcW w:w="1320" w:type="dxa"/>
            <w:vAlign w:val="bottom"/>
          </w:tcPr>
          <w:p>
            <w:pPr>
              <w:jc w:val="right"/>
              <w:spacing w:after="0"/>
              <w:rPr>
                <w:sz w:val="20"/>
                <w:szCs w:val="20"/>
                <w:color w:val="auto"/>
              </w:rPr>
            </w:pPr>
            <w:r>
              <w:rPr>
                <w:rFonts w:ascii="Arial" w:cs="Arial" w:eastAsia="Arial" w:hAnsi="Arial"/>
                <w:sz w:val="16"/>
                <w:szCs w:val="16"/>
                <w:color w:val="auto"/>
              </w:rPr>
              <w:t>527,935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445,238</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 accruals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11,432,445</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7,827,392</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1,475,916</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1,597,752</w:t>
            </w:r>
          </w:p>
        </w:tc>
        <w:tc>
          <w:tcPr>
            <w:tcW w:w="100" w:type="dxa"/>
            <w:vAlign w:val="bottom"/>
          </w:tcPr>
          <w:p>
            <w:pPr>
              <w:spacing w:after="0"/>
              <w:rPr>
                <w:sz w:val="16"/>
                <w:szCs w:val="16"/>
                <w:color w:val="auto"/>
              </w:rPr>
            </w:pPr>
          </w:p>
        </w:tc>
      </w:tr>
      <w:tr>
        <w:trPr>
          <w:trHeight w:val="223"/>
        </w:trPr>
        <w:tc>
          <w:tcPr>
            <w:tcW w:w="79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23,348,472</w:t>
            </w:r>
          </w:p>
        </w:tc>
        <w:tc>
          <w:tcPr>
            <w:tcW w:w="2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17,588,407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Group’s principal financial instruments consist of cash and cash equivalents and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The Company received the proceeds from financings in U.S. dollars. The Company seeks to minimize exchange rate risk in cash positions by taking into considerations market conditions and keeping currencies in which it expects to incur the majority of its near future expenses and make related payments from those positions.</w:t>
      </w:r>
    </w:p>
    <w:p>
      <w:pPr>
        <w:spacing w:after="0" w:line="7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For the year ended December 31, 2025 the Group recognized a foreign exchange loss of €10.3 million (2024: foreign exchange gain of €7.9 million; 2023: foreign exchange loss of €3.1 million). The foreign exchange losses and gains were primarily related to the U.S. dollar cash holding of the Company's subsidiary and the associated weakening and strengthening of the U.S. dollar compared to euro during the year.</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At December 31, 2025, 2024 and 2023, if the U.S. dollar had weakened / strengthened by 10% against the euro with all other variables held constant, the cash balance would have been €18.1 million, €13.5 million and €18.8 million higher / lower, respectively.</w:t>
      </w:r>
    </w:p>
    <w:p>
      <w:pPr>
        <w:spacing w:after="0" w:line="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2025, 2024 and 2023, if the CHF had weakened / strengthened by 10% against the euro with all other variables held constant, the cash balance would have been €3.8 million, €5.4 million and €7.1 million higher / lower, respectively.</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Group keeps an amount of €72.2 million, $213.1 million and CHF35.5 million in its bank accounts as of December 31, 2025 (2024: $139.8 million, €92.4 million and CHF50.6 million).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€291.7 million of cash on the balance sheet at December 31, 2025. The Group implemented its treasury strategy to monitor the impact of changes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2025 and 2024 are the carrying amounts as illustrated in Note 12. There are no financial assets past due date or impaired.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2025, cash consists of cash deposited with four financial institutions and account balances may exceed insured limits.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111</w:t>
      </w:r>
      <w:r>
        <w:rPr>
          <w:rFonts w:ascii="Arial" w:cs="Arial" w:eastAsia="Arial" w:hAnsi="Arial"/>
          <w:sz w:val="16"/>
          <w:szCs w:val="16"/>
          <w:b w:val="1"/>
          <w:bCs w:val="1"/>
          <w:u w:val="single" w:color="auto"/>
          <w:color w:val="0000FF"/>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Company has cash and cash equivalents of €291.7 million.</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0</wp:posOffset>
            </wp:positionV>
            <wp:extent cx="102870" cy="2051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20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6"/>
        </w:trPr>
        <w:tc>
          <w:tcPr>
            <w:tcW w:w="6600" w:type="dxa"/>
            <w:vAlign w:val="bottom"/>
          </w:tcPr>
          <w:p>
            <w:pPr>
              <w:spacing w:after="0"/>
              <w:rPr>
                <w:sz w:val="10"/>
                <w:szCs w:val="10"/>
                <w:color w:val="auto"/>
              </w:rPr>
            </w:pPr>
          </w:p>
        </w:tc>
        <w:tc>
          <w:tcPr>
            <w:tcW w:w="13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10"/>
                <w:szCs w:val="10"/>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00" w:type="dxa"/>
            <w:vAlign w:val="bottom"/>
            <w:vMerge w:val="continue"/>
          </w:tcPr>
          <w:p>
            <w:pPr>
              <w:spacing w:after="0"/>
              <w:rPr>
                <w:sz w:val="11"/>
                <w:szCs w:val="11"/>
                <w:color w:val="auto"/>
              </w:rPr>
            </w:pPr>
          </w:p>
        </w:tc>
        <w:tc>
          <w:tcPr>
            <w:tcW w:w="1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4FC"/>
          </w:tcPr>
          <w:p>
            <w:pPr>
              <w:jc w:val="right"/>
              <w:spacing w:after="0" w:line="183" w:lineRule="exact"/>
              <w:rPr>
                <w:sz w:val="20"/>
                <w:szCs w:val="20"/>
                <w:color w:val="auto"/>
              </w:rPr>
            </w:pPr>
            <w:r>
              <w:rPr>
                <w:rFonts w:ascii="Arial" w:cs="Arial" w:eastAsia="Arial" w:hAnsi="Arial"/>
                <w:sz w:val="16"/>
                <w:szCs w:val="16"/>
                <w:color w:val="auto"/>
              </w:rPr>
              <w:t>5,114,186</w:t>
            </w:r>
          </w:p>
        </w:tc>
        <w:tc>
          <w:tcPr>
            <w:tcW w:w="100" w:type="dxa"/>
            <w:vAlign w:val="bottom"/>
            <w:shd w:val="clear" w:color="auto" w:fill="CFF4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5,114,186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23,348,472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23,348,472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310,692</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894,952</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1,205,644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3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10"/>
                <w:szCs w:val="10"/>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2024</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Trade and other payables</w:t>
            </w:r>
          </w:p>
        </w:tc>
        <w:tc>
          <w:tcPr>
            <w:tcW w:w="1360" w:type="dxa"/>
            <w:vAlign w:val="bottom"/>
            <w:shd w:val="clear" w:color="auto" w:fill="CFF4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4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17,588,407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354,902</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1,006,729</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1,361,631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346"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7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112</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August 1, 2024 a total of 75,000 stock options were granted to a member of key management with an exercise price of $15.94 per share with a final exercise date of August 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12, 2025, a total of 75,000 stock options were granted to members of the Board of Directors with an exercise price of €14.74 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March 12, 2025, a total of 555,000 stock options were granted to members of key management with an exercise price of €14.74 per share with a final exercise date of March 11, 2035,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 of loss and comprehensive loss. The share-based payment expense recorded for the years ended December 31, 2025, 2024 and 2023 that related to Options, amounted to €11.2 million, €10.5 million and €6.2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tbl>
      <w:tblPr>
        <w:tblLayout w:type="fixed"/>
        <w:tblInd w:w="580" w:type="dxa"/>
        <w:tblCellMar>
          <w:top w:w="0" w:type="dxa"/>
          <w:left w:w="0" w:type="dxa"/>
          <w:bottom w:w="0" w:type="dxa"/>
          <w:right w:w="0" w:type="dxa"/>
        </w:tblCellMar>
      </w:tblPr>
      <w:tr>
        <w:trPr>
          <w:trHeight w:val="136"/>
        </w:trPr>
        <w:tc>
          <w:tcPr>
            <w:tcW w:w="2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2025</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2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52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22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3,869,188</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12.36</w:t>
            </w:r>
          </w:p>
        </w:tc>
        <w:tc>
          <w:tcPr>
            <w:tcW w:w="1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3,830,652</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9.46</w:t>
            </w:r>
          </w:p>
        </w:tc>
        <w:tc>
          <w:tcPr>
            <w:tcW w:w="1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3,181,538</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9.69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630,000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860,000</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936,000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(408,989)</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5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(514,356)</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5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(241,825)</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20"/>
                <w:szCs w:val="20"/>
                <w:color w:val="auto"/>
              </w:rPr>
            </w:pPr>
            <w:r>
              <w:rPr>
                <w:rFonts w:ascii="Arial" w:cs="Arial" w:eastAsia="Arial" w:hAnsi="Arial"/>
                <w:sz w:val="16"/>
                <w:szCs w:val="16"/>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(139,167)</w:t>
            </w:r>
          </w:p>
        </w:tc>
        <w:tc>
          <w:tcPr>
            <w:tcW w:w="1000" w:type="dxa"/>
            <w:vAlign w:val="bottom"/>
          </w:tcPr>
          <w:p>
            <w:pPr>
              <w:jc w:val="right"/>
              <w:spacing w:after="0"/>
              <w:rPr>
                <w:sz w:val="20"/>
                <w:szCs w:val="20"/>
                <w:color w:val="auto"/>
              </w:rPr>
            </w:pPr>
            <w:r>
              <w:rPr>
                <w:rFonts w:ascii="Arial" w:cs="Arial" w:eastAsia="Arial" w:hAnsi="Arial"/>
                <w:sz w:val="16"/>
                <w:szCs w:val="16"/>
                <w:color w:val="auto"/>
              </w:rPr>
              <w:t>16.61</w:t>
            </w:r>
          </w:p>
        </w:tc>
        <w:tc>
          <w:tcPr>
            <w:tcW w:w="1520" w:type="dxa"/>
            <w:vAlign w:val="bottom"/>
            <w:gridSpan w:val="3"/>
          </w:tcPr>
          <w:p>
            <w:pPr>
              <w:jc w:val="right"/>
              <w:ind w:right="160"/>
              <w:spacing w:after="0"/>
              <w:rPr>
                <w:sz w:val="20"/>
                <w:szCs w:val="20"/>
                <w:color w:val="auto"/>
              </w:rPr>
            </w:pPr>
            <w:r>
              <w:rPr>
                <w:rFonts w:ascii="Arial" w:cs="Arial" w:eastAsia="Arial" w:hAnsi="Arial"/>
                <w:sz w:val="16"/>
                <w:szCs w:val="16"/>
                <w:color w:val="auto"/>
              </w:rPr>
              <w:t>(307,108)</w:t>
            </w:r>
          </w:p>
        </w:tc>
        <w:tc>
          <w:tcPr>
            <w:tcW w:w="1080" w:type="dxa"/>
            <w:vAlign w:val="bottom"/>
          </w:tcPr>
          <w:p>
            <w:pPr>
              <w:jc w:val="right"/>
              <w:spacing w:after="0"/>
              <w:rPr>
                <w:sz w:val="20"/>
                <w:szCs w:val="20"/>
                <w:color w:val="auto"/>
              </w:rPr>
            </w:pPr>
            <w:r>
              <w:rPr>
                <w:rFonts w:ascii="Arial" w:cs="Arial" w:eastAsia="Arial" w:hAnsi="Arial"/>
                <w:sz w:val="16"/>
                <w:szCs w:val="16"/>
                <w:color w:val="auto"/>
              </w:rPr>
              <w:t>14.79</w:t>
            </w:r>
          </w:p>
        </w:tc>
        <w:tc>
          <w:tcPr>
            <w:tcW w:w="1520" w:type="dxa"/>
            <w:vAlign w:val="bottom"/>
            <w:gridSpan w:val="3"/>
          </w:tcPr>
          <w:p>
            <w:pPr>
              <w:jc w:val="right"/>
              <w:ind w:right="160"/>
              <w:spacing w:after="0"/>
              <w:rPr>
                <w:sz w:val="20"/>
                <w:szCs w:val="20"/>
                <w:color w:val="auto"/>
              </w:rPr>
            </w:pPr>
            <w:r>
              <w:rPr>
                <w:rFonts w:ascii="Arial" w:cs="Arial" w:eastAsia="Arial" w:hAnsi="Arial"/>
                <w:sz w:val="16"/>
                <w:szCs w:val="16"/>
                <w:color w:val="auto"/>
              </w:rPr>
              <w:t>(45,061)</w:t>
            </w:r>
          </w:p>
        </w:tc>
        <w:tc>
          <w:tcPr>
            <w:tcW w:w="100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3,951,032</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3,869,188</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at December 31, 2025, 2,598,455 stock options were exercisable (2024: 2,416,042; 2023: 1,919,721). The options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2025 had an exercise price in the range of €2.38 to €20.8 (2024: €0.01 to €23.10; 2023: €0.01 to €16.88) and a weighted-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average remaining contractual life of 6.9 years (2024: 6.1 years; 2023: 6.4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total of 408,989 share options were exercised during the period ended December 31, 2025, (2024: 514,356; 2023: 241,825) and had a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€20.09 (2024: €19.34; 2023: €20.08) at the date of exercise.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2024 the Company granted a total of 455,799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2025 amounted to €16.76.</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2024 the Company granted 249,650 RSUs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2024 amounted to €19.75.</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113</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2024 the Company granted 23,335 RSUs to members of the Board of Directors. The RSUs shall vest on the 12-month anniversary of the vesting start date. The weighted-average grant date fair value of the RSUs granted in 2024 amounted to €20.80.</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2025 the Company granted 440,005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weighted-average grant date fair value of the RSUs granted in 2025 amounted to €15.12.</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2025 the Company granted 186,000 RSUs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2025 amounted to €14.78.</w:t>
      </w:r>
    </w:p>
    <w:p>
      <w:pPr>
        <w:spacing w:after="0" w:line="25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2025 the Company granted 25,000 RSUs to members of the Board of Directors. The RSUs shall vest on the 12-month anniversary of the vesting start date. The weighted-average grant date fair value of the RSUs granted in 2025 amounted to €14.82.</w:t>
      </w:r>
    </w:p>
    <w:p>
      <w:pPr>
        <w:spacing w:after="0" w:line="34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2025, 2024 and 2023 that related to RSUs, amounted to €7.8 million, €5.7 million and €4.5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1980" w:type="dxa"/>
            <w:vAlign w:val="bottom"/>
            <w:tcBorders>
              <w:bottom w:val="single" w:sz="8" w:color="auto"/>
            </w:tcBorders>
          </w:tcPr>
          <w:p>
            <w:pPr>
              <w:jc w:val="right"/>
              <w:ind w:right="78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220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2660" w:type="dxa"/>
            <w:vAlign w:val="bottom"/>
            <w:tcBorders>
              <w:bottom w:val="single" w:sz="8" w:color="auto"/>
            </w:tcBorders>
          </w:tcPr>
          <w:p>
            <w:pPr>
              <w:jc w:val="right"/>
              <w:ind w:right="112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28"/>
        </w:trPr>
        <w:tc>
          <w:tcPr>
            <w:tcW w:w="4080" w:type="dxa"/>
            <w:vAlign w:val="bottom"/>
          </w:tcPr>
          <w:p>
            <w:pPr>
              <w:spacing w:after="0"/>
              <w:rPr>
                <w:sz w:val="11"/>
                <w:szCs w:val="11"/>
                <w:color w:val="auto"/>
              </w:rPr>
            </w:pPr>
          </w:p>
        </w:tc>
        <w:tc>
          <w:tcPr>
            <w:tcW w:w="1980" w:type="dxa"/>
            <w:vAlign w:val="bottom"/>
            <w:tcBorders>
              <w:bottom w:val="single" w:sz="8" w:color="auto"/>
            </w:tcBorders>
          </w:tcPr>
          <w:p>
            <w:pPr>
              <w:jc w:val="right"/>
              <w:ind w:right="504"/>
              <w:spacing w:after="0" w:line="129" w:lineRule="exact"/>
              <w:rPr>
                <w:sz w:val="20"/>
                <w:szCs w:val="20"/>
                <w:color w:val="auto"/>
              </w:rPr>
            </w:pPr>
            <w:r>
              <w:rPr>
                <w:rFonts w:ascii="Arial" w:cs="Arial" w:eastAsia="Arial" w:hAnsi="Arial"/>
                <w:sz w:val="13"/>
                <w:szCs w:val="13"/>
                <w:b w:val="1"/>
                <w:bCs w:val="1"/>
                <w:color w:val="auto"/>
              </w:rPr>
              <w:t>Number RSUs</w:t>
            </w:r>
          </w:p>
        </w:tc>
        <w:tc>
          <w:tcPr>
            <w:tcW w:w="120" w:type="dxa"/>
            <w:vAlign w:val="bottom"/>
          </w:tcPr>
          <w:p>
            <w:pPr>
              <w:spacing w:after="0"/>
              <w:rPr>
                <w:sz w:val="11"/>
                <w:szCs w:val="11"/>
                <w:color w:val="auto"/>
              </w:rPr>
            </w:pPr>
          </w:p>
        </w:tc>
        <w:tc>
          <w:tcPr>
            <w:tcW w:w="2200" w:type="dxa"/>
            <w:vAlign w:val="bottom"/>
            <w:tcBorders>
              <w:bottom w:val="single" w:sz="8" w:color="auto"/>
            </w:tcBorders>
          </w:tcPr>
          <w:p>
            <w:pPr>
              <w:jc w:val="right"/>
              <w:ind w:right="60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c>
          <w:tcPr>
            <w:tcW w:w="2660" w:type="dxa"/>
            <w:vAlign w:val="bottom"/>
            <w:tcBorders>
              <w:bottom w:val="single" w:sz="8" w:color="auto"/>
            </w:tcBorders>
          </w:tcPr>
          <w:p>
            <w:pPr>
              <w:jc w:val="right"/>
              <w:ind w:right="84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20" w:type="dxa"/>
            <w:vAlign w:val="bottom"/>
            <w:shd w:val="clear" w:color="auto" w:fill="CFF0FC"/>
          </w:tcPr>
          <w:p>
            <w:pPr>
              <w:spacing w:after="0"/>
              <w:rPr>
                <w:sz w:val="15"/>
                <w:szCs w:val="15"/>
                <w:color w:val="auto"/>
              </w:rPr>
            </w:pPr>
          </w:p>
        </w:tc>
        <w:tc>
          <w:tcPr>
            <w:tcW w:w="2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shd w:val="clear" w:color="auto" w:fill="CFF0FC"/>
          </w:tcPr>
          <w:p>
            <w:pPr>
              <w:spacing w:after="0"/>
              <w:rPr>
                <w:sz w:val="15"/>
                <w:szCs w:val="15"/>
                <w:color w:val="auto"/>
              </w:rPr>
            </w:pPr>
          </w:p>
        </w:tc>
        <w:tc>
          <w:tcPr>
            <w:tcW w:w="2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Granted</w:t>
            </w:r>
          </w:p>
        </w:tc>
        <w:tc>
          <w:tcPr>
            <w:tcW w:w="1980" w:type="dxa"/>
            <w:vAlign w:val="bottom"/>
          </w:tcPr>
          <w:p>
            <w:pPr>
              <w:jc w:val="right"/>
              <w:spacing w:after="0"/>
              <w:rPr>
                <w:sz w:val="20"/>
                <w:szCs w:val="20"/>
                <w:color w:val="auto"/>
              </w:rPr>
            </w:pPr>
            <w:r>
              <w:rPr>
                <w:rFonts w:ascii="Arial" w:cs="Arial" w:eastAsia="Arial" w:hAnsi="Arial"/>
                <w:sz w:val="16"/>
                <w:szCs w:val="16"/>
                <w:color w:val="auto"/>
              </w:rPr>
              <w:t>651,005</w:t>
            </w:r>
          </w:p>
        </w:tc>
        <w:tc>
          <w:tcPr>
            <w:tcW w:w="1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728,784</w:t>
            </w:r>
          </w:p>
        </w:tc>
        <w:tc>
          <w:tcPr>
            <w:tcW w:w="10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528,004</w:t>
            </w:r>
          </w:p>
        </w:tc>
        <w:tc>
          <w:tcPr>
            <w:tcW w:w="100" w:type="dxa"/>
            <w:vAlign w:val="bottom"/>
          </w:tcPr>
          <w:p>
            <w:pPr>
              <w:spacing w:after="0"/>
              <w:rPr>
                <w:sz w:val="16"/>
                <w:szCs w:val="16"/>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Vested and settled</w:t>
            </w: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(471,455)</w:t>
            </w:r>
          </w:p>
        </w:tc>
        <w:tc>
          <w:tcPr>
            <w:tcW w:w="2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(294,238)</w:t>
            </w:r>
          </w:p>
        </w:tc>
        <w:tc>
          <w:tcPr>
            <w:tcW w:w="2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(209,671)</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Forfeited</w:t>
            </w:r>
          </w:p>
        </w:tc>
        <w:tc>
          <w:tcPr>
            <w:tcW w:w="2100" w:type="dxa"/>
            <w:vAlign w:val="bottom"/>
            <w:gridSpan w:val="2"/>
          </w:tcPr>
          <w:p>
            <w:pPr>
              <w:jc w:val="right"/>
              <w:ind w:right="60"/>
              <w:spacing w:after="0"/>
              <w:rPr>
                <w:sz w:val="20"/>
                <w:szCs w:val="20"/>
                <w:color w:val="auto"/>
              </w:rPr>
            </w:pPr>
            <w:r>
              <w:rPr>
                <w:rFonts w:ascii="Arial" w:cs="Arial" w:eastAsia="Arial" w:hAnsi="Arial"/>
                <w:sz w:val="16"/>
                <w:szCs w:val="16"/>
                <w:color w:val="auto"/>
              </w:rPr>
              <w:t>(34,708)</w:t>
            </w:r>
          </w:p>
        </w:tc>
        <w:tc>
          <w:tcPr>
            <w:tcW w:w="2300" w:type="dxa"/>
            <w:vAlign w:val="bottom"/>
            <w:gridSpan w:val="2"/>
          </w:tcPr>
          <w:p>
            <w:pPr>
              <w:jc w:val="right"/>
              <w:ind w:right="40"/>
              <w:spacing w:after="0"/>
              <w:rPr>
                <w:sz w:val="20"/>
                <w:szCs w:val="20"/>
                <w:color w:val="auto"/>
              </w:rPr>
            </w:pPr>
            <w:r>
              <w:rPr>
                <w:rFonts w:ascii="Arial" w:cs="Arial" w:eastAsia="Arial" w:hAnsi="Arial"/>
                <w:sz w:val="16"/>
                <w:szCs w:val="16"/>
                <w:color w:val="auto"/>
              </w:rPr>
              <w:t>(195,570)</w:t>
            </w:r>
          </w:p>
        </w:tc>
        <w:tc>
          <w:tcPr>
            <w:tcW w:w="2760" w:type="dxa"/>
            <w:vAlign w:val="bottom"/>
            <w:gridSpan w:val="2"/>
          </w:tcPr>
          <w:p>
            <w:pPr>
              <w:jc w:val="right"/>
              <w:ind w:right="60"/>
              <w:spacing w:after="0"/>
              <w:rPr>
                <w:sz w:val="20"/>
                <w:szCs w:val="20"/>
                <w:color w:val="auto"/>
              </w:rPr>
            </w:pPr>
            <w:r>
              <w:rPr>
                <w:rFonts w:ascii="Arial" w:cs="Arial" w:eastAsia="Arial" w:hAnsi="Arial"/>
                <w:sz w:val="16"/>
                <w:szCs w:val="16"/>
                <w:color w:val="auto"/>
              </w:rPr>
              <w:t>(80,213)</w:t>
            </w:r>
          </w:p>
        </w:tc>
      </w:tr>
      <w:tr>
        <w:trPr>
          <w:trHeight w:val="223"/>
        </w:trPr>
        <w:tc>
          <w:tcPr>
            <w:tcW w:w="4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Outstanding December 31,</w:t>
            </w:r>
          </w:p>
        </w:tc>
        <w:tc>
          <w:tcPr>
            <w:tcW w:w="1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1,417,632</w:t>
            </w: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Stock Options</w:t>
      </w:r>
    </w:p>
    <w:p>
      <w:pPr>
        <w:spacing w:after="0" w:line="3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November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August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April 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April 11,</w:t>
            </w:r>
          </w:p>
        </w:tc>
        <w:tc>
          <w:tcPr>
            <w:tcW w:w="4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April 11,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6"/>
                <w:szCs w:val="16"/>
                <w:color w:val="auto"/>
              </w:rPr>
            </w:pPr>
          </w:p>
        </w:tc>
        <w:tc>
          <w:tcPr>
            <w:tcW w:w="780" w:type="dxa"/>
            <w:vAlign w:val="bottom"/>
            <w:gridSpan w:val="4"/>
          </w:tcPr>
          <w:p>
            <w:pPr>
              <w:ind w:left="20"/>
              <w:spacing w:after="0"/>
              <w:rPr>
                <w:sz w:val="20"/>
                <w:szCs w:val="20"/>
                <w:color w:val="auto"/>
              </w:rPr>
            </w:pPr>
            <w:r>
              <w:rPr>
                <w:rFonts w:ascii="Arial" w:cs="Arial" w:eastAsia="Arial" w:hAnsi="Arial"/>
                <w:sz w:val="16"/>
                <w:szCs w:val="16"/>
                <w:b w:val="1"/>
                <w:bCs w:val="1"/>
                <w:color w:val="auto"/>
              </w:rPr>
              <w:t>April 6,</w:t>
            </w:r>
          </w:p>
        </w:tc>
      </w:tr>
      <w:tr>
        <w:trPr>
          <w:trHeight w:val="203"/>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1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Number of options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8" w:lineRule="exact"/>
              <w:rPr>
                <w:sz w:val="20"/>
                <w:szCs w:val="20"/>
                <w:color w:val="auto"/>
              </w:rPr>
            </w:pPr>
            <w:r>
              <w:rPr>
                <w:rFonts w:ascii="Arial" w:cs="Arial" w:eastAsia="Arial" w:hAnsi="Arial"/>
                <w:sz w:val="16"/>
                <w:szCs w:val="16"/>
                <w:color w:val="auto"/>
              </w:rPr>
              <w:t>846,0</w:t>
            </w:r>
          </w:p>
        </w:tc>
        <w:tc>
          <w:tcPr>
            <w:tcW w:w="180" w:type="dxa"/>
            <w:vAlign w:val="bottom"/>
            <w:shd w:val="clear" w:color="auto" w:fill="CFF0FC"/>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555,000</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230,000</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485,000</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Fair value of the options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11.86</w:t>
            </w:r>
          </w:p>
        </w:tc>
        <w:tc>
          <w:tcPr>
            <w:tcW w:w="1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12.19</w:t>
            </w:r>
          </w:p>
        </w:tc>
        <w:tc>
          <w:tcPr>
            <w:tcW w:w="14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11.65</w:t>
            </w:r>
          </w:p>
        </w:tc>
        <w:tc>
          <w:tcPr>
            <w:tcW w:w="18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15.41</w:t>
            </w:r>
          </w:p>
        </w:tc>
        <w:tc>
          <w:tcPr>
            <w:tcW w:w="160" w:type="dxa"/>
            <w:vAlign w:val="bottom"/>
          </w:tcPr>
          <w:p>
            <w:pPr>
              <w:spacing w:after="0"/>
              <w:rPr>
                <w:sz w:val="16"/>
                <w:szCs w:val="16"/>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16.83</w:t>
            </w:r>
          </w:p>
        </w:tc>
        <w:tc>
          <w:tcPr>
            <w:tcW w:w="18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16.90</w:t>
            </w:r>
          </w:p>
        </w:tc>
        <w:tc>
          <w:tcPr>
            <w:tcW w:w="16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12.27</w:t>
            </w:r>
          </w:p>
        </w:tc>
        <w:tc>
          <w:tcPr>
            <w:tcW w:w="16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5.92</w:t>
            </w:r>
          </w:p>
        </w:tc>
        <w:tc>
          <w:tcPr>
            <w:tcW w:w="18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Fair value of the ordinary</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6"/>
                <w:szCs w:val="16"/>
                <w:color w:val="auto"/>
              </w:rPr>
              <w:t>shares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1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60" w:type="dxa"/>
            <w:vAlign w:val="bottom"/>
            <w:shd w:val="clear" w:color="auto" w:fill="CFF0FC"/>
          </w:tcPr>
          <w:p>
            <w:pPr>
              <w:spacing w:after="0"/>
              <w:rPr>
                <w:sz w:val="17"/>
                <w:szCs w:val="17"/>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Exercise price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14.43</w:t>
            </w:r>
          </w:p>
        </w:tc>
        <w:tc>
          <w:tcPr>
            <w:tcW w:w="18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18.97</w:t>
            </w:r>
          </w:p>
        </w:tc>
        <w:tc>
          <w:tcPr>
            <w:tcW w:w="160" w:type="dxa"/>
            <w:vAlign w:val="bottom"/>
          </w:tcPr>
          <w:p>
            <w:pPr>
              <w:spacing w:after="0"/>
              <w:rPr>
                <w:sz w:val="16"/>
                <w:szCs w:val="16"/>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20.80</w:t>
            </w:r>
          </w:p>
        </w:tc>
        <w:tc>
          <w:tcPr>
            <w:tcW w:w="16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15.12</w:t>
            </w:r>
          </w:p>
        </w:tc>
        <w:tc>
          <w:tcPr>
            <w:tcW w:w="16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7.36</w:t>
            </w:r>
          </w:p>
        </w:tc>
        <w:tc>
          <w:tcPr>
            <w:tcW w:w="1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Expected life (years)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w:t>
            </w:r>
          </w:p>
        </w:tc>
      </w:tr>
      <w:tr>
        <w:trPr>
          <w:trHeight w:val="215"/>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Expected volatility in 2025, 2024 and 2023, was based on the volatility of the Company and comparable peer group companies. The expected life is based on Management’s best estimate of when the options will be exercised. The risk-free interest rate is based on the yield on US Government bonds. The expected dividend yield is zero considering the stage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ectPr>
          <w:pgSz w:w="11900" w:h="16838" w:orient="portrait"/>
          <w:cols w:equalWidth="0" w:num="1">
            <w:col w:w="11240"/>
          </w:cols>
          <w:pgMar w:left="320" w:top="773"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114</w:t>
      </w:r>
      <w:r>
        <w:rPr>
          <w:rFonts w:ascii="Arial" w:cs="Arial" w:eastAsia="Arial" w:hAnsi="Arial"/>
          <w:sz w:val="16"/>
          <w:szCs w:val="16"/>
          <w:b w:val="1"/>
          <w:bCs w:val="1"/>
          <w:u w:val="single" w:color="auto"/>
          <w:color w:val="0000FF"/>
        </w:rPr>
        <w:t>Table of Contents</w:t>
      </w:r>
    </w:p>
    <w:p>
      <w:pPr>
        <w:spacing w:after="0" w:line="2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Unvested RSU's and outstanding options are not included in the calculation of diluted earnings per share because they are antidilutive in 2025, 2024 and 2023.</w:t>
      </w:r>
    </w:p>
    <w:p>
      <w:pPr>
        <w:spacing w:after="0" w:line="34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Basic and diluted loss per share</w:t>
      </w:r>
    </w:p>
    <w:p>
      <w:pPr>
        <w:spacing w:after="0" w:line="18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20" w:type="dxa"/>
            <w:vAlign w:val="bottom"/>
            <w:vMerge w:val="restart"/>
          </w:tcPr>
          <w:p>
            <w:pPr>
              <w:jc w:val="right"/>
              <w:ind w:right="446"/>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Year Ended December 31,</w:t>
            </w:r>
          </w:p>
        </w:tc>
        <w:tc>
          <w:tcPr>
            <w:tcW w:w="124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jc w:val="right"/>
              <w:ind w:right="648"/>
              <w:spacing w:after="0" w:line="135"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5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(175,699,397)</w:t>
            </w:r>
          </w:p>
        </w:tc>
        <w:tc>
          <w:tcPr>
            <w:tcW w:w="18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(134,221,527)</w:t>
            </w:r>
          </w:p>
        </w:tc>
        <w:tc>
          <w:tcPr>
            <w:tcW w:w="13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(100,875,068)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320" w:type="dxa"/>
            <w:vAlign w:val="bottom"/>
          </w:tcPr>
          <w:p>
            <w:pPr>
              <w:jc w:val="right"/>
              <w:spacing w:after="0"/>
              <w:rPr>
                <w:sz w:val="20"/>
                <w:szCs w:val="20"/>
                <w:color w:val="auto"/>
              </w:rPr>
            </w:pPr>
            <w:r>
              <w:rPr>
                <w:rFonts w:ascii="Arial" w:cs="Arial" w:eastAsia="Arial" w:hAnsi="Arial"/>
                <w:sz w:val="16"/>
                <w:szCs w:val="16"/>
                <w:color w:val="auto"/>
              </w:rPr>
              <w:t>59,159,247</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54,020,549</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38,391,654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(2.97)</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(2.48)</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 2023, payments to Charité CRO with respect to this service contract amounted to €0.5 million.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440" w:type="dxa"/>
            <w:vAlign w:val="bottom"/>
          </w:tcPr>
          <w:p>
            <w:pPr>
              <w:jc w:val="right"/>
              <w:ind w:right="505"/>
              <w:spacing w:after="0"/>
              <w:rPr>
                <w:sz w:val="20"/>
                <w:szCs w:val="20"/>
                <w:color w:val="auto"/>
              </w:rPr>
            </w:pPr>
            <w:r>
              <w:rPr>
                <w:rFonts w:ascii="Arial" w:cs="Arial" w:eastAsia="Arial" w:hAnsi="Arial"/>
                <w:sz w:val="13"/>
                <w:szCs w:val="13"/>
                <w:b w:val="1"/>
                <w:bCs w:val="1"/>
                <w:color w:val="auto"/>
              </w:rPr>
              <w:t>2025</w:t>
            </w:r>
          </w:p>
        </w:tc>
        <w:tc>
          <w:tcPr>
            <w:tcW w:w="136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2024</w:t>
            </w:r>
          </w:p>
        </w:tc>
        <w:tc>
          <w:tcPr>
            <w:tcW w:w="128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4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4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Short term employee benefits</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5,393,637</w:t>
            </w:r>
          </w:p>
        </w:tc>
        <w:tc>
          <w:tcPr>
            <w:tcW w:w="136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5,291,290</w:t>
            </w:r>
          </w:p>
        </w:tc>
        <w:tc>
          <w:tcPr>
            <w:tcW w:w="1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4,467,603</w:t>
            </w:r>
          </w:p>
        </w:tc>
        <w:tc>
          <w:tcPr>
            <w:tcW w:w="120" w:type="dxa"/>
            <w:vAlign w:val="bottom"/>
            <w:shd w:val="clear" w:color="auto" w:fill="CFF0FC"/>
          </w:tcPr>
          <w:p>
            <w:pPr>
              <w:spacing w:after="0"/>
              <w:rPr>
                <w:sz w:val="15"/>
                <w:szCs w:val="15"/>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440" w:type="dxa"/>
            <w:vAlign w:val="bottom"/>
          </w:tcPr>
          <w:p>
            <w:pPr>
              <w:jc w:val="right"/>
              <w:spacing w:after="0"/>
              <w:rPr>
                <w:sz w:val="20"/>
                <w:szCs w:val="20"/>
                <w:color w:val="auto"/>
              </w:rPr>
            </w:pPr>
            <w:r>
              <w:rPr>
                <w:rFonts w:ascii="Arial" w:cs="Arial" w:eastAsia="Arial" w:hAnsi="Arial"/>
                <w:sz w:val="16"/>
                <w:szCs w:val="16"/>
                <w:color w:val="auto"/>
              </w:rPr>
              <w:t>262,245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263,873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189,996</w:t>
            </w:r>
          </w:p>
        </w:tc>
        <w:tc>
          <w:tcPr>
            <w:tcW w:w="120" w:type="dxa"/>
            <w:vAlign w:val="bottom"/>
          </w:tcPr>
          <w:p>
            <w:pPr>
              <w:spacing w:after="0"/>
              <w:rPr>
                <w:sz w:val="16"/>
                <w:szCs w:val="16"/>
                <w:color w:val="auto"/>
              </w:rPr>
            </w:pPr>
          </w:p>
        </w:tc>
      </w:tr>
      <w:tr>
        <w:trPr>
          <w:trHeight w:val="18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12,217,044</w:t>
            </w: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9,012,222</w:t>
            </w: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456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17,872,926</w:t>
            </w:r>
          </w:p>
        </w:tc>
        <w:tc>
          <w:tcPr>
            <w:tcW w:w="13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14,567,385</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10,910,091</w:t>
            </w:r>
          </w:p>
        </w:tc>
        <w:tc>
          <w:tcPr>
            <w:tcW w:w="12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-153670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-153670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2025, 2024 and 2023, no short-term employee benefits have been capitalized.</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 The aggregate amount of expense recognized in the consolidated statements of loss and comprehensive loss related to this related party for the 2025, 2024 and 2023 fiscal years were €0.7 million, €0.8 million and €0.6 million, respectively.</w:t>
      </w:r>
    </w:p>
    <w:p>
      <w:pPr>
        <w:spacing w:after="0" w:line="15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During 2023, Dr. Jochen Knolle received €0.5 million under his consulting agreement with the Company, while serving as the Company’s Chief Scientific Officer (“CSO”). In late 2023, he relinquished the CSO title but remains a consultant.</w:t>
      </w:r>
    </w:p>
    <w:p>
      <w:pPr>
        <w:spacing w:after="0" w:line="15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At December 31, 2025, 2024 and 2023, the aggregate amounts payable to key management personnel were €1.6 million, €1.5 million and €1.4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335280</wp:posOffset>
            </wp:positionV>
            <wp:extent cx="93980" cy="402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335280</wp:posOffset>
            </wp:positionV>
            <wp:extent cx="93980" cy="402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335280</wp:posOffset>
            </wp:positionV>
            <wp:extent cx="93980" cy="402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335280</wp:posOffset>
            </wp:positionV>
            <wp:extent cx="93980" cy="402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335280</wp:posOffset>
            </wp:positionV>
            <wp:extent cx="93980" cy="402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335280</wp:posOffset>
            </wp:positionV>
            <wp:extent cx="93980" cy="402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335280</wp:posOffset>
            </wp:positionV>
            <wp:extent cx="102870" cy="402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 cy="4025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720" w:type="dxa"/>
            <w:vAlign w:val="bottom"/>
            <w:tcBorders>
              <w:top w:val="single" w:sz="8" w:color="auto"/>
              <w:left w:val="single" w:sz="8" w:color="auto"/>
              <w:righ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Pension and</w:t>
            </w: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Share-based</w:t>
            </w:r>
          </w:p>
        </w:tc>
        <w:tc>
          <w:tcPr>
            <w:tcW w:w="12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c>
          <w:tcPr>
            <w:tcW w:w="140" w:type="dxa"/>
            <w:vAlign w:val="bottom"/>
            <w:tcBorders>
              <w:right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Total remuneration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20" w:type="dxa"/>
            <w:vAlign w:val="bottom"/>
            <w:tcBorders>
              <w:left w:val="single" w:sz="8" w:color="auto"/>
              <w:right w:val="single" w:sz="8" w:color="auto"/>
            </w:tcBorders>
          </w:tcPr>
          <w:p>
            <w:pPr>
              <w:spacing w:after="0"/>
              <w:rPr>
                <w:sz w:val="8"/>
                <w:szCs w:val="8"/>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color w:val="auto"/>
              </w:rPr>
              <w:t>Salary</w:t>
            </w:r>
          </w:p>
        </w:tc>
        <w:tc>
          <w:tcPr>
            <w:tcW w:w="120" w:type="dxa"/>
            <w:vAlign w:val="bottom"/>
            <w:tcBorders>
              <w:right w:val="single" w:sz="8" w:color="auto"/>
            </w:tcBorders>
          </w:tcPr>
          <w:p>
            <w:pPr>
              <w:spacing w:after="0"/>
              <w:rPr>
                <w:sz w:val="8"/>
                <w:szCs w:val="8"/>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color w:val="auto"/>
              </w:rPr>
              <w:t>Bonus</w:t>
            </w: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social</w:t>
            </w: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remuneration</w:t>
            </w:r>
          </w:p>
        </w:tc>
        <w:tc>
          <w:tcPr>
            <w:tcW w:w="140" w:type="dxa"/>
            <w:vAlign w:val="bottom"/>
            <w:tcBorders>
              <w:right w:val="single" w:sz="8" w:color="auto"/>
            </w:tcBorders>
          </w:tcPr>
          <w:p>
            <w:pPr>
              <w:spacing w:after="0"/>
              <w:rPr>
                <w:sz w:val="8"/>
                <w:szCs w:val="8"/>
                <w:color w:val="auto"/>
              </w:rPr>
            </w:pPr>
          </w:p>
        </w:tc>
        <w:tc>
          <w:tcPr>
            <w:tcW w:w="1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20" w:type="dxa"/>
            <w:vAlign w:val="bottom"/>
            <w:tcBorders>
              <w:left w:val="single" w:sz="8" w:color="auto"/>
              <w:right w:val="single" w:sz="8" w:color="auto"/>
            </w:tcBorders>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fee</w:t>
            </w:r>
          </w:p>
        </w:tc>
        <w:tc>
          <w:tcPr>
            <w:tcW w:w="140" w:type="dxa"/>
            <w:vAlign w:val="bottom"/>
            <w:tcBorders>
              <w:right w:val="single" w:sz="8" w:color="auto"/>
            </w:tcBorders>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compensation</w:t>
            </w:r>
          </w:p>
        </w:tc>
        <w:tc>
          <w:tcPr>
            <w:tcW w:w="12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20" w:type="dxa"/>
            <w:vAlign w:val="bottom"/>
            <w:vMerge w:val="restart"/>
          </w:tcPr>
          <w:p>
            <w:pPr>
              <w:jc w:val="right"/>
              <w:ind w:right="55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20" w:type="dxa"/>
            <w:vAlign w:val="bottom"/>
            <w:tcBorders>
              <w:left w:val="single" w:sz="8" w:color="auto"/>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color w:val="auto"/>
              </w:rPr>
              <w:t>securities</w:t>
            </w:r>
          </w:p>
        </w:tc>
        <w:tc>
          <w:tcPr>
            <w:tcW w:w="12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2025</w:t>
            </w:r>
          </w:p>
        </w:tc>
        <w:tc>
          <w:tcPr>
            <w:tcW w:w="140" w:type="dxa"/>
            <w:vAlign w:val="bottom"/>
            <w:tcBorders>
              <w:right w:val="single" w:sz="8" w:color="auto"/>
            </w:tcBorders>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72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40" w:type="dxa"/>
            <w:vAlign w:val="bottom"/>
            <w:tcBorders>
              <w:right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B. Modig</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746,382</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386,488</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237,407</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3,691,371</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5,061,648</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3,367,891</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H. Schikan</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53,080</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323,416</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376,496</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391,570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D. Meeker</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81,796</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324,235</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406,031</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417,879</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R. Glassman</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47,859</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324,048</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371,907</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376,176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CFF4FF"/>
              <w:bottom w:val="single" w:sz="8" w:color="auto"/>
              <w:right w:val="single" w:sz="8" w:color="auto"/>
            </w:tcBorders>
            <w:shd w:val="clear" w:color="auto" w:fill="CFF4FF"/>
          </w:tcPr>
          <w:p>
            <w:pPr>
              <w:ind w:left="20"/>
              <w:spacing w:after="0" w:line="183" w:lineRule="exact"/>
              <w:rPr>
                <w:sz w:val="20"/>
                <w:szCs w:val="20"/>
                <w:color w:val="auto"/>
              </w:rPr>
            </w:pPr>
            <w:r>
              <w:rPr>
                <w:rFonts w:ascii="Arial" w:cs="Arial" w:eastAsia="Arial" w:hAnsi="Arial"/>
                <w:sz w:val="16"/>
                <w:szCs w:val="16"/>
                <w:color w:val="auto"/>
              </w:rPr>
              <w:t>Ms. V. Monges</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56,561</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327,672</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384,233</w:t>
            </w:r>
          </w:p>
        </w:tc>
        <w:tc>
          <w:tcPr>
            <w:tcW w:w="140" w:type="dxa"/>
            <w:vAlign w:val="bottom"/>
            <w:tcBorders>
              <w:bottom w:val="single" w:sz="8" w:color="CFF4FF"/>
              <w:right w:val="single" w:sz="8" w:color="auto"/>
            </w:tcBorders>
            <w:shd w:val="clear" w:color="auto" w:fill="CFF4FF"/>
          </w:tcPr>
          <w:p>
            <w:pPr>
              <w:spacing w:after="0"/>
              <w:rPr>
                <w:sz w:val="15"/>
                <w:szCs w:val="15"/>
                <w:color w:val="auto"/>
              </w:rPr>
            </w:pPr>
          </w:p>
        </w:tc>
        <w:tc>
          <w:tcPr>
            <w:tcW w:w="162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403,863</w:t>
            </w:r>
          </w:p>
        </w:tc>
        <w:tc>
          <w:tcPr>
            <w:tcW w:w="12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Ms. E. Björk</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39,157</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335,067</w:t>
            </w: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374,224</w:t>
            </w:r>
          </w:p>
        </w:tc>
        <w:tc>
          <w:tcPr>
            <w:tcW w:w="140" w:type="dxa"/>
            <w:vAlign w:val="bottom"/>
            <w:tcBorders>
              <w:right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401,595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-650875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-650875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-650875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-650875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-650875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-650875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-650875</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-393700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-393700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-393700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-393700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-393700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-393700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-136525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-136525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-136525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-136525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-136525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-136525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t>115</w:t>
      </w:r>
      <w:r>
        <w:rPr>
          <w:rFonts w:ascii="Arial" w:cs="Arial" w:eastAsia="Arial" w:hAnsi="Arial"/>
          <w:sz w:val="16"/>
          <w:szCs w:val="16"/>
          <w:b w:val="1"/>
          <w:bCs w:val="1"/>
          <w:u w:val="single" w:color="auto"/>
          <w:color w:val="0000FF"/>
        </w:rPr>
        <w:t>Table of Contents</w:t>
      </w:r>
    </w:p>
    <w:p>
      <w:pPr>
        <w:spacing w:after="0" w:line="18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tables below shows the number of options granted to individual members of the Board for the year ended December 31, 2025 and 2024 in such capacity.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340" w:type="dxa"/>
            <w:vAlign w:val="bottom"/>
          </w:tcPr>
          <w:p>
            <w:pPr>
              <w:jc w:val="right"/>
              <w:ind w:right="284"/>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44"/>
              <w:spacing w:after="0"/>
              <w:rPr>
                <w:sz w:val="20"/>
                <w:szCs w:val="20"/>
                <w:color w:val="auto"/>
              </w:rPr>
            </w:pPr>
            <w:r>
              <w:rPr>
                <w:rFonts w:ascii="Arial" w:cs="Arial" w:eastAsia="Arial" w:hAnsi="Arial"/>
                <w:sz w:val="13"/>
                <w:szCs w:val="13"/>
                <w:b w:val="1"/>
                <w:bCs w:val="1"/>
                <w:color w:val="auto"/>
              </w:rPr>
              <w:t>Exercise</w:t>
            </w:r>
          </w:p>
        </w:tc>
        <w:tc>
          <w:tcPr>
            <w:tcW w:w="240" w:type="dxa"/>
            <w:vAlign w:val="bottom"/>
          </w:tcPr>
          <w:p>
            <w:pPr>
              <w:spacing w:after="0"/>
              <w:rPr>
                <w:sz w:val="13"/>
                <w:szCs w:val="13"/>
                <w:color w:val="auto"/>
              </w:rPr>
            </w:pPr>
          </w:p>
        </w:tc>
        <w:tc>
          <w:tcPr>
            <w:tcW w:w="1660" w:type="dxa"/>
            <w:vAlign w:val="bottom"/>
          </w:tcPr>
          <w:p>
            <w:pPr>
              <w:ind w:left="520"/>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6440" w:type="dxa"/>
            <w:vAlign w:val="bottom"/>
          </w:tcPr>
          <w:p>
            <w:pPr>
              <w:spacing w:after="0"/>
              <w:rPr>
                <w:sz w:val="13"/>
                <w:szCs w:val="13"/>
                <w:color w:val="auto"/>
              </w:rPr>
            </w:pPr>
          </w:p>
        </w:tc>
        <w:tc>
          <w:tcPr>
            <w:tcW w:w="134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Date</w:t>
            </w:r>
          </w:p>
        </w:tc>
      </w:tr>
      <w:tr>
        <w:trPr>
          <w:trHeight w:val="183"/>
        </w:trPr>
        <w:tc>
          <w:tcPr>
            <w:tcW w:w="6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180,000</w:t>
            </w:r>
          </w:p>
        </w:tc>
        <w:tc>
          <w:tcPr>
            <w:tcW w:w="42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16.05</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ind w:left="520"/>
              <w:spacing w:after="0" w:line="183" w:lineRule="exact"/>
              <w:rPr>
                <w:sz w:val="20"/>
                <w:szCs w:val="20"/>
                <w:color w:val="auto"/>
              </w:rPr>
            </w:pPr>
            <w:r>
              <w:rPr>
                <w:rFonts w:ascii="Arial" w:cs="Arial" w:eastAsia="Arial" w:hAnsi="Arial"/>
                <w:sz w:val="16"/>
                <w:szCs w:val="16"/>
                <w:color w:val="auto"/>
              </w:rPr>
              <w:t>March 12, 2035</w:t>
            </w:r>
          </w:p>
        </w:tc>
      </w:tr>
      <w:tr>
        <w:trPr>
          <w:trHeight w:val="189"/>
        </w:trPr>
        <w:tc>
          <w:tcPr>
            <w:tcW w:w="6440" w:type="dxa"/>
            <w:vAlign w:val="bottom"/>
          </w:tcPr>
          <w:p>
            <w:pPr>
              <w:spacing w:after="0"/>
              <w:rPr>
                <w:sz w:val="20"/>
                <w:szCs w:val="20"/>
                <w:color w:val="auto"/>
              </w:rPr>
            </w:pPr>
            <w:r>
              <w:rPr>
                <w:rFonts w:ascii="Arial" w:cs="Arial" w:eastAsia="Arial" w:hAnsi="Arial"/>
                <w:sz w:val="16"/>
                <w:szCs w:val="16"/>
                <w:color w:val="auto"/>
              </w:rPr>
              <w:t>Dr. Glassman</w:t>
            </w:r>
          </w:p>
        </w:tc>
        <w:tc>
          <w:tcPr>
            <w:tcW w:w="1340" w:type="dxa"/>
            <w:vAlign w:val="bottom"/>
          </w:tcPr>
          <w:p>
            <w:pPr>
              <w:jc w:val="right"/>
              <w:spacing w:after="0"/>
              <w:rPr>
                <w:sz w:val="20"/>
                <w:szCs w:val="20"/>
                <w:color w:val="auto"/>
              </w:rPr>
            </w:pPr>
            <w:r>
              <w:rPr>
                <w:rFonts w:ascii="Arial" w:cs="Arial" w:eastAsia="Arial" w:hAnsi="Arial"/>
                <w:sz w:val="16"/>
                <w:szCs w:val="16"/>
                <w:color w:val="auto"/>
              </w:rPr>
              <w:t>15,000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240" w:type="dxa"/>
            <w:vAlign w:val="bottom"/>
          </w:tcPr>
          <w:p>
            <w:pPr>
              <w:spacing w:after="0"/>
              <w:rPr>
                <w:sz w:val="16"/>
                <w:szCs w:val="16"/>
                <w:color w:val="auto"/>
              </w:rPr>
            </w:pPr>
          </w:p>
        </w:tc>
        <w:tc>
          <w:tcPr>
            <w:tcW w:w="1660" w:type="dxa"/>
            <w:vAlign w:val="bottom"/>
          </w:tcPr>
          <w:p>
            <w:pPr>
              <w:ind w:left="520"/>
              <w:spacing w:after="0"/>
              <w:rPr>
                <w:sz w:val="20"/>
                <w:szCs w:val="20"/>
                <w:color w:val="auto"/>
              </w:rPr>
            </w:pPr>
            <w:r>
              <w:rPr>
                <w:rFonts w:ascii="Arial" w:cs="Arial" w:eastAsia="Arial" w:hAnsi="Arial"/>
                <w:sz w:val="16"/>
                <w:szCs w:val="16"/>
                <w:color w:val="auto"/>
              </w:rPr>
              <w:t>March 12, 2035</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March 12, 2035</w:t>
            </w:r>
          </w:p>
        </w:tc>
      </w:tr>
      <w:tr>
        <w:trPr>
          <w:trHeight w:val="189"/>
        </w:trPr>
        <w:tc>
          <w:tcPr>
            <w:tcW w:w="6440" w:type="dxa"/>
            <w:vAlign w:val="bottom"/>
          </w:tcPr>
          <w:p>
            <w:pPr>
              <w:spacing w:after="0"/>
              <w:rPr>
                <w:sz w:val="20"/>
                <w:szCs w:val="20"/>
                <w:color w:val="auto"/>
              </w:rPr>
            </w:pPr>
            <w:r>
              <w:rPr>
                <w:rFonts w:ascii="Arial" w:cs="Arial" w:eastAsia="Arial" w:hAnsi="Arial"/>
                <w:sz w:val="16"/>
                <w:szCs w:val="16"/>
                <w:color w:val="auto"/>
              </w:rPr>
              <w:t>Mr. Schikan</w:t>
            </w:r>
          </w:p>
        </w:tc>
        <w:tc>
          <w:tcPr>
            <w:tcW w:w="1340" w:type="dxa"/>
            <w:vAlign w:val="bottom"/>
          </w:tcPr>
          <w:p>
            <w:pPr>
              <w:jc w:val="right"/>
              <w:spacing w:after="0"/>
              <w:rPr>
                <w:sz w:val="20"/>
                <w:szCs w:val="20"/>
                <w:color w:val="auto"/>
              </w:rPr>
            </w:pPr>
            <w:r>
              <w:rPr>
                <w:rFonts w:ascii="Arial" w:cs="Arial" w:eastAsia="Arial" w:hAnsi="Arial"/>
                <w:sz w:val="16"/>
                <w:szCs w:val="16"/>
                <w:color w:val="auto"/>
              </w:rPr>
              <w:t>15,000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240" w:type="dxa"/>
            <w:vAlign w:val="bottom"/>
          </w:tcPr>
          <w:p>
            <w:pPr>
              <w:spacing w:after="0"/>
              <w:rPr>
                <w:sz w:val="16"/>
                <w:szCs w:val="16"/>
                <w:color w:val="auto"/>
              </w:rPr>
            </w:pPr>
          </w:p>
        </w:tc>
        <w:tc>
          <w:tcPr>
            <w:tcW w:w="1660" w:type="dxa"/>
            <w:vAlign w:val="bottom"/>
          </w:tcPr>
          <w:p>
            <w:pPr>
              <w:ind w:left="520"/>
              <w:spacing w:after="0"/>
              <w:rPr>
                <w:sz w:val="20"/>
                <w:szCs w:val="20"/>
                <w:color w:val="auto"/>
              </w:rPr>
            </w:pPr>
            <w:r>
              <w:rPr>
                <w:rFonts w:ascii="Arial" w:cs="Arial" w:eastAsia="Arial" w:hAnsi="Arial"/>
                <w:sz w:val="16"/>
                <w:szCs w:val="16"/>
                <w:color w:val="auto"/>
              </w:rPr>
              <w:t>March 12, 2035</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March 12, 2035</w:t>
            </w:r>
          </w:p>
        </w:tc>
      </w:tr>
      <w:tr>
        <w:trPr>
          <w:trHeight w:val="215"/>
        </w:trPr>
        <w:tc>
          <w:tcPr>
            <w:tcW w:w="6440" w:type="dxa"/>
            <w:vAlign w:val="bottom"/>
          </w:tcPr>
          <w:p>
            <w:pPr>
              <w:spacing w:after="0"/>
              <w:rPr>
                <w:sz w:val="20"/>
                <w:szCs w:val="20"/>
                <w:color w:val="auto"/>
              </w:rPr>
            </w:pPr>
            <w:r>
              <w:rPr>
                <w:rFonts w:ascii="Arial" w:cs="Arial" w:eastAsia="Arial" w:hAnsi="Arial"/>
                <w:sz w:val="16"/>
                <w:szCs w:val="16"/>
                <w:color w:val="auto"/>
              </w:rPr>
              <w:t>Dr. Björk</w:t>
            </w:r>
          </w:p>
        </w:tc>
        <w:tc>
          <w:tcPr>
            <w:tcW w:w="1340" w:type="dxa"/>
            <w:vAlign w:val="bottom"/>
          </w:tcPr>
          <w:p>
            <w:pPr>
              <w:jc w:val="right"/>
              <w:spacing w:after="0"/>
              <w:rPr>
                <w:sz w:val="20"/>
                <w:szCs w:val="20"/>
                <w:color w:val="auto"/>
              </w:rPr>
            </w:pPr>
            <w:r>
              <w:rPr>
                <w:rFonts w:ascii="Arial" w:cs="Arial" w:eastAsia="Arial" w:hAnsi="Arial"/>
                <w:sz w:val="16"/>
                <w:szCs w:val="16"/>
                <w:color w:val="auto"/>
              </w:rPr>
              <w:t>15,000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240" w:type="dxa"/>
            <w:vAlign w:val="bottom"/>
          </w:tcPr>
          <w:p>
            <w:pPr>
              <w:spacing w:after="0"/>
              <w:rPr>
                <w:sz w:val="18"/>
                <w:szCs w:val="18"/>
                <w:color w:val="auto"/>
              </w:rPr>
            </w:pPr>
          </w:p>
        </w:tc>
        <w:tc>
          <w:tcPr>
            <w:tcW w:w="1660" w:type="dxa"/>
            <w:vAlign w:val="bottom"/>
          </w:tcPr>
          <w:p>
            <w:pPr>
              <w:ind w:left="520"/>
              <w:spacing w:after="0"/>
              <w:rPr>
                <w:sz w:val="20"/>
                <w:szCs w:val="20"/>
                <w:color w:val="auto"/>
              </w:rPr>
            </w:pPr>
            <w:r>
              <w:rPr>
                <w:rFonts w:ascii="Arial" w:cs="Arial" w:eastAsia="Arial" w:hAnsi="Arial"/>
                <w:sz w:val="16"/>
                <w:szCs w:val="16"/>
                <w:color w:val="auto"/>
              </w:rPr>
              <w:t>March 12, 2035</w:t>
            </w:r>
          </w:p>
        </w:tc>
      </w:tr>
    </w:tbl>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March 12, 2025, stock options were granted to members of the Board of Directors with an exercise price of €14.74 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340" w:type="dxa"/>
            <w:vAlign w:val="bottom"/>
          </w:tcPr>
          <w:p>
            <w:pPr>
              <w:jc w:val="right"/>
              <w:ind w:right="284"/>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44"/>
              <w:spacing w:after="0"/>
              <w:rPr>
                <w:sz w:val="20"/>
                <w:szCs w:val="20"/>
                <w:color w:val="auto"/>
              </w:rPr>
            </w:pPr>
            <w:r>
              <w:rPr>
                <w:rFonts w:ascii="Arial" w:cs="Arial" w:eastAsia="Arial" w:hAnsi="Arial"/>
                <w:sz w:val="13"/>
                <w:szCs w:val="13"/>
                <w:b w:val="1"/>
                <w:bCs w:val="1"/>
                <w:color w:val="auto"/>
              </w:rPr>
              <w:t>Exercise</w:t>
            </w:r>
          </w:p>
        </w:tc>
        <w:tc>
          <w:tcPr>
            <w:tcW w:w="240" w:type="dxa"/>
            <w:vAlign w:val="bottom"/>
          </w:tcPr>
          <w:p>
            <w:pPr>
              <w:spacing w:after="0"/>
              <w:rPr>
                <w:sz w:val="13"/>
                <w:szCs w:val="13"/>
                <w:color w:val="auto"/>
              </w:rPr>
            </w:pPr>
          </w:p>
        </w:tc>
        <w:tc>
          <w:tcPr>
            <w:tcW w:w="1660" w:type="dxa"/>
            <w:vAlign w:val="bottom"/>
          </w:tcPr>
          <w:p>
            <w:pPr>
              <w:ind w:left="520"/>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6440" w:type="dxa"/>
            <w:vAlign w:val="bottom"/>
          </w:tcPr>
          <w:p>
            <w:pPr>
              <w:spacing w:after="0"/>
              <w:rPr>
                <w:sz w:val="13"/>
                <w:szCs w:val="13"/>
                <w:color w:val="auto"/>
              </w:rPr>
            </w:pPr>
          </w:p>
        </w:tc>
        <w:tc>
          <w:tcPr>
            <w:tcW w:w="134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Date</w:t>
            </w:r>
          </w:p>
        </w:tc>
      </w:tr>
      <w:tr>
        <w:trPr>
          <w:trHeight w:val="183"/>
        </w:trPr>
        <w:tc>
          <w:tcPr>
            <w:tcW w:w="6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150,000</w:t>
            </w:r>
          </w:p>
        </w:tc>
        <w:tc>
          <w:tcPr>
            <w:tcW w:w="42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22.31</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ind w:left="640"/>
              <w:spacing w:after="0" w:line="183" w:lineRule="exact"/>
              <w:rPr>
                <w:sz w:val="20"/>
                <w:szCs w:val="20"/>
                <w:color w:val="auto"/>
              </w:rPr>
            </w:pPr>
            <w:r>
              <w:rPr>
                <w:rFonts w:ascii="Arial" w:cs="Arial" w:eastAsia="Arial" w:hAnsi="Arial"/>
                <w:sz w:val="16"/>
                <w:szCs w:val="16"/>
                <w:color w:val="auto"/>
              </w:rPr>
              <w:t>April 11, 2034</w:t>
            </w:r>
          </w:p>
        </w:tc>
      </w:tr>
      <w:tr>
        <w:trPr>
          <w:trHeight w:val="189"/>
        </w:trPr>
        <w:tc>
          <w:tcPr>
            <w:tcW w:w="6440" w:type="dxa"/>
            <w:vAlign w:val="bottom"/>
          </w:tcPr>
          <w:p>
            <w:pPr>
              <w:spacing w:after="0"/>
              <w:rPr>
                <w:sz w:val="20"/>
                <w:szCs w:val="20"/>
                <w:color w:val="auto"/>
              </w:rPr>
            </w:pPr>
            <w:r>
              <w:rPr>
                <w:rFonts w:ascii="Arial" w:cs="Arial" w:eastAsia="Arial" w:hAnsi="Arial"/>
                <w:sz w:val="16"/>
                <w:szCs w:val="16"/>
                <w:color w:val="auto"/>
              </w:rPr>
              <w:t>Dr. Glassman</w:t>
            </w:r>
          </w:p>
        </w:tc>
        <w:tc>
          <w:tcPr>
            <w:tcW w:w="1340" w:type="dxa"/>
            <w:vAlign w:val="bottom"/>
          </w:tcPr>
          <w:p>
            <w:pPr>
              <w:jc w:val="right"/>
              <w:spacing w:after="0"/>
              <w:rPr>
                <w:sz w:val="20"/>
                <w:szCs w:val="20"/>
                <w:color w:val="auto"/>
              </w:rPr>
            </w:pPr>
            <w:r>
              <w:rPr>
                <w:rFonts w:ascii="Arial" w:cs="Arial" w:eastAsia="Arial" w:hAnsi="Arial"/>
                <w:sz w:val="16"/>
                <w:szCs w:val="16"/>
                <w:color w:val="auto"/>
              </w:rPr>
              <w:t>14,000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22.31</w:t>
            </w:r>
          </w:p>
        </w:tc>
        <w:tc>
          <w:tcPr>
            <w:tcW w:w="24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Arial" w:cs="Arial" w:eastAsia="Arial" w:hAnsi="Arial"/>
                <w:sz w:val="16"/>
                <w:szCs w:val="16"/>
                <w:color w:val="auto"/>
              </w:rPr>
              <w:t>April 11, 2034</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ind w:left="640"/>
              <w:spacing w:after="0"/>
              <w:rPr>
                <w:sz w:val="20"/>
                <w:szCs w:val="20"/>
                <w:color w:val="auto"/>
              </w:rPr>
            </w:pPr>
            <w:r>
              <w:rPr>
                <w:rFonts w:ascii="Arial" w:cs="Arial" w:eastAsia="Arial" w:hAnsi="Arial"/>
                <w:sz w:val="16"/>
                <w:szCs w:val="16"/>
                <w:color w:val="auto"/>
              </w:rPr>
              <w:t>April 11, 2034</w:t>
            </w:r>
          </w:p>
        </w:tc>
      </w:tr>
      <w:tr>
        <w:trPr>
          <w:trHeight w:val="189"/>
        </w:trPr>
        <w:tc>
          <w:tcPr>
            <w:tcW w:w="6440" w:type="dxa"/>
            <w:vAlign w:val="bottom"/>
          </w:tcPr>
          <w:p>
            <w:pPr>
              <w:spacing w:after="0"/>
              <w:rPr>
                <w:sz w:val="20"/>
                <w:szCs w:val="20"/>
                <w:color w:val="auto"/>
              </w:rPr>
            </w:pPr>
            <w:r>
              <w:rPr>
                <w:rFonts w:ascii="Arial" w:cs="Arial" w:eastAsia="Arial" w:hAnsi="Arial"/>
                <w:sz w:val="16"/>
                <w:szCs w:val="16"/>
                <w:color w:val="auto"/>
              </w:rPr>
              <w:t>Mr. Schikan</w:t>
            </w:r>
          </w:p>
        </w:tc>
        <w:tc>
          <w:tcPr>
            <w:tcW w:w="1340" w:type="dxa"/>
            <w:vAlign w:val="bottom"/>
          </w:tcPr>
          <w:p>
            <w:pPr>
              <w:jc w:val="right"/>
              <w:spacing w:after="0"/>
              <w:rPr>
                <w:sz w:val="20"/>
                <w:szCs w:val="20"/>
                <w:color w:val="auto"/>
              </w:rPr>
            </w:pPr>
            <w:r>
              <w:rPr>
                <w:rFonts w:ascii="Arial" w:cs="Arial" w:eastAsia="Arial" w:hAnsi="Arial"/>
                <w:sz w:val="16"/>
                <w:szCs w:val="16"/>
                <w:color w:val="auto"/>
              </w:rPr>
              <w:t>14,000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22.31</w:t>
            </w:r>
          </w:p>
        </w:tc>
        <w:tc>
          <w:tcPr>
            <w:tcW w:w="24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Arial" w:cs="Arial" w:eastAsia="Arial" w:hAnsi="Arial"/>
                <w:sz w:val="16"/>
                <w:szCs w:val="16"/>
                <w:color w:val="auto"/>
              </w:rPr>
              <w:t>April 11, 2034</w:t>
            </w:r>
          </w:p>
        </w:tc>
      </w:tr>
      <w:tr>
        <w:trPr>
          <w:trHeight w:val="189"/>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ind w:left="640"/>
              <w:spacing w:after="0"/>
              <w:rPr>
                <w:sz w:val="20"/>
                <w:szCs w:val="20"/>
                <w:color w:val="auto"/>
              </w:rPr>
            </w:pPr>
            <w:r>
              <w:rPr>
                <w:rFonts w:ascii="Arial" w:cs="Arial" w:eastAsia="Arial" w:hAnsi="Arial"/>
                <w:sz w:val="16"/>
                <w:szCs w:val="16"/>
                <w:color w:val="auto"/>
              </w:rPr>
              <w:t>April 11, 2034</w:t>
            </w:r>
          </w:p>
        </w:tc>
      </w:tr>
      <w:tr>
        <w:trPr>
          <w:trHeight w:val="215"/>
        </w:trPr>
        <w:tc>
          <w:tcPr>
            <w:tcW w:w="6440" w:type="dxa"/>
            <w:vAlign w:val="bottom"/>
          </w:tcPr>
          <w:p>
            <w:pPr>
              <w:spacing w:after="0"/>
              <w:rPr>
                <w:sz w:val="20"/>
                <w:szCs w:val="20"/>
                <w:color w:val="auto"/>
              </w:rPr>
            </w:pPr>
            <w:r>
              <w:rPr>
                <w:rFonts w:ascii="Arial" w:cs="Arial" w:eastAsia="Arial" w:hAnsi="Arial"/>
                <w:sz w:val="16"/>
                <w:szCs w:val="16"/>
                <w:color w:val="auto"/>
              </w:rPr>
              <w:t>Dr. Björk</w:t>
            </w:r>
          </w:p>
        </w:tc>
        <w:tc>
          <w:tcPr>
            <w:tcW w:w="1340" w:type="dxa"/>
            <w:vAlign w:val="bottom"/>
          </w:tcPr>
          <w:p>
            <w:pPr>
              <w:jc w:val="right"/>
              <w:spacing w:after="0"/>
              <w:rPr>
                <w:sz w:val="20"/>
                <w:szCs w:val="20"/>
                <w:color w:val="auto"/>
              </w:rPr>
            </w:pPr>
            <w:r>
              <w:rPr>
                <w:rFonts w:ascii="Arial" w:cs="Arial" w:eastAsia="Arial" w:hAnsi="Arial"/>
                <w:sz w:val="16"/>
                <w:szCs w:val="16"/>
                <w:color w:val="auto"/>
              </w:rPr>
              <w:t>14,000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22.31</w:t>
            </w:r>
          </w:p>
        </w:tc>
        <w:tc>
          <w:tcPr>
            <w:tcW w:w="240" w:type="dxa"/>
            <w:vAlign w:val="bottom"/>
          </w:tcPr>
          <w:p>
            <w:pPr>
              <w:spacing w:after="0"/>
              <w:rPr>
                <w:sz w:val="18"/>
                <w:szCs w:val="18"/>
                <w:color w:val="auto"/>
              </w:rPr>
            </w:pPr>
          </w:p>
        </w:tc>
        <w:tc>
          <w:tcPr>
            <w:tcW w:w="1660" w:type="dxa"/>
            <w:vAlign w:val="bottom"/>
          </w:tcPr>
          <w:p>
            <w:pPr>
              <w:ind w:left="640"/>
              <w:spacing w:after="0"/>
              <w:rPr>
                <w:sz w:val="20"/>
                <w:szCs w:val="20"/>
                <w:color w:val="auto"/>
              </w:rPr>
            </w:pPr>
            <w:r>
              <w:rPr>
                <w:rFonts w:ascii="Arial" w:cs="Arial" w:eastAsia="Arial" w:hAnsi="Arial"/>
                <w:sz w:val="16"/>
                <w:szCs w:val="16"/>
                <w:color w:val="auto"/>
              </w:rPr>
              <w:t>April 11, 2034</w:t>
            </w:r>
          </w:p>
        </w:tc>
      </w:tr>
    </w:tbl>
    <w:p>
      <w:pPr>
        <w:spacing w:after="0" w:line="200" w:lineRule="exact"/>
        <w:rPr>
          <w:sz w:val="20"/>
          <w:szCs w:val="20"/>
          <w:color w:val="auto"/>
        </w:rPr>
      </w:pPr>
    </w:p>
    <w:p>
      <w:pPr>
        <w:spacing w:after="0" w:line="23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On April 11, 2024,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200" w:lineRule="exact"/>
        <w:rPr>
          <w:sz w:val="20"/>
          <w:szCs w:val="20"/>
          <w:color w:val="auto"/>
        </w:rPr>
      </w:pPr>
    </w:p>
    <w:p>
      <w:pPr>
        <w:spacing w:after="0" w:line="309" w:lineRule="exact"/>
        <w:rPr>
          <w:sz w:val="20"/>
          <w:szCs w:val="20"/>
          <w:color w:val="auto"/>
        </w:rPr>
      </w:pPr>
    </w:p>
    <w:p>
      <w:pPr>
        <w:ind w:right="100"/>
        <w:spacing w:after="0" w:line="464" w:lineRule="auto"/>
        <w:rPr>
          <w:sz w:val="20"/>
          <w:szCs w:val="20"/>
          <w:color w:val="auto"/>
        </w:rPr>
      </w:pPr>
      <w:r>
        <w:rPr>
          <w:rFonts w:ascii="Arial" w:cs="Arial" w:eastAsia="Arial" w:hAnsi="Arial"/>
          <w:sz w:val="16"/>
          <w:szCs w:val="16"/>
          <w:color w:val="auto"/>
        </w:rPr>
        <w:t>The table below shows the number of RSU's granted to individual members of the Board for the year ended December 31, 2025 and 2024 in such capacity. December 31, 2025</w:t>
      </w:r>
    </w:p>
    <w:tbl>
      <w:tblPr>
        <w:tblLayout w:type="fixed"/>
        <w:tblInd w:w="0" w:type="dxa"/>
        <w:tblCellMar>
          <w:top w:w="0" w:type="dxa"/>
          <w:left w:w="0" w:type="dxa"/>
          <w:bottom w:w="0" w:type="dxa"/>
          <w:right w:w="0" w:type="dxa"/>
        </w:tblCellMar>
      </w:tblPr>
      <w:tr>
        <w:trPr>
          <w:trHeight w:val="135"/>
        </w:trPr>
        <w:tc>
          <w:tcPr>
            <w:tcW w:w="8720" w:type="dxa"/>
            <w:vAlign w:val="bottom"/>
          </w:tcPr>
          <w:p>
            <w:pPr>
              <w:spacing w:after="0"/>
              <w:rPr>
                <w:sz w:val="11"/>
                <w:szCs w:val="11"/>
                <w:color w:val="auto"/>
              </w:rPr>
            </w:pPr>
          </w:p>
        </w:tc>
        <w:tc>
          <w:tcPr>
            <w:tcW w:w="252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8"/>
              </w:rPr>
              <w:t>Number of</w:t>
            </w:r>
          </w:p>
        </w:tc>
      </w:tr>
      <w:tr>
        <w:trPr>
          <w:trHeight w:val="153"/>
        </w:trPr>
        <w:tc>
          <w:tcPr>
            <w:tcW w:w="8720" w:type="dxa"/>
            <w:vAlign w:val="bottom"/>
          </w:tcPr>
          <w:p>
            <w:pPr>
              <w:spacing w:after="0"/>
              <w:rPr>
                <w:sz w:val="13"/>
                <w:szCs w:val="13"/>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RSU's</w:t>
            </w:r>
          </w:p>
        </w:tc>
      </w:tr>
      <w:tr>
        <w:trPr>
          <w:trHeight w:val="183"/>
        </w:trPr>
        <w:tc>
          <w:tcPr>
            <w:tcW w:w="8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2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60,000</w:t>
            </w:r>
          </w:p>
        </w:tc>
        <w:tc>
          <w:tcPr>
            <w:tcW w:w="100" w:type="dxa"/>
            <w:vAlign w:val="bottom"/>
            <w:shd w:val="clear" w:color="auto" w:fill="CFF0FC"/>
          </w:tcPr>
          <w:p>
            <w:pPr>
              <w:spacing w:after="0"/>
              <w:rPr>
                <w:sz w:val="15"/>
                <w:szCs w:val="15"/>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Dr. Glassman</w:t>
            </w:r>
          </w:p>
        </w:tc>
        <w:tc>
          <w:tcPr>
            <w:tcW w:w="24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FF0FC"/>
          </w:tcPr>
          <w:p>
            <w:pPr>
              <w:spacing w:after="0"/>
              <w:rPr>
                <w:sz w:val="16"/>
                <w:szCs w:val="16"/>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Mr. Schikan</w:t>
            </w:r>
          </w:p>
        </w:tc>
        <w:tc>
          <w:tcPr>
            <w:tcW w:w="24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FF0FC"/>
          </w:tcPr>
          <w:p>
            <w:pPr>
              <w:spacing w:after="0"/>
              <w:rPr>
                <w:sz w:val="16"/>
                <w:szCs w:val="16"/>
                <w:color w:val="auto"/>
              </w:rPr>
            </w:pPr>
          </w:p>
        </w:tc>
      </w:tr>
      <w:tr>
        <w:trPr>
          <w:trHeight w:val="215"/>
        </w:trPr>
        <w:tc>
          <w:tcPr>
            <w:tcW w:w="8720" w:type="dxa"/>
            <w:vAlign w:val="bottom"/>
          </w:tcPr>
          <w:p>
            <w:pPr>
              <w:spacing w:after="0"/>
              <w:rPr>
                <w:sz w:val="20"/>
                <w:szCs w:val="20"/>
                <w:color w:val="auto"/>
              </w:rPr>
            </w:pPr>
            <w:r>
              <w:rPr>
                <w:rFonts w:ascii="Arial" w:cs="Arial" w:eastAsia="Arial" w:hAnsi="Arial"/>
                <w:sz w:val="16"/>
                <w:szCs w:val="16"/>
                <w:color w:val="auto"/>
              </w:rPr>
              <w:t>Dr. Björk</w:t>
            </w:r>
          </w:p>
        </w:tc>
        <w:tc>
          <w:tcPr>
            <w:tcW w:w="24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r>
      <w:tr>
        <w:trPr>
          <w:trHeight w:val="364"/>
        </w:trPr>
        <w:tc>
          <w:tcPr>
            <w:tcW w:w="8720" w:type="dxa"/>
            <w:vAlign w:val="bottom"/>
          </w:tcPr>
          <w:p>
            <w:pPr>
              <w:spacing w:after="0"/>
              <w:rPr>
                <w:sz w:val="20"/>
                <w:szCs w:val="20"/>
                <w:color w:val="auto"/>
              </w:rPr>
            </w:pPr>
            <w:r>
              <w:rPr>
                <w:rFonts w:ascii="Arial" w:cs="Arial" w:eastAsia="Arial" w:hAnsi="Arial"/>
                <w:sz w:val="16"/>
                <w:szCs w:val="16"/>
                <w:color w:val="auto"/>
              </w:rPr>
              <w:t>December 31, 2024</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5"/>
        </w:trPr>
        <w:tc>
          <w:tcPr>
            <w:tcW w:w="8720" w:type="dxa"/>
            <w:vAlign w:val="bottom"/>
          </w:tcPr>
          <w:p>
            <w:pPr>
              <w:spacing w:after="0"/>
              <w:rPr>
                <w:sz w:val="24"/>
                <w:szCs w:val="24"/>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r>
      <w:tr>
        <w:trPr>
          <w:trHeight w:val="153"/>
        </w:trPr>
        <w:tc>
          <w:tcPr>
            <w:tcW w:w="8720" w:type="dxa"/>
            <w:vAlign w:val="bottom"/>
          </w:tcPr>
          <w:p>
            <w:pPr>
              <w:spacing w:after="0"/>
              <w:rPr>
                <w:sz w:val="13"/>
                <w:szCs w:val="13"/>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RSU's</w:t>
            </w:r>
          </w:p>
        </w:tc>
      </w:tr>
      <w:tr>
        <w:trPr>
          <w:trHeight w:val="183"/>
        </w:trPr>
        <w:tc>
          <w:tcPr>
            <w:tcW w:w="8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2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50,000</w:t>
            </w:r>
          </w:p>
        </w:tc>
        <w:tc>
          <w:tcPr>
            <w:tcW w:w="100" w:type="dxa"/>
            <w:vAlign w:val="bottom"/>
            <w:shd w:val="clear" w:color="auto" w:fill="CFF0FC"/>
          </w:tcPr>
          <w:p>
            <w:pPr>
              <w:spacing w:after="0"/>
              <w:rPr>
                <w:sz w:val="15"/>
                <w:szCs w:val="15"/>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Dr. Glassman</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CFF0FC"/>
          </w:tcPr>
          <w:p>
            <w:pPr>
              <w:spacing w:after="0"/>
              <w:rPr>
                <w:sz w:val="16"/>
                <w:szCs w:val="16"/>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Mr. Schikan</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6"/>
                <w:szCs w:val="16"/>
                <w:color w:val="auto"/>
              </w:rPr>
            </w:pPr>
          </w:p>
        </w:tc>
      </w:tr>
      <w:tr>
        <w:trPr>
          <w:trHeight w:val="189"/>
        </w:trPr>
        <w:tc>
          <w:tcPr>
            <w:tcW w:w="872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CFF0FC"/>
          </w:tcPr>
          <w:p>
            <w:pPr>
              <w:spacing w:after="0"/>
              <w:rPr>
                <w:sz w:val="16"/>
                <w:szCs w:val="16"/>
                <w:color w:val="auto"/>
              </w:rPr>
            </w:pPr>
          </w:p>
        </w:tc>
      </w:tr>
      <w:tr>
        <w:trPr>
          <w:trHeight w:val="215"/>
        </w:trPr>
        <w:tc>
          <w:tcPr>
            <w:tcW w:w="8720" w:type="dxa"/>
            <w:vAlign w:val="bottom"/>
          </w:tcPr>
          <w:p>
            <w:pPr>
              <w:spacing w:after="0"/>
              <w:rPr>
                <w:sz w:val="20"/>
                <w:szCs w:val="20"/>
                <w:color w:val="auto"/>
              </w:rPr>
            </w:pPr>
            <w:r>
              <w:rPr>
                <w:rFonts w:ascii="Arial" w:cs="Arial" w:eastAsia="Arial" w:hAnsi="Arial"/>
                <w:sz w:val="16"/>
                <w:szCs w:val="16"/>
                <w:color w:val="auto"/>
              </w:rPr>
              <w:t>Dr. Björk</w:t>
            </w:r>
          </w:p>
        </w:tc>
        <w:tc>
          <w:tcPr>
            <w:tcW w:w="2420" w:type="dxa"/>
            <w:vAlign w:val="bottom"/>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Pr>
          <w:p>
            <w:pPr>
              <w:spacing w:after="0"/>
              <w:rPr>
                <w:sz w:val="18"/>
                <w:szCs w:val="18"/>
                <w:color w:val="auto"/>
              </w:rPr>
            </w:pPr>
          </w:p>
        </w:tc>
      </w:tr>
    </w:tbl>
    <w:p>
      <w:pPr>
        <w:spacing w:after="0" w:line="28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March 2025 and April 2024, the Company granted RSUs to members of the Board of Directors. The RSUs shall vest on the 12-month anniversary of the vesting start date.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116</w:t>
      </w:r>
      <w:r>
        <w:rPr>
          <w:rFonts w:ascii="Arial" w:cs="Arial" w:eastAsia="Arial" w:hAnsi="Arial"/>
          <w:sz w:val="16"/>
          <w:szCs w:val="16"/>
          <w:b w:val="1"/>
          <w:bCs w:val="1"/>
          <w:u w:val="single" w:color="auto"/>
          <w:color w:val="0000FF"/>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the Group’s oral bradykinin B2 receptor antagonist.</w:t>
      </w:r>
    </w:p>
    <w:p>
      <w:pPr>
        <w:spacing w:after="0" w:line="30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Group's contractual obligations and commitments as of December 31, 2025 amounted to €119.2 million (2024: €109.9 million) primarily related to research and development activities.</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March 31, 2016, the Company entered into a license agreement (the “BRAIN License”) and a research agreement with BRAIN (as successor in interest to AnalytiCon) to collaborate for the development of an orally available bradykinin B2 receptor antagonist. Pursuant to the BRAIN License, the Company acquired a worldwide, exclusive license from BRAIN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IR and XR are subject to the BRAIN License.</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BRAIN License, up to €8.0 million in aggregate potential milestone payments remain outstanding. In addition, the Company will be required to pay BRAIN low to medium single-digit tiered royalties on direct or indirect net sales of licensed products. The royalties that the Company is required to pay BRAIN under this agreement may be reduced on a country-by-country and product-by-product basis if sales of a generic version of a product account for 1% or more of the relevant market.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milestones and royalties discussed in Note 21 above, the Group had no contingent liabilities and no contingent assets at December 31, 2025 and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8, 2026, the Company entered into an underwriting agreement with Morgan Stanley &amp; Co. LLC and Leerink Partners LLC as representatives of the underwriters named therein, pursuant to which the Company agreed to issue and sell in an underwritten offering 4,455,863 ordinary shares, par value €0.12 per share (which includes the exercise in full by the underwriters of their option to purchase up to an additional 581,199 ordinary shares). The offering closed on May 11, 2026, and the Company generated net proceeds of approximately $124.3 million, after deducting bank fees of approximately $7.9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117</w:t>
      </w: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May 29,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425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only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4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2"/>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Statement of financial position</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2"/>
          </w:tcPr>
          <w:p>
            <w:pPr>
              <w:jc w:val="right"/>
              <w:ind w:right="1260"/>
              <w:spacing w:after="0"/>
              <w:rPr>
                <w:sz w:val="20"/>
                <w:szCs w:val="20"/>
                <w:color w:val="auto"/>
              </w:rPr>
            </w:pPr>
            <w:r>
              <w:rPr>
                <w:rFonts w:ascii="Arial" w:cs="Arial" w:eastAsia="Arial" w:hAnsi="Arial"/>
                <w:sz w:val="16"/>
                <w:szCs w:val="16"/>
                <w:b w:val="1"/>
                <w:bCs w:val="1"/>
                <w:color w:val="auto"/>
              </w:rPr>
              <w:t>As at</w:t>
            </w:r>
          </w:p>
        </w:tc>
        <w:tc>
          <w:tcPr>
            <w:tcW w:w="18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As at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December 31,</w:t>
            </w:r>
          </w:p>
        </w:tc>
        <w:tc>
          <w:tcPr>
            <w:tcW w:w="18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Notes</w:t>
            </w:r>
          </w:p>
        </w:tc>
        <w:tc>
          <w:tcPr>
            <w:tcW w:w="242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7"/>
                <w:szCs w:val="17"/>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1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Fixed Assets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260,126,662</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239,380,167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Receivables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137,764</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72,002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Prepayments, other receivables and deferred expenses</w:t>
            </w:r>
          </w:p>
        </w:tc>
        <w:tc>
          <w:tcPr>
            <w:tcW w:w="1180" w:type="dxa"/>
            <w:vAlign w:val="bottom"/>
          </w:tcPr>
          <w:p>
            <w:pPr>
              <w:jc w:val="center"/>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123,999</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384,246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tax receivables</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708,003</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698,505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Receivables from subsidiaries</w:t>
            </w:r>
          </w:p>
        </w:tc>
        <w:tc>
          <w:tcPr>
            <w:tcW w:w="1180" w:type="dxa"/>
            <w:vAlign w:val="bottom"/>
          </w:tcPr>
          <w:p>
            <w:pPr>
              <w:jc w:val="center"/>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6,362,099</w:t>
            </w:r>
          </w:p>
        </w:tc>
        <w:tc>
          <w:tcPr>
            <w:tcW w:w="240" w:type="dxa"/>
            <w:vAlign w:val="bottom"/>
          </w:tcPr>
          <w:p>
            <w:pPr>
              <w:spacing w:after="0"/>
              <w:rPr>
                <w:sz w:val="16"/>
                <w:szCs w:val="16"/>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shd w:val="clear" w:color="auto" w:fill="CFF0FC"/>
          </w:tcPr>
          <w:p>
            <w:pPr>
              <w:spacing w:after="0"/>
              <w:rPr>
                <w:sz w:val="16"/>
                <w:szCs w:val="16"/>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4,278,985</w:t>
            </w:r>
          </w:p>
        </w:tc>
        <w:tc>
          <w:tcPr>
            <w:tcW w:w="2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31,872,510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271,737,512</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272,407,430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6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180" w:type="dxa"/>
            <w:vAlign w:val="bottom"/>
          </w:tcPr>
          <w:p>
            <w:pPr>
              <w:jc w:val="center"/>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 capital</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7,825,271</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6,525,539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Share premium</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792,549,401</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623,641,380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reserves</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50,766,138</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39,711,103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Legal reserve</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2"/>
          </w:tcPr>
          <w:p>
            <w:pPr>
              <w:jc w:val="right"/>
              <w:ind w:right="180"/>
              <w:spacing w:after="0"/>
              <w:rPr>
                <w:sz w:val="20"/>
                <w:szCs w:val="20"/>
                <w:color w:val="auto"/>
              </w:rPr>
            </w:pPr>
            <w:r>
              <w:rPr>
                <w:rFonts w:ascii="Arial" w:cs="Arial" w:eastAsia="Arial" w:hAnsi="Arial"/>
                <w:sz w:val="16"/>
                <w:szCs w:val="16"/>
                <w:color w:val="auto"/>
              </w:rPr>
              <w:t>(270,169)</w:t>
            </w:r>
          </w:p>
        </w:tc>
        <w:tc>
          <w:tcPr>
            <w:tcW w:w="1680" w:type="dxa"/>
            <w:vAlign w:val="bottom"/>
          </w:tcPr>
          <w:p>
            <w:pPr>
              <w:jc w:val="right"/>
              <w:spacing w:after="0"/>
              <w:rPr>
                <w:sz w:val="20"/>
                <w:szCs w:val="20"/>
                <w:color w:val="auto"/>
              </w:rPr>
            </w:pPr>
            <w:r>
              <w:rPr>
                <w:rFonts w:ascii="Arial" w:cs="Arial" w:eastAsia="Arial" w:hAnsi="Arial"/>
                <w:sz w:val="16"/>
                <w:szCs w:val="16"/>
                <w:color w:val="auto"/>
              </w:rPr>
              <w:t>137,726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Accumulated loss</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(579,596,307)</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(402,255,007)</w:t>
            </w:r>
          </w:p>
        </w:tc>
        <w:tc>
          <w:tcPr>
            <w:tcW w:w="0" w:type="dxa"/>
            <w:vAlign w:val="bottom"/>
          </w:tcPr>
          <w:p>
            <w:pPr>
              <w:spacing w:after="0"/>
              <w:rPr>
                <w:sz w:val="1"/>
                <w:szCs w:val="1"/>
                <w:color w:val="auto"/>
              </w:rPr>
            </w:pPr>
          </w:p>
        </w:tc>
      </w:tr>
      <w:tr>
        <w:trPr>
          <w:trHeight w:val="182"/>
        </w:trPr>
        <w:tc>
          <w:tcPr>
            <w:tcW w:w="546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1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271,274,334</w:t>
            </w:r>
          </w:p>
        </w:tc>
        <w:tc>
          <w:tcPr>
            <w:tcW w:w="240" w:type="dxa"/>
            <w:vAlign w:val="bottom"/>
            <w:tcBorders>
              <w:top w:val="single" w:sz="8" w:color="CFF0FC"/>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267,760,741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6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Non-current liabilities</w:t>
            </w:r>
          </w:p>
        </w:tc>
        <w:tc>
          <w:tcPr>
            <w:tcW w:w="1180" w:type="dxa"/>
            <w:vAlign w:val="bottom"/>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2420" w:type="dxa"/>
            <w:vAlign w:val="bottom"/>
            <w:shd w:val="clear" w:color="auto" w:fill="CFF0FF"/>
          </w:tcPr>
          <w:p>
            <w:pPr>
              <w:spacing w:after="0"/>
              <w:rPr>
                <w:sz w:val="14"/>
                <w:szCs w:val="14"/>
                <w:color w:val="auto"/>
              </w:rPr>
            </w:pPr>
          </w:p>
        </w:tc>
        <w:tc>
          <w:tcPr>
            <w:tcW w:w="240" w:type="dxa"/>
            <w:vAlign w:val="bottom"/>
            <w:shd w:val="clear" w:color="auto" w:fill="CFF0FF"/>
          </w:tcPr>
          <w:p>
            <w:pPr>
              <w:spacing w:after="0"/>
              <w:rPr>
                <w:sz w:val="14"/>
                <w:szCs w:val="14"/>
                <w:color w:val="auto"/>
              </w:rPr>
            </w:pPr>
          </w:p>
        </w:tc>
        <w:tc>
          <w:tcPr>
            <w:tcW w:w="1680" w:type="dxa"/>
            <w:vAlign w:val="bottom"/>
            <w:shd w:val="clear" w:color="auto" w:fill="CFF0FF"/>
          </w:tcPr>
          <w:p>
            <w:pPr>
              <w:spacing w:after="0"/>
              <w:rPr>
                <w:sz w:val="14"/>
                <w:szCs w:val="14"/>
                <w:color w:val="auto"/>
              </w:rPr>
            </w:pPr>
          </w:p>
        </w:tc>
        <w:tc>
          <w:tcPr>
            <w:tcW w:w="120" w:type="dxa"/>
            <w:vAlign w:val="bottom"/>
            <w:shd w:val="clear" w:color="auto" w:fill="CFF0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6"/>
                <w:szCs w:val="16"/>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324,694</w:t>
            </w:r>
          </w:p>
        </w:tc>
        <w:tc>
          <w:tcPr>
            <w:tcW w:w="2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593,569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color w:val="auto"/>
              </w:rPr>
              <w:t>Accrued liabilities</w:t>
            </w:r>
          </w:p>
        </w:tc>
        <w:tc>
          <w:tcPr>
            <w:tcW w:w="1180" w:type="dxa"/>
            <w:vAlign w:val="bottom"/>
          </w:tcPr>
          <w:p>
            <w:pPr>
              <w:jc w:val="center"/>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138,484</w:t>
            </w: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272,171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FF0FF"/>
          </w:tcPr>
          <w:p>
            <w:pPr>
              <w:spacing w:after="0"/>
              <w:rPr>
                <w:sz w:val="20"/>
                <w:szCs w:val="20"/>
                <w:color w:val="auto"/>
              </w:rPr>
            </w:pPr>
            <w:r>
              <w:rPr>
                <w:rFonts w:ascii="Arial" w:cs="Arial" w:eastAsia="Arial" w:hAnsi="Arial"/>
                <w:sz w:val="16"/>
                <w:szCs w:val="16"/>
                <w:color w:val="auto"/>
              </w:rPr>
              <w:t>Payable to subsidiaries</w:t>
            </w:r>
          </w:p>
        </w:tc>
        <w:tc>
          <w:tcPr>
            <w:tcW w:w="1180" w:type="dxa"/>
            <w:vAlign w:val="bottom"/>
            <w:shd w:val="clear" w:color="auto" w:fill="CFF0FF"/>
          </w:tcPr>
          <w:p>
            <w:pPr>
              <w:jc w:val="center"/>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F"/>
          </w:tcPr>
          <w:p>
            <w:pPr>
              <w:spacing w:after="0"/>
              <w:rPr>
                <w:sz w:val="16"/>
                <w:szCs w:val="16"/>
                <w:color w:val="auto"/>
              </w:rPr>
            </w:pPr>
          </w:p>
        </w:tc>
        <w:tc>
          <w:tcPr>
            <w:tcW w:w="2660" w:type="dxa"/>
            <w:vAlign w:val="bottom"/>
            <w:gridSpan w:val="2"/>
            <w:shd w:val="clear" w:color="auto" w:fill="CFF0FF"/>
          </w:tcPr>
          <w:p>
            <w:pPr>
              <w:jc w:val="right"/>
              <w:ind w:right="2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F"/>
          </w:tcPr>
          <w:p>
            <w:pPr>
              <w:jc w:val="right"/>
              <w:spacing w:after="0"/>
              <w:rPr>
                <w:sz w:val="20"/>
                <w:szCs w:val="20"/>
                <w:color w:val="auto"/>
              </w:rPr>
            </w:pPr>
            <w:r>
              <w:rPr>
                <w:rFonts w:ascii="Arial" w:cs="Arial" w:eastAsia="Arial" w:hAnsi="Arial"/>
                <w:sz w:val="16"/>
                <w:szCs w:val="16"/>
                <w:color w:val="auto"/>
              </w:rPr>
              <w:t>3,780,949</w:t>
            </w:r>
          </w:p>
        </w:tc>
        <w:tc>
          <w:tcPr>
            <w:tcW w:w="120" w:type="dxa"/>
            <w:vAlign w:val="bottom"/>
            <w:shd w:val="clear" w:color="auto" w:fill="CFF0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463,178</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4,646,689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1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271,737,512</w:t>
            </w:r>
          </w:p>
        </w:tc>
        <w:tc>
          <w:tcPr>
            <w:tcW w:w="2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272,407,430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-2022475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-1028065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5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Statement of profit or loss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2025 and 2024</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1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Note</w:t>
            </w:r>
          </w:p>
        </w:tc>
        <w:tc>
          <w:tcPr>
            <w:tcW w:w="120" w:type="dxa"/>
            <w:vAlign w:val="bottom"/>
            <w:vMerge w:val="restart"/>
          </w:tcPr>
          <w:p>
            <w:pPr>
              <w:spacing w:after="0"/>
              <w:rPr>
                <w:sz w:val="17"/>
                <w:szCs w:val="17"/>
                <w:color w:val="auto"/>
              </w:rPr>
            </w:pPr>
          </w:p>
        </w:tc>
        <w:tc>
          <w:tcPr>
            <w:tcW w:w="164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9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Share in results of participating interests</w:t>
            </w:r>
          </w:p>
        </w:tc>
        <w:tc>
          <w:tcPr>
            <w:tcW w:w="1020" w:type="dxa"/>
            <w:vAlign w:val="bottom"/>
            <w:shd w:val="clear" w:color="auto" w:fill="CFF0FC"/>
          </w:tcPr>
          <w:p>
            <w:pPr>
              <w:jc w:val="right"/>
              <w:ind w:right="268"/>
              <w:spacing w:after="0" w:line="183" w:lineRule="exact"/>
              <w:rPr>
                <w:sz w:val="20"/>
                <w:szCs w:val="20"/>
                <w:color w:val="auto"/>
              </w:rPr>
            </w:pPr>
            <w:r>
              <w:rPr>
                <w:rFonts w:ascii="Arial" w:cs="Arial" w:eastAsia="Arial" w:hAnsi="Arial"/>
                <w:sz w:val="16"/>
                <w:szCs w:val="16"/>
                <w:color w:val="auto"/>
              </w:rPr>
              <w:t>1, 10</w:t>
            </w:r>
          </w:p>
        </w:tc>
        <w:tc>
          <w:tcPr>
            <w:tcW w:w="12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(174,487,506)</w:t>
            </w:r>
          </w:p>
        </w:tc>
        <w:tc>
          <w:tcPr>
            <w:tcW w:w="1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(122,576,817)</w:t>
            </w:r>
          </w:p>
        </w:tc>
        <w:tc>
          <w:tcPr>
            <w:tcW w:w="0" w:type="dxa"/>
            <w:vAlign w:val="bottom"/>
          </w:tcPr>
          <w:p>
            <w:pPr>
              <w:spacing w:after="0"/>
              <w:rPr>
                <w:sz w:val="1"/>
                <w:szCs w:val="1"/>
                <w:color w:val="auto"/>
              </w:rPr>
            </w:pPr>
          </w:p>
        </w:tc>
      </w:tr>
      <w:tr>
        <w:trPr>
          <w:trHeight w:val="189"/>
        </w:trPr>
        <w:tc>
          <w:tcPr>
            <w:tcW w:w="6940" w:type="dxa"/>
            <w:vAlign w:val="bottom"/>
            <w:gridSpan w:val="2"/>
          </w:tcPr>
          <w:p>
            <w:pPr>
              <w:spacing w:after="0"/>
              <w:rPr>
                <w:sz w:val="20"/>
                <w:szCs w:val="20"/>
                <w:color w:val="auto"/>
              </w:rPr>
            </w:pPr>
            <w:r>
              <w:rPr>
                <w:rFonts w:ascii="Arial" w:cs="Arial" w:eastAsia="Arial" w:hAnsi="Arial"/>
                <w:sz w:val="16"/>
                <w:szCs w:val="16"/>
                <w:color w:val="auto"/>
              </w:rPr>
              <w:t>Other loss and expenses after taxes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(1,211,891)</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(11,644,710)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Loss for the year after tax</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(175,699,397)</w:t>
            </w:r>
          </w:p>
        </w:tc>
        <w:tc>
          <w:tcPr>
            <w:tcW w:w="1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(134,221,527)</w:t>
            </w: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55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Company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5"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These company financial statements and the consolidated financial statements together constitute the statutory financial statements of Pharvaris N.V. (hereinafter: the “Company” or “Pharvaris”). The financial information of the Company is included in the Group’s consolidated financial statements, as presented on pages 118 to 138. The company’s financial statements are prepared based on the accounting principles of recognition, measurement and determination of profit, as applied in the consolidated financial statements.</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September 30, 2015, Pharvaris N.V. was incorporated and is based in Leiden, the Netherlands. The address of its registered office is Emmy Noetherweg 2, Leiden.</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description of the Company’s activities and the Group structure as included in the notes to the consolidated financial statements also apply to the company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2025 company financial statements including the notes thereon have been prepared in accordance with Part 9 of Book 2 of the Dutch Civil Code. Section 2:362 (8) of the Dutch Civil Code, allows companies that apply IFRS as issued by the European Union in their consolidated financial statements to use the same measurement principles in their company financial statements. Pharvaris has prepared these company financial statements using this provision. These principles also include the classification and presentation of financial instruments, being equity instruments or financial liabilities.</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Since Pharvaris N.V.’s statement of profit or loss for 2025 is recognized in the consolidated financial statements, it is sufficient in the company financial statements to present a condensed statement of profit or loss in accordance with section 402 of Book 2 of the Dutch Civil Code.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Participating interest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Consolidated subsidiaries are all entities (including intermediate subsidiaries) over which the company has control. The Company controls an entity when it is exposed, or has rights, to variable returns from its involvement with the subsidiary and has the ability to affect those returns through its power over the subsidiary. Subsidiaries are recognized from the date on which control is transferred to the Company or its intermediate holding entities. They are derecognized from the date that control ceases.</w:t>
      </w:r>
    </w:p>
    <w:p>
      <w:pPr>
        <w:spacing w:after="0" w:line="15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Investments in subsidiaries are measured using the net asset value method. The measurement of the financial fixed assets under the net asset value method is based on the measurement principles of assets, provisions and liabilities, and the determination of profit as applied in the consolidated financial statements. When subsidiaries have an equity deficit they are measured at zero under the net asset value method, unless the Company has given a liability undertaking or any other guarantee for the consolidated group company. In case of the latter, the Company recognizes a provision in the statement of financial position equal to the negative net asset value of the group company. The Company has direct and indirect interests in the subsidiaries listed in the Other Information section of the consolidated financial statements. The company applies the Dutch GAAP with respect to the presentation and disclosure requirements. Under Dutch GAAP the measurement principles applied in the separate financial statements are equal to those applied in the consolidated financial statements due to the fact participating interests and subsidiaries are measured based on the net asset value method (which have similar characteristics to the equity method under IFRS).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of result in participating interest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share of result of participating interests consists of the share of the Group in the results of these participating interests.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income tax</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 is the head of the fiscal unity including Pharvaris Holdings B.V. and Pharvaris Netherlands B.V. The Company recognizes the portion of corporate income tax charge that it would owe as an independent taxpayer, taking into account the allocation of the advantages of the fiscal unity. Deferred tax positions are recognized by the head of the fiscal unity in total. Under the standard conditions, the members of the tax group are jointly and severally liable for any corporate income taxes payable by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Presentation of company financial statements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structure of the Company statement of financial position and Company Statement of profit or loss are aligned as much as possible with the Consolidated statements in order to achieve optimal transparency between the consolidated financial statements and the company financial statements. The Company statement of financial position has been prepared before the appropriation of results.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Financial fixed assets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Movements in the financial fixed assets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color w:val="auto"/>
              </w:rPr>
              <w:t>Investment in</w:t>
            </w:r>
          </w:p>
        </w:tc>
      </w:tr>
      <w:tr>
        <w:trPr>
          <w:trHeight w:val="203"/>
        </w:trPr>
        <w:tc>
          <w:tcPr>
            <w:tcW w:w="8080" w:type="dxa"/>
            <w:vAlign w:val="bottom"/>
          </w:tcPr>
          <w:p>
            <w:pPr>
              <w:spacing w:after="0"/>
              <w:rPr>
                <w:sz w:val="17"/>
                <w:szCs w:val="17"/>
                <w:color w:val="auto"/>
              </w:rPr>
            </w:pPr>
          </w:p>
        </w:tc>
        <w:tc>
          <w:tcPr>
            <w:tcW w:w="3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subsidiaries</w:t>
            </w:r>
          </w:p>
        </w:tc>
      </w:tr>
      <w:tr>
        <w:trPr>
          <w:trHeight w:val="183"/>
        </w:trPr>
        <w:tc>
          <w:tcPr>
            <w:tcW w:w="8080" w:type="dxa"/>
            <w:vAlign w:val="bottom"/>
          </w:tcPr>
          <w:p>
            <w:pPr>
              <w:spacing w:after="0"/>
              <w:rPr>
                <w:sz w:val="15"/>
                <w:szCs w:val="15"/>
                <w:color w:val="auto"/>
              </w:rPr>
            </w:pPr>
          </w:p>
        </w:tc>
        <w:tc>
          <w:tcPr>
            <w:tcW w:w="30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r>
      <w:tr>
        <w:trPr>
          <w:trHeight w:val="189"/>
        </w:trPr>
        <w:tc>
          <w:tcPr>
            <w:tcW w:w="8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At January 1, 2025</w:t>
            </w:r>
          </w:p>
        </w:tc>
        <w:tc>
          <w:tcPr>
            <w:tcW w:w="3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239,380,167</w:t>
            </w:r>
          </w:p>
        </w:tc>
        <w:tc>
          <w:tcPr>
            <w:tcW w:w="100" w:type="dxa"/>
            <w:vAlign w:val="bottom"/>
            <w:shd w:val="clear" w:color="auto" w:fill="CFF0FC"/>
          </w:tcPr>
          <w:p>
            <w:pPr>
              <w:spacing w:after="0"/>
              <w:rPr>
                <w:sz w:val="16"/>
                <w:szCs w:val="16"/>
                <w:color w:val="auto"/>
              </w:rPr>
            </w:pPr>
          </w:p>
        </w:tc>
      </w:tr>
      <w:tr>
        <w:trPr>
          <w:trHeight w:val="378"/>
        </w:trPr>
        <w:tc>
          <w:tcPr>
            <w:tcW w:w="8080" w:type="dxa"/>
            <w:vAlign w:val="bottom"/>
          </w:tcPr>
          <w:p>
            <w:pPr>
              <w:spacing w:after="0"/>
              <w:rPr>
                <w:sz w:val="20"/>
                <w:szCs w:val="20"/>
                <w:color w:val="auto"/>
              </w:rPr>
            </w:pPr>
            <w:r>
              <w:rPr>
                <w:rFonts w:ascii="Arial" w:cs="Arial" w:eastAsia="Arial" w:hAnsi="Arial"/>
                <w:sz w:val="16"/>
                <w:szCs w:val="16"/>
                <w:b w:val="1"/>
                <w:bCs w:val="1"/>
                <w:color w:val="auto"/>
              </w:rPr>
              <w:t>Movements in book value</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8080" w:type="dxa"/>
            <w:vAlign w:val="bottom"/>
            <w:shd w:val="clear" w:color="auto" w:fill="CFF0FC"/>
          </w:tcPr>
          <w:p>
            <w:pPr>
              <w:spacing w:after="0"/>
              <w:rPr>
                <w:sz w:val="20"/>
                <w:szCs w:val="20"/>
                <w:color w:val="auto"/>
              </w:rPr>
            </w:pPr>
            <w:r>
              <w:rPr>
                <w:rFonts w:ascii="Arial" w:cs="Arial" w:eastAsia="Arial" w:hAnsi="Arial"/>
                <w:sz w:val="16"/>
                <w:szCs w:val="16"/>
                <w:color w:val="auto"/>
              </w:rPr>
              <w:t>Investments / (conversion into equity)</w:t>
            </w:r>
          </w:p>
        </w:tc>
        <w:tc>
          <w:tcPr>
            <w:tcW w:w="3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195,641,896</w:t>
            </w:r>
          </w:p>
        </w:tc>
        <w:tc>
          <w:tcPr>
            <w:tcW w:w="100" w:type="dxa"/>
            <w:vAlign w:val="bottom"/>
            <w:shd w:val="clear" w:color="auto" w:fill="CFF0FC"/>
          </w:tcPr>
          <w:p>
            <w:pPr>
              <w:spacing w:after="0"/>
              <w:rPr>
                <w:sz w:val="16"/>
                <w:szCs w:val="16"/>
                <w:color w:val="auto"/>
              </w:rPr>
            </w:pPr>
          </w:p>
        </w:tc>
      </w:tr>
      <w:tr>
        <w:trPr>
          <w:trHeight w:val="189"/>
        </w:trPr>
        <w:tc>
          <w:tcPr>
            <w:tcW w:w="8080" w:type="dxa"/>
            <w:vAlign w:val="bottom"/>
          </w:tcPr>
          <w:p>
            <w:pPr>
              <w:spacing w:after="0"/>
              <w:rPr>
                <w:sz w:val="20"/>
                <w:szCs w:val="20"/>
                <w:color w:val="auto"/>
              </w:rPr>
            </w:pPr>
            <w:r>
              <w:rPr>
                <w:rFonts w:ascii="Arial" w:cs="Arial" w:eastAsia="Arial" w:hAnsi="Arial"/>
                <w:sz w:val="16"/>
                <w:szCs w:val="16"/>
                <w:color w:val="auto"/>
              </w:rPr>
              <w:t>Exchange differences</w:t>
            </w:r>
          </w:p>
        </w:tc>
        <w:tc>
          <w:tcPr>
            <w:tcW w:w="3160" w:type="dxa"/>
            <w:vAlign w:val="bottom"/>
            <w:gridSpan w:val="2"/>
          </w:tcPr>
          <w:p>
            <w:pPr>
              <w:jc w:val="right"/>
              <w:ind w:right="60"/>
              <w:spacing w:after="0"/>
              <w:rPr>
                <w:sz w:val="20"/>
                <w:szCs w:val="20"/>
                <w:color w:val="auto"/>
              </w:rPr>
            </w:pPr>
            <w:r>
              <w:rPr>
                <w:rFonts w:ascii="Arial" w:cs="Arial" w:eastAsia="Arial" w:hAnsi="Arial"/>
                <w:sz w:val="16"/>
                <w:szCs w:val="16"/>
                <w:color w:val="auto"/>
              </w:rPr>
              <w:t>(407,895)</w:t>
            </w:r>
          </w:p>
        </w:tc>
      </w:tr>
      <w:tr>
        <w:trPr>
          <w:trHeight w:val="189"/>
        </w:trPr>
        <w:tc>
          <w:tcPr>
            <w:tcW w:w="8080" w:type="dxa"/>
            <w:vAlign w:val="bottom"/>
            <w:shd w:val="clear" w:color="auto" w:fill="CFF0FC"/>
          </w:tcPr>
          <w:p>
            <w:pPr>
              <w:spacing w:after="0"/>
              <w:rPr>
                <w:sz w:val="20"/>
                <w:szCs w:val="20"/>
                <w:color w:val="auto"/>
              </w:rPr>
            </w:pPr>
            <w:r>
              <w:rPr>
                <w:rFonts w:ascii="Arial" w:cs="Arial" w:eastAsia="Arial" w:hAnsi="Arial"/>
                <w:sz w:val="16"/>
                <w:szCs w:val="16"/>
                <w:color w:val="auto"/>
              </w:rPr>
              <w:t>Share of loss of participations</w:t>
            </w:r>
          </w:p>
        </w:tc>
        <w:tc>
          <w:tcPr>
            <w:tcW w:w="3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(174,487,506)</w:t>
            </w:r>
          </w:p>
        </w:tc>
      </w:tr>
      <w:tr>
        <w:trPr>
          <w:trHeight w:val="189"/>
        </w:trPr>
        <w:tc>
          <w:tcPr>
            <w:tcW w:w="8080" w:type="dxa"/>
            <w:vAlign w:val="bottom"/>
          </w:tcPr>
          <w:p>
            <w:pPr>
              <w:spacing w:after="0"/>
              <w:rPr>
                <w:sz w:val="20"/>
                <w:szCs w:val="20"/>
                <w:color w:val="auto"/>
              </w:rPr>
            </w:pPr>
            <w:r>
              <w:rPr>
                <w:rFonts w:ascii="Arial" w:cs="Arial" w:eastAsia="Arial" w:hAnsi="Arial"/>
                <w:sz w:val="16"/>
                <w:szCs w:val="16"/>
                <w:color w:val="auto"/>
              </w:rPr>
              <w:t>Other movements</w:t>
            </w:r>
          </w:p>
        </w:tc>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6"/>
                <w:szCs w:val="16"/>
                <w:b w:val="1"/>
                <w:bCs w:val="1"/>
                <w:color w:val="auto"/>
              </w:rPr>
              <w:t>At December 31, 2025</w:t>
            </w:r>
          </w:p>
        </w:tc>
        <w:tc>
          <w:tcPr>
            <w:tcW w:w="3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20,746,495</w:t>
            </w:r>
          </w:p>
        </w:tc>
        <w:tc>
          <w:tcPr>
            <w:tcW w:w="100" w:type="dxa"/>
            <w:vAlign w:val="bottom"/>
          </w:tcPr>
          <w:p>
            <w:pPr>
              <w:spacing w:after="0"/>
              <w:rPr>
                <w:sz w:val="15"/>
                <w:szCs w:val="15"/>
                <w:color w:val="auto"/>
              </w:rPr>
            </w:pPr>
          </w:p>
        </w:tc>
      </w:tr>
      <w:tr>
        <w:trPr>
          <w:trHeight w:val="223"/>
        </w:trPr>
        <w:tc>
          <w:tcPr>
            <w:tcW w:w="8080" w:type="dxa"/>
            <w:vAlign w:val="bottom"/>
            <w:tcBorders>
              <w:bottom w:val="single" w:sz="8" w:color="CFF0FF"/>
            </w:tcBorders>
            <w:shd w:val="clear" w:color="auto" w:fill="CFF0FF"/>
          </w:tcPr>
          <w:p>
            <w:pPr>
              <w:spacing w:after="0" w:line="169" w:lineRule="exact"/>
              <w:rPr>
                <w:sz w:val="20"/>
                <w:szCs w:val="20"/>
                <w:color w:val="auto"/>
              </w:rPr>
            </w:pPr>
            <w:r>
              <w:rPr>
                <w:rFonts w:ascii="Arial" w:cs="Arial" w:eastAsia="Arial" w:hAnsi="Arial"/>
                <w:sz w:val="16"/>
                <w:szCs w:val="16"/>
                <w:color w:val="auto"/>
              </w:rPr>
              <w:t>Net book value</w:t>
            </w:r>
          </w:p>
        </w:tc>
        <w:tc>
          <w:tcPr>
            <w:tcW w:w="306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b w:val="1"/>
                <w:bCs w:val="1"/>
                <w:color w:val="auto"/>
              </w:rPr>
              <w:t>260,126,662</w:t>
            </w:r>
          </w:p>
        </w:tc>
        <w:tc>
          <w:tcPr>
            <w:tcW w:w="10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Pharvaris Holdings B.V. reported a loss of €174.5 million for the year ended December 31, 2025 (2024: €122,576,817).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in subsidiaries is carried at €260.1 million on December 31, 2025 (2024: €239,380,167).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directly holds 100% of the shares of Pharvaris Holdings B.V. (2024: 100%) and indirectly holds 100% of the shares of Pharvaris Netherlands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B.V. (2024: 100%), 100% of the shares of Pharvaris Inc. (2024: 100%), 100% of the shares of Pharvaris Pharmaceuticals, Inc (2024: Nil as incorporated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2025), 100% of the shares of Pharvaris GmbH (2024: 100%) via Pharvaris Holdings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Receivables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60" w:type="dxa"/>
            <w:vAlign w:val="bottom"/>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Pr>
          <w:p>
            <w:pPr>
              <w:spacing w:after="0"/>
              <w:rPr>
                <w:sz w:val="16"/>
                <w:szCs w:val="16"/>
                <w:color w:val="auto"/>
              </w:rPr>
            </w:pPr>
          </w:p>
        </w:tc>
        <w:tc>
          <w:tcPr>
            <w:tcW w:w="2920" w:type="dxa"/>
            <w:vAlign w:val="bottom"/>
            <w:gridSpan w:val="2"/>
          </w:tcPr>
          <w:p>
            <w:pPr>
              <w:ind w:left="8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840" w:type="dxa"/>
            <w:vAlign w:val="bottom"/>
          </w:tcPr>
          <w:p>
            <w:pPr>
              <w:spacing w:after="0"/>
              <w:rPr>
                <w:sz w:val="17"/>
                <w:szCs w:val="17"/>
                <w:color w:val="auto"/>
              </w:rPr>
            </w:pPr>
          </w:p>
        </w:tc>
        <w:tc>
          <w:tcPr>
            <w:tcW w:w="2060" w:type="dxa"/>
            <w:vAlign w:val="bottom"/>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322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r>
      <w:tr>
        <w:trPr>
          <w:trHeight w:val="183"/>
        </w:trPr>
        <w:tc>
          <w:tcPr>
            <w:tcW w:w="5840" w:type="dxa"/>
            <w:vAlign w:val="bottom"/>
          </w:tcPr>
          <w:p>
            <w:pPr>
              <w:spacing w:after="0"/>
              <w:rPr>
                <w:sz w:val="15"/>
                <w:szCs w:val="15"/>
                <w:color w:val="auto"/>
              </w:rPr>
            </w:pPr>
          </w:p>
        </w:tc>
        <w:tc>
          <w:tcPr>
            <w:tcW w:w="20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420" w:type="dxa"/>
            <w:vAlign w:val="bottom"/>
          </w:tcPr>
          <w:p>
            <w:pPr>
              <w:spacing w:after="0"/>
              <w:rPr>
                <w:sz w:val="15"/>
                <w:szCs w:val="15"/>
                <w:color w:val="auto"/>
              </w:rPr>
            </w:pPr>
          </w:p>
        </w:tc>
        <w:tc>
          <w:tcPr>
            <w:tcW w:w="28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9"/>
        </w:trPr>
        <w:tc>
          <w:tcPr>
            <w:tcW w:w="5840" w:type="dxa"/>
            <w:vAlign w:val="bottom"/>
            <w:tcBorders>
              <w:bottom w:val="single" w:sz="8" w:color="CFF4FF"/>
            </w:tcBorders>
            <w:shd w:val="clear" w:color="auto" w:fill="CFF4FF"/>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206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137,764</w:t>
            </w:r>
          </w:p>
        </w:tc>
        <w:tc>
          <w:tcPr>
            <w:tcW w:w="420" w:type="dxa"/>
            <w:vAlign w:val="bottom"/>
            <w:tcBorders>
              <w:bottom w:val="single" w:sz="8" w:color="CFF4FF"/>
            </w:tcBorders>
            <w:shd w:val="clear" w:color="auto" w:fill="CFF4FF"/>
          </w:tcPr>
          <w:p>
            <w:pPr>
              <w:spacing w:after="0"/>
              <w:rPr>
                <w:sz w:val="16"/>
                <w:szCs w:val="16"/>
                <w:color w:val="auto"/>
              </w:rPr>
            </w:pPr>
          </w:p>
        </w:tc>
        <w:tc>
          <w:tcPr>
            <w:tcW w:w="28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72,002</w:t>
            </w:r>
          </w:p>
        </w:tc>
        <w:tc>
          <w:tcPr>
            <w:tcW w:w="120" w:type="dxa"/>
            <w:vAlign w:val="bottom"/>
            <w:tcBorders>
              <w:bottom w:val="single" w:sz="8" w:color="CFF4FF"/>
            </w:tcBorders>
            <w:shd w:val="clear" w:color="auto" w:fill="CFF4FF"/>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2060" w:type="dxa"/>
            <w:vAlign w:val="bottom"/>
          </w:tcPr>
          <w:p>
            <w:pPr>
              <w:jc w:val="right"/>
              <w:spacing w:after="0" w:line="183" w:lineRule="exact"/>
              <w:rPr>
                <w:sz w:val="20"/>
                <w:szCs w:val="20"/>
                <w:color w:val="auto"/>
              </w:rPr>
            </w:pPr>
            <w:r>
              <w:rPr>
                <w:rFonts w:ascii="Arial" w:cs="Arial" w:eastAsia="Arial" w:hAnsi="Arial"/>
                <w:sz w:val="16"/>
                <w:szCs w:val="16"/>
                <w:color w:val="auto"/>
              </w:rPr>
              <w:t>137,764</w:t>
            </w:r>
          </w:p>
        </w:tc>
        <w:tc>
          <w:tcPr>
            <w:tcW w:w="3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72,002</w:t>
            </w:r>
          </w:p>
        </w:tc>
        <w:tc>
          <w:tcPr>
            <w:tcW w:w="12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-153670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receivables do not bear any interest, the fair value approximates the book value. All receivables fall due within one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Prepayments, other receivables and deferred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Prepayments</w:t>
            </w:r>
          </w:p>
        </w:tc>
        <w:tc>
          <w:tcPr>
            <w:tcW w:w="16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226,863</w:t>
            </w:r>
          </w:p>
        </w:tc>
        <w:tc>
          <w:tcPr>
            <w:tcW w:w="100" w:type="dxa"/>
            <w:vAlign w:val="bottom"/>
            <w:shd w:val="clear" w:color="auto" w:fill="CFF0FF"/>
          </w:tcPr>
          <w:p>
            <w:pPr>
              <w:spacing w:after="0"/>
              <w:rPr>
                <w:sz w:val="15"/>
                <w:szCs w:val="15"/>
                <w:color w:val="auto"/>
              </w:rPr>
            </w:pPr>
          </w:p>
        </w:tc>
        <w:tc>
          <w:tcPr>
            <w:tcW w:w="120" w:type="dxa"/>
            <w:vAlign w:val="bottom"/>
            <w:shd w:val="clear" w:color="auto" w:fill="CFF0FF"/>
          </w:tcPr>
          <w:p>
            <w:pPr>
              <w:spacing w:after="0"/>
              <w:rPr>
                <w:sz w:val="15"/>
                <w:szCs w:val="15"/>
                <w:color w:val="auto"/>
              </w:rPr>
            </w:pPr>
          </w:p>
        </w:tc>
        <w:tc>
          <w:tcPr>
            <w:tcW w:w="16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342,301</w:t>
            </w:r>
          </w:p>
        </w:tc>
        <w:tc>
          <w:tcPr>
            <w:tcW w:w="120" w:type="dxa"/>
            <w:vAlign w:val="bottom"/>
            <w:shd w:val="clear" w:color="auto" w:fill="CFF0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receivables and deferred expenses</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(102,864)</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41,945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123,999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384,246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Prepayments per December 31, 2025 and 2024 mainly relate to prepaid D&amp;O insurance.</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 Cash and cash equivalents</w:t>
            </w:r>
          </w:p>
        </w:tc>
        <w:tc>
          <w:tcPr>
            <w:tcW w:w="182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December 31,</w:t>
            </w:r>
          </w:p>
        </w:tc>
        <w:tc>
          <w:tcPr>
            <w:tcW w:w="17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4,278,985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31,872,510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4,278,985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31,872,510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Equity</w:t>
      </w:r>
    </w:p>
    <w:p>
      <w:pPr>
        <w:spacing w:after="0" w:line="12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December 31, 2025 and 2024, the Company’s authorized share capital amounted to € 14.1 million divided into 117,500,000 ordinary shares, each with a nominal value of (€0.12). (2023: authorized share capital amounted to € 14.1 million divided into 58,750,000 ordinary shares and 58,750,000 preferred shares, each with a nominal value of (€0.12).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total number of issued and fully paid shares was 65,210,590 (2024: 54,379,491; 2023: 52,290,212).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issued share capital totaled €7.8 million (2024: €6.5 million; 2023: €6.3 million).</w:t>
      </w:r>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2025, the Company has sold a total of 593,927 ordinary shares under the sales agreement generating total net proceeds of €9.3 million ($9.8 million), after deducting €0.3 million ($0.3 million), which was payable to Leerink Partners as commission in respect of such sales.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6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€0.004 million ($0.005 million) and resulted in issuance of 500,000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3"/>
                <w:szCs w:val="13"/>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Share</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Other</w:t>
            </w: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Legal</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Accumulated</w:t>
            </w:r>
          </w:p>
        </w:tc>
        <w:tc>
          <w:tcPr>
            <w:tcW w:w="19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Total</w:t>
            </w:r>
          </w:p>
        </w:tc>
      </w:tr>
      <w:tr>
        <w:trPr>
          <w:trHeight w:val="153"/>
        </w:trPr>
        <w:tc>
          <w:tcPr>
            <w:tcW w:w="30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premium</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2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reserve</w:t>
            </w: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losses</w:t>
            </w:r>
          </w:p>
        </w:tc>
        <w:tc>
          <w:tcPr>
            <w:tcW w:w="19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Equity</w:t>
            </w:r>
          </w:p>
        </w:tc>
      </w:tr>
      <w:tr>
        <w:trPr>
          <w:trHeight w:val="128"/>
        </w:trPr>
        <w:tc>
          <w:tcPr>
            <w:tcW w:w="302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center"/>
              <w:ind w:left="31"/>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center"/>
              <w:ind w:left="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55"/>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2024</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6,274,833</w:t>
            </w:r>
          </w:p>
        </w:tc>
        <w:tc>
          <w:tcPr>
            <w:tcW w:w="1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615,811,986</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(14,584)</w:t>
            </w: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(265,918,628)</w:t>
            </w:r>
          </w:p>
        </w:tc>
        <w:tc>
          <w:tcPr>
            <w:tcW w:w="1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384,048,403</w:t>
            </w:r>
          </w:p>
        </w:tc>
        <w:tc>
          <w:tcPr>
            <w:tcW w:w="100" w:type="dxa"/>
            <w:vAlign w:val="bottom"/>
            <w:shd w:val="clear" w:color="auto" w:fill="CFF0FC"/>
          </w:tcPr>
          <w:p>
            <w:pPr>
              <w:spacing w:after="0"/>
              <w:rPr>
                <w:sz w:val="13"/>
                <w:szCs w:val="13"/>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(134,221,527)</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(134,221,527)</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Increase in par value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Issue of share capital</w:t>
            </w:r>
          </w:p>
        </w:tc>
        <w:tc>
          <w:tcPr>
            <w:tcW w:w="104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(165,000)</w:t>
            </w:r>
          </w:p>
        </w:tc>
        <w:tc>
          <w:tcPr>
            <w:tcW w:w="130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Tax effect on transaction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tcPr>
          <w:p>
            <w:pPr>
              <w:spacing w:after="0"/>
              <w:rPr>
                <w:sz w:val="14"/>
                <w:szCs w:val="14"/>
                <w:color w:val="auto"/>
              </w:rPr>
            </w:pP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tcPr>
          <w:p>
            <w:pPr>
              <w:jc w:val="right"/>
              <w:spacing w:after="0"/>
              <w:rPr>
                <w:sz w:val="20"/>
                <w:szCs w:val="20"/>
                <w:color w:val="auto"/>
              </w:rPr>
            </w:pPr>
            <w:r>
              <w:rPr>
                <w:rFonts w:ascii="Arial" w:cs="Arial" w:eastAsia="Arial" w:hAnsi="Arial"/>
                <w:sz w:val="14"/>
                <w:szCs w:val="14"/>
                <w:color w:val="auto"/>
              </w:rPr>
              <w:t>85,706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6,550,732</w:t>
            </w:r>
          </w:p>
        </w:tc>
        <w:tc>
          <w:tcPr>
            <w:tcW w:w="12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(4,404,835)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(2,114,852)</w:t>
            </w:r>
          </w:p>
        </w:tc>
        <w:tc>
          <w:tcPr>
            <w:tcW w:w="1820" w:type="dxa"/>
            <w:vAlign w:val="bottom"/>
          </w:tcPr>
          <w:p>
            <w:pPr>
              <w:jc w:val="right"/>
              <w:spacing w:after="0"/>
              <w:rPr>
                <w:sz w:val="20"/>
                <w:szCs w:val="20"/>
                <w:color w:val="auto"/>
              </w:rPr>
            </w:pPr>
            <w:r>
              <w:rPr>
                <w:rFonts w:ascii="Arial" w:cs="Arial" w:eastAsia="Arial" w:hAnsi="Arial"/>
                <w:sz w:val="14"/>
                <w:szCs w:val="14"/>
                <w:color w:val="auto"/>
              </w:rPr>
              <w:t>116,751</w:t>
            </w:r>
          </w:p>
        </w:tc>
        <w:tc>
          <w:tcPr>
            <w:tcW w:w="100" w:type="dxa"/>
            <w:vAlign w:val="bottom"/>
          </w:tcPr>
          <w:p>
            <w:pPr>
              <w:spacing w:after="0"/>
              <w:rPr>
                <w:sz w:val="14"/>
                <w:szCs w:val="14"/>
                <w:color w:val="auto"/>
              </w:rPr>
            </w:pPr>
          </w:p>
        </w:tc>
      </w:tr>
      <w:tr>
        <w:trPr>
          <w:trHeight w:val="162"/>
        </w:trPr>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30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6,525,539</w:t>
            </w: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623,641,380</w:t>
            </w: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39,711,103</w:t>
            </w:r>
          </w:p>
        </w:tc>
        <w:tc>
          <w:tcPr>
            <w:tcW w:w="10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137,726</w:t>
            </w:r>
          </w:p>
        </w:tc>
        <w:tc>
          <w:tcPr>
            <w:tcW w:w="120" w:type="dxa"/>
            <w:vAlign w:val="bottom"/>
          </w:tcPr>
          <w:p>
            <w:pPr>
              <w:spacing w:after="0"/>
              <w:rPr>
                <w:sz w:val="13"/>
                <w:szCs w:val="13"/>
                <w:color w:val="auto"/>
              </w:rPr>
            </w:pPr>
          </w:p>
        </w:tc>
        <w:tc>
          <w:tcPr>
            <w:tcW w:w="1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(402,255,007)</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267,760,741</w:t>
            </w:r>
          </w:p>
        </w:tc>
        <w:tc>
          <w:tcPr>
            <w:tcW w:w="100" w:type="dxa"/>
            <w:vAlign w:val="bottom"/>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0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Balance at January 1, 2025</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6,525,539</w:t>
            </w:r>
          </w:p>
        </w:tc>
        <w:tc>
          <w:tcPr>
            <w:tcW w:w="12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623,641,380</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39,711,103</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137,726</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(402,255,007)</w:t>
            </w:r>
          </w:p>
        </w:tc>
        <w:tc>
          <w:tcPr>
            <w:tcW w:w="18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267,760,741</w:t>
            </w:r>
          </w:p>
        </w:tc>
        <w:tc>
          <w:tcPr>
            <w:tcW w:w="100" w:type="dxa"/>
            <w:vAlign w:val="bottom"/>
            <w:shd w:val="clear" w:color="auto" w:fill="CFF0FC"/>
          </w:tcPr>
          <w:p>
            <w:pPr>
              <w:spacing w:after="0"/>
              <w:rPr>
                <w:sz w:val="12"/>
                <w:szCs w:val="12"/>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(175,699,397)</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(175,699,397)</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Issue of share capital</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1,207,500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170,029,468</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171,236,968</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(10,888,209)</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(10,888,209)</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Tax effect on transaction costs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1,386,613</w:t>
            </w:r>
          </w:p>
        </w:tc>
        <w:tc>
          <w:tcPr>
            <w:tcW w:w="100" w:type="dxa"/>
            <w:vAlign w:val="bottom"/>
            <w:shd w:val="clear" w:color="auto" w:fill="CFF0FC"/>
          </w:tcPr>
          <w:p>
            <w:pPr>
              <w:spacing w:after="0"/>
              <w:rPr>
                <w:sz w:val="14"/>
                <w:szCs w:val="14"/>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(407,895)</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(407,895)</w:t>
            </w:r>
          </w:p>
        </w:tc>
      </w:tr>
      <w:tr>
        <w:trPr>
          <w:trHeight w:val="162"/>
        </w:trPr>
        <w:tc>
          <w:tcPr>
            <w:tcW w:w="3020" w:type="dxa"/>
            <w:vAlign w:val="bottom"/>
            <w:shd w:val="clear" w:color="auto" w:fill="CFF0FC"/>
          </w:tcPr>
          <w:p>
            <w:pPr>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92,232</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8,380,149</w:t>
            </w: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(7,995,359)</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(1,641,903)</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(1,164,881)</w:t>
            </w: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19,050,394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19,050,394</w:t>
            </w:r>
          </w:p>
        </w:tc>
        <w:tc>
          <w:tcPr>
            <w:tcW w:w="100" w:type="dxa"/>
            <w:vAlign w:val="bottom"/>
          </w:tcPr>
          <w:p>
            <w:pPr>
              <w:spacing w:after="0"/>
              <w:rPr>
                <w:sz w:val="14"/>
                <w:szCs w:val="14"/>
                <w:color w:val="auto"/>
              </w:rPr>
            </w:pPr>
          </w:p>
        </w:tc>
      </w:tr>
      <w:tr>
        <w:trPr>
          <w:trHeight w:val="175"/>
        </w:trPr>
        <w:tc>
          <w:tcPr>
            <w:tcW w:w="3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2025</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7,825,271</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792,549,401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50,766,138</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(270,169)</w:t>
            </w:r>
          </w:p>
        </w:tc>
        <w:tc>
          <w:tcPr>
            <w:tcW w:w="1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(579,596,307)</w:t>
            </w:r>
          </w:p>
        </w:tc>
        <w:tc>
          <w:tcPr>
            <w:tcW w:w="1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271,274,334</w:t>
            </w:r>
          </w:p>
        </w:tc>
        <w:tc>
          <w:tcPr>
            <w:tcW w:w="100" w:type="dxa"/>
            <w:vAlign w:val="bottom"/>
            <w:shd w:val="clear" w:color="auto" w:fill="CFF0FC"/>
          </w:tcPr>
          <w:p>
            <w:pPr>
              <w:spacing w:after="0"/>
              <w:rPr>
                <w:sz w:val="15"/>
                <w:szCs w:val="15"/>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-1096645</wp:posOffset>
            </wp:positionV>
            <wp:extent cx="768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-1096645</wp:posOffset>
            </wp:positionV>
            <wp:extent cx="774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-1096645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-1096645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-1096645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reserve</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December 31, 2025 the legal reserve amounted to (€270,169) (2024: €137,726 ) and relate to unrealized currency translation losses. Pursuant to Dutch law, limitations exist relating to the distribution of shareholder’s equity for the entire amount of legal reserve. By their nature, unrealized losses relating to the currency translation differences reduce shareholders’ equity and thereby distributable amounts.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Appropriation of the result for 2025 and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result for the years 2025 and 2024 has been transferred to accumulated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 in equity and loss between the company and consolidated financial statements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no difference between equity according to the company balance sheet and equity according to the consolidated balance sheet as well as the result according to the Company income statement and result according to the consolidated income statement for the year ended December 31, 2025 and 2024.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Trade and other payables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8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Trade payables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324,694</w:t>
            </w:r>
          </w:p>
        </w:tc>
        <w:tc>
          <w:tcPr>
            <w:tcW w:w="22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593,569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324,694</w:t>
            </w:r>
          </w:p>
        </w:tc>
        <w:tc>
          <w:tcPr>
            <w:tcW w:w="1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593,569</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fall due within one year. The trade and other payables do not bear any interest and the carrying value approximates the fair value.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8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3"/>
        </w:trPr>
        <w:tc>
          <w:tcPr>
            <w:tcW w:w="770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Consulting and accounting fee accruals</w:t>
            </w: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138,484</w:t>
            </w:r>
          </w:p>
        </w:tc>
        <w:tc>
          <w:tcPr>
            <w:tcW w:w="220" w:type="dxa"/>
            <w:vAlign w:val="bottom"/>
            <w:tcBorders>
              <w:bottom w:val="single" w:sz="8" w:color="CFF0FF"/>
            </w:tcBorders>
            <w:shd w:val="clear" w:color="auto" w:fill="CFF0FF"/>
          </w:tcPr>
          <w:p>
            <w:pPr>
              <w:spacing w:after="0"/>
              <w:rPr>
                <w:sz w:val="15"/>
                <w:szCs w:val="15"/>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272,171</w:t>
            </w:r>
          </w:p>
        </w:tc>
        <w:tc>
          <w:tcPr>
            <w:tcW w:w="120" w:type="dxa"/>
            <w:vAlign w:val="bottom"/>
            <w:tcBorders>
              <w:bottom w:val="single" w:sz="8" w:color="CFF0FF"/>
            </w:tcBorders>
            <w:shd w:val="clear" w:color="auto" w:fill="CFF0FF"/>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138,484</w:t>
            </w:r>
          </w:p>
        </w:tc>
        <w:tc>
          <w:tcPr>
            <w:tcW w:w="18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272,171</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All the accrued liabilities are due within twelve months after year-end and qualify as short-term liabilities. The carrying value of accrued liabilities approximates the fair value.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Receivable / (</w:t>
      </w:r>
      <w:r>
        <w:rPr>
          <w:rFonts w:ascii="Times New Roman" w:cs="Times New Roman" w:eastAsia="Times New Roman" w:hAnsi="Times New Roman"/>
          <w:sz w:val="19"/>
          <w:szCs w:val="19"/>
          <w:b w:val="1"/>
          <w:bCs w:val="1"/>
          <w:color w:val="auto"/>
        </w:rPr>
        <w:t>Payable) to subsidiaries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520" w:type="dxa"/>
            <w:vAlign w:val="bottom"/>
          </w:tcPr>
          <w:p>
            <w:pPr>
              <w:spacing w:after="0"/>
              <w:rPr>
                <w:sz w:val="17"/>
                <w:szCs w:val="17"/>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02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83"/>
        </w:trPr>
        <w:tc>
          <w:tcPr>
            <w:tcW w:w="75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5"/>
                <w:szCs w:val="15"/>
                <w:color w:val="auto"/>
              </w:rPr>
            </w:pPr>
          </w:p>
        </w:tc>
        <w:tc>
          <w:tcPr>
            <w:tcW w:w="18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r>
      <w:tr>
        <w:trPr>
          <w:trHeight w:val="183"/>
        </w:trPr>
        <w:tc>
          <w:tcPr>
            <w:tcW w:w="752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Receivable / (Payable) to subsidiaries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6,362,099</w:t>
            </w:r>
          </w:p>
        </w:tc>
        <w:tc>
          <w:tcPr>
            <w:tcW w:w="22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(3,780,949)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52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6,362,099</w:t>
            </w:r>
          </w:p>
        </w:tc>
        <w:tc>
          <w:tcPr>
            <w:tcW w:w="2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3,780,949</w:t>
            </w:r>
          </w:p>
        </w:tc>
        <w:tc>
          <w:tcPr>
            <w:tcW w:w="100" w:type="dxa"/>
            <w:vAlign w:val="bottom"/>
          </w:tcPr>
          <w:p>
            <w:pPr>
              <w:spacing w:after="0"/>
              <w:rPr>
                <w:sz w:val="15"/>
                <w:szCs w:val="15"/>
                <w:color w:val="auto"/>
              </w:rPr>
            </w:pPr>
          </w:p>
        </w:tc>
      </w:tr>
      <w:tr>
        <w:trPr>
          <w:trHeight w:val="20"/>
        </w:trPr>
        <w:tc>
          <w:tcPr>
            <w:tcW w:w="75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-153670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receivable/ (payable) to subsidiaries are in a current account with group companies, which is directly claimable. The fair value of the payable to subsidiaries approximates the carrying amount.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Commitments and contingencies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contingent liabilities and no contingent assets at December 31, 2025 and 2024.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unity</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is the head of the fiscal unity Pharvaris N.V. in the Netherlands for income taxes and is jointly and severally liable for the income tax liabilities of the fiscal unity. Reference is made to note 11 of these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Share in results of participating interests</w:t>
      </w:r>
    </w:p>
    <w:p>
      <w:pPr>
        <w:spacing w:after="0" w:line="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represents the share of the Company in the results of its participating interest of Pharvaris Holdings B.V. Reference is made to Note 1 of these financial statements.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Pharvaris N.V. forms a corporate income tax group, fiscal unity, with Pharvaris Netherlands B.V. and Pharvaris Holdings B.V. As head of the fiscal unity, the company financial statements of Pharvaris N.V. recognize the entire tax position of the fiscal unity.</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current tax expenses of €Nil for the year ended December 31, 2025. Tax charge in 2024 was €506,139, and related to the result of a cost-plus agreement between the Dutch entities and the Group's principal entity in Switzerland resulting in a taxable profit in the Netherlands. In addition, a deferred tax loss of €851,662 for the year ended December 31, 2023 which was directly recognized in equity as a benefit and related to the deferred tax effect of share issuance costs accounted for in share premium, but which are tax deductible.</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Furthermore, in 2025 and 2024, a deferred tax expense of € 208,186 was recognized for temporary valuation differences on the intangible fixed asset for fiscal purposes, which was fully offset by a deferred tax benefit of €260,854 (2024: €361,475) due to a decrease in balance for the non-recognized deferred tax assets.</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All the tax liabilities are due within twelve months after year-end and qualify as short-term liabilities. The total tax expenses for the year ended December 31, 2024 amounts €52,668 (2024: €1,204,512)</w:t>
      </w:r>
    </w:p>
    <w:p>
      <w:pPr>
        <w:spacing w:after="0" w:line="14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Company did not recognize the tax benefit of the losses incurred in previous years. The fiscal unity has tax loss carry-forwards of approximately €33.9 million (2024: €26.2 million), that are available for offsetting against future taxable profits of the companies in which the losses arose.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0" w:type="dxa"/>
            <w:vAlign w:val="bottom"/>
          </w:tcPr>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920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Tax losses</w:t>
            </w:r>
          </w:p>
        </w:tc>
        <w:tc>
          <w:tcPr>
            <w:tcW w:w="0" w:type="dxa"/>
            <w:vAlign w:val="bottom"/>
          </w:tcPr>
          <w:p>
            <w:pPr>
              <w:spacing w:after="0"/>
              <w:rPr>
                <w:sz w:val="1"/>
                <w:szCs w:val="1"/>
                <w:color w:val="auto"/>
              </w:rPr>
            </w:pPr>
          </w:p>
        </w:tc>
      </w:tr>
      <w:tr>
        <w:trPr>
          <w:trHeight w:val="203"/>
        </w:trPr>
        <w:tc>
          <w:tcPr>
            <w:tcW w:w="92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 million</w:t>
            </w:r>
          </w:p>
        </w:tc>
        <w:tc>
          <w:tcPr>
            <w:tcW w:w="0" w:type="dxa"/>
            <w:vAlign w:val="bottom"/>
          </w:tcPr>
          <w:p>
            <w:pPr>
              <w:spacing w:after="0"/>
              <w:rPr>
                <w:sz w:val="1"/>
                <w:szCs w:val="1"/>
                <w:color w:val="auto"/>
              </w:rPr>
            </w:pPr>
          </w:p>
        </w:tc>
      </w:tr>
      <w:tr>
        <w:trPr>
          <w:trHeight w:val="183"/>
        </w:trPr>
        <w:tc>
          <w:tcPr>
            <w:tcW w:w="9200" w:type="dxa"/>
            <w:vAlign w:val="bottom"/>
            <w:tcBorders>
              <w:bottom w:val="single" w:sz="8" w:color="CFF0FF"/>
            </w:tcBorders>
            <w:shd w:val="clear" w:color="auto" w:fill="CFF0FF"/>
          </w:tcPr>
          <w:p>
            <w:pPr>
              <w:spacing w:after="0" w:line="183" w:lineRule="exact"/>
              <w:rPr>
                <w:sz w:val="20"/>
                <w:szCs w:val="20"/>
                <w:color w:val="auto"/>
              </w:rPr>
            </w:pPr>
            <w:r>
              <w:rPr>
                <w:rFonts w:ascii="Arial" w:cs="Arial" w:eastAsia="Arial" w:hAnsi="Arial"/>
                <w:sz w:val="16"/>
                <w:szCs w:val="16"/>
                <w:color w:val="auto"/>
              </w:rPr>
              <w:t>Unlimited</w:t>
            </w:r>
          </w:p>
        </w:tc>
        <w:tc>
          <w:tcPr>
            <w:tcW w:w="1940" w:type="dxa"/>
            <w:vAlign w:val="bottom"/>
            <w:tcBorders>
              <w:top w:val="single" w:sz="8" w:color="auto"/>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33.9</w:t>
            </w:r>
          </w:p>
        </w:tc>
        <w:tc>
          <w:tcPr>
            <w:tcW w:w="100" w:type="dxa"/>
            <w:vAlign w:val="bottom"/>
            <w:tcBorders>
              <w:bottom w:val="single" w:sz="8" w:color="CFF0FF"/>
            </w:tcBorders>
            <w:shd w:val="clear" w:color="auto" w:fill="CFF0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carry-forward losses</w:t>
            </w:r>
          </w:p>
        </w:tc>
        <w:tc>
          <w:tcPr>
            <w:tcW w:w="1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6"/>
                <w:szCs w:val="16"/>
                <w:b w:val="1"/>
                <w:bCs w:val="1"/>
                <w:color w:val="auto"/>
              </w:rPr>
              <w:t>Deferred tax</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92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-423545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statement of profit or loss.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R&amp;D</w:t>
            </w:r>
          </w:p>
        </w:tc>
        <w:tc>
          <w:tcPr>
            <w:tcW w:w="2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center"/>
              <w:ind w:right="240"/>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At January 1, 2025</w:t>
            </w:r>
          </w:p>
        </w:tc>
        <w:tc>
          <w:tcPr>
            <w:tcW w:w="1360" w:type="dxa"/>
            <w:vAlign w:val="bottom"/>
          </w:tcPr>
          <w:p>
            <w:pPr>
              <w:jc w:val="right"/>
              <w:spacing w:after="0"/>
              <w:rPr>
                <w:sz w:val="20"/>
                <w:szCs w:val="20"/>
                <w:color w:val="auto"/>
              </w:rPr>
            </w:pPr>
            <w:r>
              <w:rPr>
                <w:rFonts w:ascii="Arial" w:cs="Arial" w:eastAsia="Arial" w:hAnsi="Arial"/>
                <w:sz w:val="16"/>
                <w:szCs w:val="16"/>
                <w:color w:val="auto"/>
              </w:rPr>
              <w:t>1,661,446</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1,661,446</w:t>
            </w:r>
          </w:p>
        </w:tc>
        <w:tc>
          <w:tcPr>
            <w:tcW w:w="120" w:type="dxa"/>
            <w:vAlign w:val="bottom"/>
          </w:tcPr>
          <w:p>
            <w:pPr>
              <w:spacing w:after="0"/>
              <w:rPr>
                <w:sz w:val="16"/>
                <w:szCs w:val="16"/>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Credited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46,119</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46,119</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tcPr>
          <w:p>
            <w:pPr>
              <w:spacing w:after="0" w:line="183" w:lineRule="exact"/>
              <w:rPr>
                <w:sz w:val="20"/>
                <w:szCs w:val="20"/>
                <w:color w:val="auto"/>
              </w:rPr>
            </w:pPr>
            <w:r>
              <w:rPr>
                <w:rFonts w:ascii="Arial" w:cs="Arial" w:eastAsia="Arial" w:hAnsi="Arial"/>
                <w:sz w:val="16"/>
                <w:szCs w:val="16"/>
                <w:color w:val="auto"/>
              </w:rPr>
              <w:t>At December 31, 2025</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1,707,565</w:t>
            </w:r>
          </w:p>
        </w:tc>
        <w:tc>
          <w:tcPr>
            <w:tcW w:w="220" w:type="dxa"/>
            <w:vAlign w:val="bottom"/>
          </w:tcPr>
          <w:p>
            <w:pPr>
              <w:spacing w:after="0"/>
              <w:rPr>
                <w:sz w:val="15"/>
                <w:szCs w:val="15"/>
                <w:color w:val="auto"/>
              </w:rPr>
            </w:pPr>
          </w:p>
        </w:tc>
        <w:tc>
          <w:tcPr>
            <w:tcW w:w="1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1,707,565</w:t>
            </w:r>
          </w:p>
        </w:tc>
        <w:tc>
          <w:tcPr>
            <w:tcW w:w="120" w:type="dxa"/>
            <w:vAlign w:val="bottom"/>
          </w:tcPr>
          <w:p>
            <w:pPr>
              <w:spacing w:after="0"/>
              <w:rPr>
                <w:sz w:val="15"/>
                <w:szCs w:val="15"/>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At January 1, 2025</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rPr>
                <w:sz w:val="20"/>
                <w:szCs w:val="20"/>
                <w:color w:val="auto"/>
              </w:rPr>
            </w:pPr>
            <w:r>
              <w:rPr>
                <w:rFonts w:ascii="Arial" w:cs="Arial" w:eastAsia="Arial" w:hAnsi="Arial"/>
                <w:sz w:val="16"/>
                <w:szCs w:val="16"/>
                <w:color w:val="auto"/>
              </w:rPr>
              <w:t>(1,661,446)</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(1,661,446)</w:t>
            </w: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Credited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rPr>
                <w:sz w:val="20"/>
                <w:szCs w:val="20"/>
                <w:color w:val="auto"/>
              </w:rPr>
            </w:pPr>
            <w:r>
              <w:rPr>
                <w:rFonts w:ascii="Arial" w:cs="Arial" w:eastAsia="Arial" w:hAnsi="Arial"/>
                <w:sz w:val="16"/>
                <w:szCs w:val="16"/>
                <w:color w:val="auto"/>
              </w:rPr>
              <w:t>(46,119)</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(46,119)</w:t>
            </w:r>
          </w:p>
        </w:tc>
      </w:tr>
      <w:tr>
        <w:trPr>
          <w:trHeight w:val="189"/>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tcPr>
          <w:p>
            <w:pPr>
              <w:spacing w:after="0" w:line="183" w:lineRule="exact"/>
              <w:rPr>
                <w:sz w:val="20"/>
                <w:szCs w:val="20"/>
                <w:color w:val="auto"/>
              </w:rPr>
            </w:pPr>
            <w:r>
              <w:rPr>
                <w:rFonts w:ascii="Arial" w:cs="Arial" w:eastAsia="Arial" w:hAnsi="Arial"/>
                <w:sz w:val="16"/>
                <w:szCs w:val="16"/>
                <w:color w:val="auto"/>
              </w:rPr>
              <w:t>At December 31, 2025</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5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(1,707,565)</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(1,707,565)</w:t>
            </w:r>
          </w:p>
        </w:tc>
      </w:tr>
      <w:tr>
        <w:trPr>
          <w:trHeight w:val="223"/>
        </w:trPr>
        <w:tc>
          <w:tcPr>
            <w:tcW w:w="66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2025</w:t>
            </w:r>
          </w:p>
        </w:tc>
        <w:tc>
          <w:tcPr>
            <w:tcW w:w="13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-1019175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-1019175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-281940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-281940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0"/>
        </w:trPr>
        <w:tc>
          <w:tcPr>
            <w:tcW w:w="1380" w:type="dxa"/>
            <w:vAlign w:val="bottom"/>
            <w:tcBorders>
              <w:top w:val="single" w:sz="8" w:color="0000FF"/>
            </w:tcBorders>
          </w:tcPr>
          <w:p>
            <w:pPr>
              <w:spacing w:after="0"/>
              <w:rPr>
                <w:sz w:val="24"/>
                <w:szCs w:val="24"/>
                <w:color w:val="auto"/>
              </w:rPr>
            </w:pPr>
          </w:p>
        </w:tc>
        <w:tc>
          <w:tcPr>
            <w:tcW w:w="5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R&amp;D</w:t>
            </w:r>
          </w:p>
        </w:tc>
        <w:tc>
          <w:tcPr>
            <w:tcW w:w="22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66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assets</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center"/>
              <w:ind w:right="240"/>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At January 1, 2024</w:t>
            </w:r>
          </w:p>
        </w:tc>
        <w:tc>
          <w:tcPr>
            <w:tcW w:w="1360" w:type="dxa"/>
            <w:vAlign w:val="bottom"/>
          </w:tcPr>
          <w:p>
            <w:pPr>
              <w:jc w:val="right"/>
              <w:spacing w:after="0"/>
              <w:rPr>
                <w:sz w:val="20"/>
                <w:szCs w:val="20"/>
                <w:color w:val="auto"/>
              </w:rPr>
            </w:pPr>
            <w:r>
              <w:rPr>
                <w:rFonts w:ascii="Arial" w:cs="Arial" w:eastAsia="Arial" w:hAnsi="Arial"/>
                <w:sz w:val="16"/>
                <w:szCs w:val="16"/>
                <w:color w:val="auto"/>
              </w:rPr>
              <w:t>1,754,775</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1,754,775</w:t>
            </w:r>
          </w:p>
        </w:tc>
        <w:tc>
          <w:tcPr>
            <w:tcW w:w="120" w:type="dxa"/>
            <w:vAlign w:val="bottom"/>
          </w:tcPr>
          <w:p>
            <w:pPr>
              <w:spacing w:after="0"/>
              <w:rPr>
                <w:sz w:val="16"/>
                <w:szCs w:val="16"/>
                <w:color w:val="auto"/>
              </w:rPr>
            </w:pPr>
          </w:p>
        </w:tc>
      </w:tr>
      <w:tr>
        <w:trPr>
          <w:trHeight w:val="18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Charged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59,958</w:t>
            </w:r>
          </w:p>
        </w:tc>
        <w:tc>
          <w:tcPr>
            <w:tcW w:w="22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59,958</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2024</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1,814,733</w:t>
            </w:r>
          </w:p>
        </w:tc>
        <w:tc>
          <w:tcPr>
            <w:tcW w:w="220" w:type="dxa"/>
            <w:vAlign w:val="bottom"/>
          </w:tcPr>
          <w:p>
            <w:pPr>
              <w:spacing w:after="0"/>
              <w:rPr>
                <w:sz w:val="15"/>
                <w:szCs w:val="15"/>
                <w:color w:val="auto"/>
              </w:rPr>
            </w:pPr>
          </w:p>
        </w:tc>
        <w:tc>
          <w:tcPr>
            <w:tcW w:w="1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1,814,733</w:t>
            </w:r>
          </w:p>
        </w:tc>
        <w:tc>
          <w:tcPr>
            <w:tcW w:w="120" w:type="dxa"/>
            <w:vAlign w:val="bottom"/>
          </w:tcPr>
          <w:p>
            <w:pPr>
              <w:spacing w:after="0"/>
              <w:rPr>
                <w:sz w:val="15"/>
                <w:szCs w:val="15"/>
                <w:color w:val="auto"/>
              </w:rPr>
            </w:pPr>
          </w:p>
        </w:tc>
      </w:tr>
      <w:tr>
        <w:trPr>
          <w:trHeight w:val="183"/>
        </w:trPr>
        <w:tc>
          <w:tcPr>
            <w:tcW w:w="66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3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At January 1, 2024</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rPr>
                <w:sz w:val="20"/>
                <w:szCs w:val="20"/>
                <w:color w:val="auto"/>
              </w:rPr>
            </w:pPr>
            <w:r>
              <w:rPr>
                <w:rFonts w:ascii="Arial" w:cs="Arial" w:eastAsia="Arial" w:hAnsi="Arial"/>
                <w:sz w:val="16"/>
                <w:szCs w:val="16"/>
                <w:color w:val="auto"/>
              </w:rPr>
              <w:t>(1,754,775)</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(1,754,775)</w:t>
            </w:r>
          </w:p>
        </w:tc>
      </w:tr>
      <w:tr>
        <w:trPr>
          <w:trHeight w:val="189"/>
        </w:trPr>
        <w:tc>
          <w:tcPr>
            <w:tcW w:w="6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Credited</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00" w:type="dxa"/>
            <w:vAlign w:val="bottom"/>
            <w:gridSpan w:val="2"/>
          </w:tcPr>
          <w:p>
            <w:pPr>
              <w:spacing w:after="0"/>
              <w:rPr>
                <w:sz w:val="20"/>
                <w:szCs w:val="20"/>
                <w:color w:val="auto"/>
              </w:rPr>
            </w:pPr>
            <w:r>
              <w:rPr>
                <w:rFonts w:ascii="Arial" w:cs="Arial" w:eastAsia="Arial" w:hAnsi="Arial"/>
                <w:sz w:val="16"/>
                <w:szCs w:val="16"/>
                <w:color w:val="auto"/>
              </w:rPr>
              <w:t>- Profit or loss</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93,329</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93,329</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gridSpan w:val="2"/>
          </w:tcPr>
          <w:p>
            <w:pPr>
              <w:spacing w:after="0" w:line="183" w:lineRule="exact"/>
              <w:rPr>
                <w:sz w:val="20"/>
                <w:szCs w:val="20"/>
                <w:color w:val="auto"/>
              </w:rPr>
            </w:pPr>
            <w:r>
              <w:rPr>
                <w:rFonts w:ascii="Arial" w:cs="Arial" w:eastAsia="Arial" w:hAnsi="Arial"/>
                <w:sz w:val="16"/>
                <w:szCs w:val="16"/>
                <w:color w:val="auto"/>
              </w:rPr>
              <w:t>At December 31, 2024</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gridSpan w:val="3"/>
          </w:tcPr>
          <w:p>
            <w:pPr>
              <w:jc w:val="right"/>
              <w:ind w:right="160"/>
              <w:spacing w:after="0" w:line="183" w:lineRule="exact"/>
              <w:rPr>
                <w:sz w:val="20"/>
                <w:szCs w:val="20"/>
                <w:color w:val="auto"/>
              </w:rPr>
            </w:pPr>
            <w:r>
              <w:rPr>
                <w:rFonts w:ascii="Arial" w:cs="Arial" w:eastAsia="Arial" w:hAnsi="Arial"/>
                <w:sz w:val="16"/>
                <w:szCs w:val="16"/>
                <w:color w:val="auto"/>
              </w:rPr>
              <w:t>(1,661,446)</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(1,661,446)</w:t>
            </w:r>
          </w:p>
        </w:tc>
      </w:tr>
      <w:tr>
        <w:trPr>
          <w:trHeight w:val="223"/>
        </w:trPr>
        <w:tc>
          <w:tcPr>
            <w:tcW w:w="660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13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153,287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-1019810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-1019810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-1019810</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-282575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-282575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total unrecognized deferred tax assets from temporary differences amounts to €9.4 million (2024: €7.8 million). No deferred tax balances in relation to investments in subsidiaries, associates and interests in joint arrangements are considered, due to the fact that the timing of the reversal of the temporary differences can be controlled by the Company and it is probable that the temporary differences will not reverse in the foreseeable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parties</w:t>
      </w: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Note 1.2 of the consolidated financial statements provides information about the Group’s structure, including details of the subsidiaries and the holding company and the total amount of transactions that have been entered into with related parties for the relevant financial year. Reference is made to Note 20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73" w:right="49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Remuneration of the board of Directors and Key management</w:t>
      </w:r>
    </w:p>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emoluments, including pension costs as referred to in Section 2:383(1) of the Netherlands Civil Code, charged in the financial year to the Company and group companies by the Board of Directors members amounts to €6,974,539 (2024: €5,358,974).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the remuneration of the individual members of the Board of Directors for the year ended December 31, 2025 and 2024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187960</wp:posOffset>
            </wp:positionV>
            <wp:extent cx="102235" cy="402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235" cy="40259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187960</wp:posOffset>
            </wp:positionV>
            <wp:extent cx="102235" cy="402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235" cy="40259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187960</wp:posOffset>
            </wp:positionV>
            <wp:extent cx="93980" cy="402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187960</wp:posOffset>
            </wp:positionV>
            <wp:extent cx="93980" cy="402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187960</wp:posOffset>
            </wp:positionV>
            <wp:extent cx="93980" cy="402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187960</wp:posOffset>
            </wp:positionV>
            <wp:extent cx="93980" cy="402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187960</wp:posOffset>
            </wp:positionV>
            <wp:extent cx="93980" cy="402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3980" cy="402590"/>
                    </a:xfrm>
                    <a:prstGeom prst="rect">
                      <a:avLst/>
                    </a:prstGeom>
                    <a:noFill/>
                  </pic:spPr>
                </pic:pic>
              </a:graphicData>
            </a:graphic>
          </wp:anchor>
        </w:drawing>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940" w:type="dxa"/>
            <w:vAlign w:val="bottom"/>
            <w:tcBorders>
              <w:top w:val="single" w:sz="8" w:color="auto"/>
              <w:left w:val="single" w:sz="8" w:color="auto"/>
              <w:right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6"/>
                <w:szCs w:val="16"/>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20" w:type="dxa"/>
            <w:vAlign w:val="bottom"/>
            <w:tcBorders>
              <w:right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Share-based</w:t>
            </w:r>
          </w:p>
        </w:tc>
        <w:tc>
          <w:tcPr>
            <w:tcW w:w="140" w:type="dxa"/>
            <w:vAlign w:val="bottom"/>
            <w:tcBorders>
              <w:right w:val="single" w:sz="8" w:color="auto"/>
            </w:tcBorders>
          </w:tcPr>
          <w:p>
            <w:pPr>
              <w:spacing w:after="0"/>
              <w:rPr>
                <w:sz w:val="16"/>
                <w:szCs w:val="16"/>
                <w:color w:val="auto"/>
              </w:rPr>
            </w:pPr>
          </w:p>
        </w:tc>
        <w:tc>
          <w:tcPr>
            <w:tcW w:w="1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Total remuneration</w:t>
            </w:r>
          </w:p>
        </w:tc>
        <w:tc>
          <w:tcPr>
            <w:tcW w:w="120" w:type="dxa"/>
            <w:vAlign w:val="bottom"/>
            <w:tcBorders>
              <w:right w:val="single" w:sz="8" w:color="auto"/>
            </w:tcBorders>
          </w:tcPr>
          <w:p>
            <w:pPr>
              <w:spacing w:after="0"/>
              <w:rPr>
                <w:sz w:val="16"/>
                <w:szCs w:val="16"/>
                <w:color w:val="auto"/>
              </w:rPr>
            </w:pPr>
          </w:p>
        </w:tc>
        <w:tc>
          <w:tcPr>
            <w:tcW w:w="164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Total remuneration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940" w:type="dxa"/>
            <w:vAlign w:val="bottom"/>
            <w:tcBorders>
              <w:left w:val="single" w:sz="8" w:color="auto"/>
              <w:right w:val="single" w:sz="8" w:color="auto"/>
            </w:tcBorders>
          </w:tcPr>
          <w:p>
            <w:pPr>
              <w:spacing w:after="0"/>
              <w:rPr>
                <w:sz w:val="8"/>
                <w:szCs w:val="8"/>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color w:val="auto"/>
              </w:rPr>
              <w:t>Salary</w:t>
            </w:r>
          </w:p>
        </w:tc>
        <w:tc>
          <w:tcPr>
            <w:tcW w:w="140" w:type="dxa"/>
            <w:vAlign w:val="bottom"/>
            <w:tcBorders>
              <w:right w:val="single" w:sz="8" w:color="auto"/>
            </w:tcBorders>
          </w:tcPr>
          <w:p>
            <w:pPr>
              <w:spacing w:after="0"/>
              <w:rPr>
                <w:sz w:val="8"/>
                <w:szCs w:val="8"/>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Bonus</w:t>
            </w:r>
          </w:p>
        </w:tc>
        <w:tc>
          <w:tcPr>
            <w:tcW w:w="140" w:type="dxa"/>
            <w:vAlign w:val="bottom"/>
            <w:tcBorders>
              <w:right w:val="single" w:sz="8" w:color="auto"/>
            </w:tcBorders>
          </w:tcPr>
          <w:p>
            <w:pPr>
              <w:spacing w:after="0"/>
              <w:rPr>
                <w:sz w:val="8"/>
                <w:szCs w:val="8"/>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social</w:t>
            </w:r>
          </w:p>
        </w:tc>
        <w:tc>
          <w:tcPr>
            <w:tcW w:w="140" w:type="dxa"/>
            <w:vAlign w:val="bottom"/>
            <w:tcBorders>
              <w:right w:val="single" w:sz="8" w:color="auto"/>
            </w:tcBorders>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5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940" w:type="dxa"/>
            <w:vAlign w:val="bottom"/>
            <w:tcBorders>
              <w:left w:val="single" w:sz="8" w:color="auto"/>
              <w:right w:val="single" w:sz="8" w:color="auto"/>
            </w:tcBorders>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8"/>
              </w:rPr>
              <w:t>fee</w:t>
            </w:r>
          </w:p>
        </w:tc>
        <w:tc>
          <w:tcPr>
            <w:tcW w:w="120" w:type="dxa"/>
            <w:vAlign w:val="bottom"/>
            <w:tcBorders>
              <w:right w:val="single" w:sz="8" w:color="auto"/>
            </w:tcBorders>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compensation</w:t>
            </w:r>
          </w:p>
        </w:tc>
        <w:tc>
          <w:tcPr>
            <w:tcW w:w="140" w:type="dxa"/>
            <w:vAlign w:val="bottom"/>
            <w:tcBorders>
              <w:right w:val="single" w:sz="8" w:color="auto"/>
            </w:tcBorders>
          </w:tcPr>
          <w:p>
            <w:pPr>
              <w:spacing w:after="0"/>
              <w:rPr>
                <w:sz w:val="8"/>
                <w:szCs w:val="8"/>
                <w:color w:val="auto"/>
              </w:rPr>
            </w:pPr>
          </w:p>
        </w:tc>
        <w:tc>
          <w:tcPr>
            <w:tcW w:w="1540" w:type="dxa"/>
            <w:vAlign w:val="bottom"/>
            <w:vMerge w:val="restart"/>
          </w:tcPr>
          <w:p>
            <w:pPr>
              <w:jc w:val="right"/>
              <w:ind w:right="519"/>
              <w:spacing w:after="0"/>
              <w:rPr>
                <w:sz w:val="20"/>
                <w:szCs w:val="20"/>
                <w:color w:val="auto"/>
              </w:rPr>
            </w:pPr>
            <w:r>
              <w:rPr>
                <w:rFonts w:ascii="Arial" w:cs="Arial" w:eastAsia="Arial" w:hAnsi="Arial"/>
                <w:sz w:val="16"/>
                <w:szCs w:val="16"/>
                <w:color w:val="auto"/>
              </w:rPr>
              <w:t>2025</w:t>
            </w:r>
          </w:p>
        </w:tc>
        <w:tc>
          <w:tcPr>
            <w:tcW w:w="120" w:type="dxa"/>
            <w:vAlign w:val="bottom"/>
            <w:tcBorders>
              <w:right w:val="single" w:sz="8" w:color="auto"/>
            </w:tcBorders>
          </w:tcPr>
          <w:p>
            <w:pPr>
              <w:spacing w:after="0"/>
              <w:rPr>
                <w:sz w:val="8"/>
                <w:szCs w:val="8"/>
                <w:color w:val="auto"/>
              </w:rPr>
            </w:pPr>
          </w:p>
        </w:tc>
        <w:tc>
          <w:tcPr>
            <w:tcW w:w="1640" w:type="dxa"/>
            <w:vAlign w:val="bottom"/>
            <w:vMerge w:val="restart"/>
          </w:tcPr>
          <w:p>
            <w:pPr>
              <w:jc w:val="right"/>
              <w:ind w:right="5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940" w:type="dxa"/>
            <w:vAlign w:val="bottom"/>
            <w:tcBorders>
              <w:left w:val="single" w:sz="8" w:color="auto"/>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color w:val="auto"/>
              </w:rPr>
              <w:t>securities</w:t>
            </w:r>
          </w:p>
        </w:tc>
        <w:tc>
          <w:tcPr>
            <w:tcW w:w="140" w:type="dxa"/>
            <w:vAlign w:val="bottom"/>
            <w:tcBorders>
              <w:right w:val="single" w:sz="8" w:color="auto"/>
            </w:tcBorders>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5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94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9"/>
              <w:spacing w:after="0" w:line="166"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4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B. Modig</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746,382</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386,488</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237,407</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3,691,371</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5,061,648</w:t>
            </w:r>
          </w:p>
        </w:tc>
        <w:tc>
          <w:tcPr>
            <w:tcW w:w="120" w:type="dxa"/>
            <w:vAlign w:val="bottom"/>
            <w:tcBorders>
              <w:bottom w:val="single" w:sz="8" w:color="CFF4FF"/>
              <w:right w:val="single" w:sz="8" w:color="auto"/>
            </w:tcBorders>
            <w:shd w:val="clear" w:color="auto" w:fill="CFF4FF"/>
          </w:tcPr>
          <w:p>
            <w:pPr>
              <w:spacing w:after="0"/>
              <w:rPr>
                <w:sz w:val="15"/>
                <w:szCs w:val="15"/>
                <w:color w:val="auto"/>
              </w:rPr>
            </w:pPr>
          </w:p>
        </w:tc>
        <w:tc>
          <w:tcPr>
            <w:tcW w:w="16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3,367,891</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H. Schikan</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53,080</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323,416</w:t>
            </w:r>
          </w:p>
        </w:tc>
        <w:tc>
          <w:tcPr>
            <w:tcW w:w="14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376,496</w:t>
            </w:r>
          </w:p>
        </w:tc>
        <w:tc>
          <w:tcPr>
            <w:tcW w:w="120" w:type="dxa"/>
            <w:vAlign w:val="bottom"/>
            <w:tcBorders>
              <w:right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391,570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left w:val="single" w:sz="8" w:color="CFF0FC"/>
              <w:bottom w:val="single" w:sz="8" w:color="auto"/>
              <w:right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Mr. D. Meeker</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81,796</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324,235</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406,031</w:t>
            </w:r>
          </w:p>
        </w:tc>
        <w:tc>
          <w:tcPr>
            <w:tcW w:w="120" w:type="dxa"/>
            <w:vAlign w:val="bottom"/>
            <w:tcBorders>
              <w:bottom w:val="single" w:sz="8" w:color="CFF4FF"/>
              <w:right w:val="single" w:sz="8" w:color="auto"/>
            </w:tcBorders>
            <w:shd w:val="clear" w:color="auto" w:fill="CFF4FF"/>
          </w:tcPr>
          <w:p>
            <w:pPr>
              <w:spacing w:after="0"/>
              <w:rPr>
                <w:sz w:val="15"/>
                <w:szCs w:val="15"/>
                <w:color w:val="auto"/>
              </w:rPr>
            </w:pPr>
          </w:p>
        </w:tc>
        <w:tc>
          <w:tcPr>
            <w:tcW w:w="16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417,879</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Mr. R. Glassman</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47,859</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324,048</w:t>
            </w:r>
          </w:p>
        </w:tc>
        <w:tc>
          <w:tcPr>
            <w:tcW w:w="14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371,907</w:t>
            </w:r>
          </w:p>
        </w:tc>
        <w:tc>
          <w:tcPr>
            <w:tcW w:w="120" w:type="dxa"/>
            <w:vAlign w:val="bottom"/>
            <w:tcBorders>
              <w:right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376,176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left w:val="single" w:sz="8" w:color="CFF4FF"/>
              <w:bottom w:val="single" w:sz="8" w:color="auto"/>
              <w:right w:val="single" w:sz="8" w:color="auto"/>
            </w:tcBorders>
            <w:shd w:val="clear" w:color="auto" w:fill="CFF4FF"/>
          </w:tcPr>
          <w:p>
            <w:pPr>
              <w:ind w:left="20"/>
              <w:spacing w:after="0" w:line="183" w:lineRule="exact"/>
              <w:rPr>
                <w:sz w:val="20"/>
                <w:szCs w:val="20"/>
                <w:color w:val="auto"/>
              </w:rPr>
            </w:pPr>
            <w:r>
              <w:rPr>
                <w:rFonts w:ascii="Arial" w:cs="Arial" w:eastAsia="Arial" w:hAnsi="Arial"/>
                <w:sz w:val="16"/>
                <w:szCs w:val="16"/>
                <w:color w:val="auto"/>
              </w:rPr>
              <w:t>Ms. V. Monges</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56,561</w:t>
            </w:r>
          </w:p>
        </w:tc>
        <w:tc>
          <w:tcPr>
            <w:tcW w:w="120" w:type="dxa"/>
            <w:vAlign w:val="bottom"/>
            <w:tcBorders>
              <w:bottom w:val="single" w:sz="8" w:color="CFF0FC"/>
              <w:right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327,672</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384,233</w:t>
            </w:r>
          </w:p>
        </w:tc>
        <w:tc>
          <w:tcPr>
            <w:tcW w:w="120" w:type="dxa"/>
            <w:vAlign w:val="bottom"/>
            <w:tcBorders>
              <w:bottom w:val="single" w:sz="8" w:color="CFF4FF"/>
              <w:right w:val="single" w:sz="8" w:color="auto"/>
            </w:tcBorders>
            <w:shd w:val="clear" w:color="auto" w:fill="CFF4FF"/>
          </w:tcPr>
          <w:p>
            <w:pPr>
              <w:spacing w:after="0"/>
              <w:rPr>
                <w:sz w:val="15"/>
                <w:szCs w:val="15"/>
                <w:color w:val="auto"/>
              </w:rPr>
            </w:pPr>
          </w:p>
        </w:tc>
        <w:tc>
          <w:tcPr>
            <w:tcW w:w="1640" w:type="dxa"/>
            <w:vAlign w:val="bottom"/>
            <w:tcBorders>
              <w:bottom w:val="single" w:sz="8" w:color="auto"/>
            </w:tcBorders>
            <w:shd w:val="clear" w:color="auto" w:fill="CFF4FF"/>
          </w:tcPr>
          <w:p>
            <w:pPr>
              <w:jc w:val="right"/>
              <w:spacing w:after="0" w:line="183" w:lineRule="exact"/>
              <w:rPr>
                <w:sz w:val="20"/>
                <w:szCs w:val="20"/>
                <w:color w:val="auto"/>
              </w:rPr>
            </w:pPr>
            <w:r>
              <w:rPr>
                <w:rFonts w:ascii="Arial" w:cs="Arial" w:eastAsia="Arial" w:hAnsi="Arial"/>
                <w:sz w:val="16"/>
                <w:szCs w:val="16"/>
                <w:color w:val="auto"/>
              </w:rPr>
              <w:t>403,863</w:t>
            </w:r>
          </w:p>
        </w:tc>
        <w:tc>
          <w:tcPr>
            <w:tcW w:w="100" w:type="dxa"/>
            <w:vAlign w:val="bottom"/>
            <w:tcBorders>
              <w:bottom w:val="single" w:sz="8" w:color="CFF4FF"/>
            </w:tcBorders>
            <w:shd w:val="clear" w:color="auto" w:fill="CFF4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bottom w:val="single" w:sz="8" w:color="auto"/>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Ms. E. Björk</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39,157</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335,067</w:t>
            </w:r>
          </w:p>
        </w:tc>
        <w:tc>
          <w:tcPr>
            <w:tcW w:w="140" w:type="dxa"/>
            <w:vAlign w:val="bottom"/>
            <w:tcBorders>
              <w:right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374,224</w:t>
            </w:r>
          </w:p>
        </w:tc>
        <w:tc>
          <w:tcPr>
            <w:tcW w:w="120" w:type="dxa"/>
            <w:vAlign w:val="bottom"/>
            <w:tcBorders>
              <w:right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-650875</wp:posOffset>
            </wp:positionV>
            <wp:extent cx="768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-650875</wp:posOffset>
            </wp:positionV>
            <wp:extent cx="76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-650875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-650875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-650875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-650875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-393700</wp:posOffset>
            </wp:positionV>
            <wp:extent cx="768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-393700</wp:posOffset>
            </wp:positionV>
            <wp:extent cx="768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-393700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-393700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-393700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-393700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-136525</wp:posOffset>
            </wp:positionV>
            <wp:extent cx="768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-136525</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-136525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-136525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-136525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Mr. Modig has received a bonus on the realization of targets set by the Group.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17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Key management of the Group is paid through the group companies, no costs related to Key management are included in the company financial statements. Further reference is made to note 20 of the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Employee benefits and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employees during the fiscal year 2025 or 2024.</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is responsible for settling share-based payment transactions with employees of its subsidiaries, and these are recognized as equity-settled share-based payment transactions since they are settled in shares of the Company, Total costs related to share-based payments for €19,050,394 (2024: €16,208,533) are included in “Share in results of participating interests” in the company financial statements, with a corresponding adjustment to equity. Reference is made to note 18 in the consolidated financial statements for disclosure on the share-based payments.</w:t>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73" w:right="59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Independent Auditor’s fee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8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3"/>
        </w:trPr>
        <w:tc>
          <w:tcPr>
            <w:tcW w:w="7700" w:type="dxa"/>
            <w:vAlign w:val="bottom"/>
            <w:shd w:val="clear" w:color="auto" w:fill="CFF0FF"/>
          </w:tcPr>
          <w:p>
            <w:pPr>
              <w:spacing w:after="0" w:line="183" w:lineRule="exact"/>
              <w:rPr>
                <w:sz w:val="20"/>
                <w:szCs w:val="20"/>
                <w:color w:val="auto"/>
              </w:rPr>
            </w:pPr>
            <w:r>
              <w:rPr>
                <w:rFonts w:ascii="Arial" w:cs="Arial" w:eastAsia="Arial" w:hAnsi="Arial"/>
                <w:sz w:val="16"/>
                <w:szCs w:val="16"/>
                <w:color w:val="auto"/>
              </w:rPr>
              <w:t>Audit services</w:t>
            </w:r>
          </w:p>
        </w:tc>
        <w:tc>
          <w:tcPr>
            <w:tcW w:w="160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583,600</w:t>
            </w:r>
          </w:p>
        </w:tc>
        <w:tc>
          <w:tcPr>
            <w:tcW w:w="1820" w:type="dxa"/>
            <w:vAlign w:val="bottom"/>
            <w:gridSpan w:val="2"/>
            <w:shd w:val="clear" w:color="auto" w:fill="CFF0FF"/>
          </w:tcPr>
          <w:p>
            <w:pPr>
              <w:jc w:val="right"/>
              <w:spacing w:after="0" w:line="183" w:lineRule="exact"/>
              <w:rPr>
                <w:sz w:val="20"/>
                <w:szCs w:val="20"/>
                <w:color w:val="auto"/>
              </w:rPr>
            </w:pPr>
            <w:r>
              <w:rPr>
                <w:rFonts w:ascii="Arial" w:cs="Arial" w:eastAsia="Arial" w:hAnsi="Arial"/>
                <w:sz w:val="16"/>
                <w:szCs w:val="16"/>
                <w:color w:val="auto"/>
              </w:rPr>
              <w:t>622,000</w:t>
            </w:r>
          </w:p>
        </w:tc>
        <w:tc>
          <w:tcPr>
            <w:tcW w:w="120" w:type="dxa"/>
            <w:vAlign w:val="bottom"/>
            <w:shd w:val="clear" w:color="auto" w:fill="CFF0FF"/>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assurance services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169,925</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170,000</w:t>
            </w:r>
          </w:p>
        </w:tc>
        <w:tc>
          <w:tcPr>
            <w:tcW w:w="120" w:type="dxa"/>
            <w:vAlign w:val="bottom"/>
          </w:tcPr>
          <w:p>
            <w:pPr>
              <w:spacing w:after="0"/>
              <w:rPr>
                <w:sz w:val="16"/>
                <w:szCs w:val="16"/>
                <w:color w:val="auto"/>
              </w:rPr>
            </w:pPr>
          </w:p>
        </w:tc>
      </w:tr>
      <w:tr>
        <w:trPr>
          <w:trHeight w:val="223"/>
        </w:trPr>
        <w:tc>
          <w:tcPr>
            <w:tcW w:w="7700" w:type="dxa"/>
            <w:vAlign w:val="bottom"/>
            <w:tcBorders>
              <w:bottom w:val="single" w:sz="8" w:color="CFF0FF"/>
            </w:tcBorders>
            <w:shd w:val="clear" w:color="auto" w:fill="CFF0FF"/>
          </w:tcPr>
          <w:p>
            <w:pPr>
              <w:spacing w:after="0"/>
              <w:rPr>
                <w:sz w:val="19"/>
                <w:szCs w:val="19"/>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753,525</w:t>
            </w:r>
          </w:p>
        </w:tc>
        <w:tc>
          <w:tcPr>
            <w:tcW w:w="220" w:type="dxa"/>
            <w:vAlign w:val="bottom"/>
            <w:tcBorders>
              <w:bottom w:val="single" w:sz="8" w:color="CFF0FF"/>
            </w:tcBorders>
            <w:shd w:val="clear" w:color="auto" w:fill="CFF0FF"/>
          </w:tcPr>
          <w:p>
            <w:pPr>
              <w:spacing w:after="0"/>
              <w:rPr>
                <w:sz w:val="19"/>
                <w:szCs w:val="19"/>
                <w:color w:val="auto"/>
              </w:rPr>
            </w:pPr>
          </w:p>
        </w:tc>
        <w:tc>
          <w:tcPr>
            <w:tcW w:w="1600" w:type="dxa"/>
            <w:vAlign w:val="bottom"/>
            <w:tcBorders>
              <w:bottom w:val="single" w:sz="8" w:color="auto"/>
            </w:tcBorders>
            <w:shd w:val="clear" w:color="auto" w:fill="CFF0FF"/>
          </w:tcPr>
          <w:p>
            <w:pPr>
              <w:jc w:val="right"/>
              <w:spacing w:after="0" w:line="183" w:lineRule="exact"/>
              <w:rPr>
                <w:sz w:val="20"/>
                <w:szCs w:val="20"/>
                <w:color w:val="auto"/>
              </w:rPr>
            </w:pPr>
            <w:r>
              <w:rPr>
                <w:rFonts w:ascii="Arial" w:cs="Arial" w:eastAsia="Arial" w:hAnsi="Arial"/>
                <w:sz w:val="16"/>
                <w:szCs w:val="16"/>
                <w:color w:val="auto"/>
              </w:rPr>
              <w:t>792,000</w:t>
            </w:r>
          </w:p>
        </w:tc>
        <w:tc>
          <w:tcPr>
            <w:tcW w:w="12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Other assurance services relate mainly to quarterly reviews of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Events after the reporting period</w:t>
      </w:r>
    </w:p>
    <w:p>
      <w:pPr>
        <w:spacing w:after="0" w:line="201"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On May 8, 2026, the Company entered into an underwriting agreement with Morgan Stanley &amp; Co. LLC and Leerink Partners LLC as representatives of the underwriters named therein, pursuant to which the Company agreed to issue and sell in an underwritten offering 4,455,863 ordinary shares, par value €0.12 per share (which includes the exercise in full by the underwriters of their option to purchase up to an additional 581,199 ordinary shares). The offering closed on May 11, 2026, and the Company generated net proceeds of approximately $124.3 million, after deducting bank fees of approximately $7.9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May 29,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340296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495" w:lineRule="exact"/>
        <w:rPr>
          <w:sz w:val="20"/>
          <w:szCs w:val="20"/>
          <w:color w:val="auto"/>
        </w:rPr>
      </w:pPr>
    </w:p>
    <w:p>
      <w:pPr>
        <w:sectPr>
          <w:pgSz w:w="11900" w:h="16838" w:orient="portrait"/>
          <w:cols w:equalWidth="0" w:num="2">
            <w:col w:w="5160" w:space="720"/>
            <w:col w:w="4259"/>
          </w:cols>
          <w:pgMar w:left="320" w:top="77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Independent auditor's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auditor’s report is included in the next page.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appropriation provisions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Company's article 30 of the articles of association, any profits shown in the adopted statutory annual accounts of the Company shall be appropriated as follows, and in the following order of priority:</w:t>
      </w:r>
    </w:p>
    <w:p>
      <w:pPr>
        <w:spacing w:after="0" w:line="48" w:lineRule="exact"/>
        <w:rPr>
          <w:sz w:val="20"/>
          <w:szCs w:val="20"/>
          <w:color w:val="auto"/>
        </w:rPr>
      </w:pPr>
    </w:p>
    <w:p>
      <w:pPr>
        <w:ind w:left="2600" w:hanging="556"/>
        <w:spacing w:after="0"/>
        <w:tabs>
          <w:tab w:leader="none" w:pos="26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Board shall determine which part of the profits shall be added to the Company's reserves; and</w:t>
      </w:r>
    </w:p>
    <w:p>
      <w:pPr>
        <w:spacing w:after="0" w:line="302" w:lineRule="exact"/>
        <w:rPr>
          <w:rFonts w:ascii="Arial" w:cs="Arial" w:eastAsia="Arial" w:hAnsi="Arial"/>
          <w:sz w:val="16"/>
          <w:szCs w:val="16"/>
          <w:color w:val="auto"/>
        </w:rPr>
      </w:pPr>
    </w:p>
    <w:p>
      <w:pPr>
        <w:ind w:left="2560" w:hanging="516"/>
        <w:spacing w:after="0" w:line="286" w:lineRule="auto"/>
        <w:tabs>
          <w:tab w:leader="none" w:pos="2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a proposal by the Board to that effect, the remaining profits shall be at the disposal of the General Meeting for distribution on the shares.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carrying limited economic entitlement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outstanding shares which carry a limited entitlement to the profits or reserves in the Company.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Branches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branch offices.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page to the Dutch Annual Report of Pharvaris N.V.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auto"/>
        </w:rPr>
        <w:t>Independent auditor’s report</w:t>
      </w:r>
    </w:p>
    <w:p>
      <w:pPr>
        <w:spacing w:after="0" w:line="338" w:lineRule="exact"/>
        <w:rPr>
          <w:sz w:val="20"/>
          <w:szCs w:val="20"/>
          <w:color w:val="auto"/>
        </w:rPr>
      </w:pPr>
    </w:p>
    <w:p>
      <w:pPr>
        <w:spacing w:after="0"/>
        <w:rPr>
          <w:sz w:val="20"/>
          <w:szCs w:val="20"/>
          <w:color w:val="auto"/>
        </w:rPr>
      </w:pPr>
      <w:r>
        <w:rPr>
          <w:rFonts w:ascii="Georgia" w:cs="Georgia" w:eastAsia="Georgia" w:hAnsi="Georgia"/>
          <w:sz w:val="16"/>
          <w:szCs w:val="16"/>
          <w:color w:val="auto"/>
        </w:rPr>
        <w:t>To: the general meeting of Pharvaris N.V.</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the audit of the financial statements 2025</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opinion</w:t>
      </w:r>
    </w:p>
    <w:p>
      <w:pPr>
        <w:spacing w:after="0" w:line="212"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auto"/>
        </w:rPr>
        <w:t>In our opinion, the financial statements of Pharvaris N.V. (‘the Company’) give a true and fair view of the financial position of the Company and the Group (the Company together with its subsidiaries) as at</w:t>
      </w:r>
    </w:p>
    <w:p>
      <w:pPr>
        <w:spacing w:after="0" w:line="1"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31 December 2025, and of its result and its cash flows for the year then ended in accordance with IFRS Accounting Standards as adopted by the European Union (‘EU’) and with Part 9 of Book 2 of the Dutch Civil Code.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have audited</w:t>
      </w:r>
    </w:p>
    <w:p>
      <w:pPr>
        <w:spacing w:after="0" w:line="235" w:lineRule="exact"/>
        <w:rPr>
          <w:sz w:val="20"/>
          <w:szCs w:val="20"/>
          <w:color w:val="auto"/>
        </w:rPr>
      </w:pPr>
    </w:p>
    <w:p>
      <w:pPr>
        <w:ind w:right="340"/>
        <w:spacing w:after="0" w:line="250" w:lineRule="auto"/>
        <w:rPr>
          <w:sz w:val="20"/>
          <w:szCs w:val="20"/>
          <w:color w:val="auto"/>
        </w:rPr>
      </w:pPr>
      <w:r>
        <w:rPr>
          <w:rFonts w:ascii="Georgia" w:cs="Georgia" w:eastAsia="Georgia" w:hAnsi="Georgia"/>
          <w:sz w:val="16"/>
          <w:szCs w:val="16"/>
          <w:color w:val="auto"/>
        </w:rPr>
        <w:t>We have audited the accompanying financial statements 2025 of Pharvaris N.V., Leiden. The financial statements comprise the consolidated financial statements of the Group and the company financial statements.</w:t>
      </w:r>
    </w:p>
    <w:p>
      <w:pPr>
        <w:spacing w:after="0" w:line="229" w:lineRule="exact"/>
        <w:rPr>
          <w:sz w:val="20"/>
          <w:szCs w:val="20"/>
          <w:color w:val="auto"/>
        </w:rPr>
      </w:pPr>
    </w:p>
    <w:p>
      <w:pPr>
        <w:spacing w:after="0"/>
        <w:rPr>
          <w:sz w:val="20"/>
          <w:szCs w:val="20"/>
          <w:color w:val="auto"/>
        </w:rPr>
      </w:pPr>
      <w:r>
        <w:rPr>
          <w:rFonts w:ascii="Georgia" w:cs="Georgia" w:eastAsia="Georgia" w:hAnsi="Georgia"/>
          <w:sz w:val="16"/>
          <w:szCs w:val="16"/>
          <w:color w:val="auto"/>
        </w:rPr>
        <w:t>The consolidated financial statements comprise:</w:t>
      </w:r>
    </w:p>
    <w:p>
      <w:pPr>
        <w:spacing w:after="0" w:line="216" w:lineRule="exact"/>
        <w:rPr>
          <w:sz w:val="20"/>
          <w:szCs w:val="20"/>
          <w:color w:val="auto"/>
        </w:rPr>
      </w:pPr>
    </w:p>
    <w:p>
      <w:pPr>
        <w:ind w:left="580" w:hanging="562"/>
        <w:spacing w:after="0"/>
        <w:tabs>
          <w:tab w:leader="none" w:pos="580" w:val="left"/>
        </w:tabs>
        <w:numPr>
          <w:ilvl w:val="0"/>
          <w:numId w:val="93"/>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consolidated statement of financial position as at 31 December 2025;</w:t>
      </w:r>
    </w:p>
    <w:p>
      <w:pPr>
        <w:spacing w:after="0" w:line="262" w:lineRule="exact"/>
        <w:rPr>
          <w:rFonts w:ascii="Times New Roman" w:cs="Times New Roman" w:eastAsia="Times New Roman" w:hAnsi="Times New Roman"/>
          <w:sz w:val="20"/>
          <w:szCs w:val="20"/>
          <w:color w:val="auto"/>
        </w:rPr>
      </w:pPr>
    </w:p>
    <w:p>
      <w:pPr>
        <w:ind w:left="580" w:right="100" w:hanging="562"/>
        <w:spacing w:after="0" w:line="216" w:lineRule="auto"/>
        <w:tabs>
          <w:tab w:leader="none" w:pos="580" w:val="left"/>
        </w:tabs>
        <w:numPr>
          <w:ilvl w:val="0"/>
          <w:numId w:val="93"/>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following statements for 2025: the consolidated statement of loss and comprehensive loss, the consolidated statement of changes in shareholders' equity and the consolidated statement of cash flows; and</w:t>
      </w:r>
    </w:p>
    <w:p>
      <w:pPr>
        <w:spacing w:after="0" w:line="169" w:lineRule="exact"/>
        <w:rPr>
          <w:rFonts w:ascii="Times New Roman" w:cs="Times New Roman" w:eastAsia="Times New Roman" w:hAnsi="Times New Roman"/>
          <w:sz w:val="20"/>
          <w:szCs w:val="20"/>
          <w:color w:val="auto"/>
        </w:rPr>
      </w:pPr>
    </w:p>
    <w:p>
      <w:pPr>
        <w:ind w:left="520" w:right="1160" w:hanging="502"/>
        <w:spacing w:after="0" w:line="216" w:lineRule="auto"/>
        <w:tabs>
          <w:tab w:leader="none" w:pos="520" w:val="left"/>
        </w:tabs>
        <w:numPr>
          <w:ilvl w:val="0"/>
          <w:numId w:val="93"/>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notes to the consolidated financial statements, including material accounting policy information and other explanatory information.</w:t>
      </w:r>
    </w:p>
    <w:p>
      <w:pPr>
        <w:spacing w:after="0" w:line="223" w:lineRule="exact"/>
        <w:rPr>
          <w:sz w:val="20"/>
          <w:szCs w:val="20"/>
          <w:color w:val="auto"/>
        </w:rPr>
      </w:pPr>
    </w:p>
    <w:p>
      <w:pPr>
        <w:spacing w:after="0"/>
        <w:rPr>
          <w:sz w:val="20"/>
          <w:szCs w:val="20"/>
          <w:color w:val="auto"/>
        </w:rPr>
      </w:pPr>
      <w:r>
        <w:rPr>
          <w:rFonts w:ascii="Georgia" w:cs="Georgia" w:eastAsia="Georgia" w:hAnsi="Georgia"/>
          <w:sz w:val="16"/>
          <w:szCs w:val="16"/>
          <w:color w:val="auto"/>
        </w:rPr>
        <w:t>The company financial statements comprise:</w:t>
      </w:r>
    </w:p>
    <w:p>
      <w:pPr>
        <w:spacing w:after="0" w:line="297" w:lineRule="exact"/>
        <w:rPr>
          <w:sz w:val="20"/>
          <w:szCs w:val="20"/>
          <w:color w:val="auto"/>
        </w:rPr>
      </w:pPr>
    </w:p>
    <w:p>
      <w:pPr>
        <w:ind w:left="580" w:hanging="562"/>
        <w:spacing w:after="0"/>
        <w:tabs>
          <w:tab w:leader="none" w:pos="580" w:val="left"/>
        </w:tabs>
        <w:numPr>
          <w:ilvl w:val="0"/>
          <w:numId w:val="94"/>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statement of financial position as at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222885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151" w:name="page152"/>
    <w:bookmarkEnd w:id="151"/>
    <w:p>
      <w:pPr>
        <w:spacing w:after="0" w:line="200" w:lineRule="exact"/>
        <w:rPr>
          <w:sz w:val="20"/>
          <w:szCs w:val="20"/>
          <w:color w:val="auto"/>
        </w:rPr>
      </w:pPr>
    </w:p>
    <w:p>
      <w:pPr>
        <w:spacing w:after="0" w:line="275" w:lineRule="exact"/>
        <w:rPr>
          <w:sz w:val="20"/>
          <w:szCs w:val="20"/>
          <w:color w:val="auto"/>
        </w:rPr>
      </w:pPr>
    </w:p>
    <w:p>
      <w:pPr>
        <w:ind w:left="580" w:hanging="562"/>
        <w:spacing w:after="0"/>
        <w:tabs>
          <w:tab w:leader="none" w:pos="580" w:val="left"/>
        </w:tabs>
        <w:numPr>
          <w:ilvl w:val="0"/>
          <w:numId w:val="95"/>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statement of profit or loss for the year then ended; and</w:t>
      </w:r>
    </w:p>
    <w:p>
      <w:pPr>
        <w:spacing w:after="0" w:line="229" w:lineRule="exact"/>
        <w:rPr>
          <w:rFonts w:ascii="Times New Roman" w:cs="Times New Roman" w:eastAsia="Times New Roman" w:hAnsi="Times New Roman"/>
          <w:sz w:val="20"/>
          <w:szCs w:val="20"/>
          <w:color w:val="auto"/>
        </w:rPr>
      </w:pPr>
    </w:p>
    <w:p>
      <w:pPr>
        <w:ind w:left="560" w:hanging="542"/>
        <w:spacing w:after="0"/>
        <w:tabs>
          <w:tab w:leader="none" w:pos="560" w:val="left"/>
        </w:tabs>
        <w:numPr>
          <w:ilvl w:val="0"/>
          <w:numId w:val="95"/>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notes to the company financial statements, comprising a summary of the accounting policies applied and other explanatory information.</w:t>
      </w:r>
    </w:p>
    <w:p>
      <w:pPr>
        <w:spacing w:after="0" w:line="236" w:lineRule="exact"/>
        <w:rPr>
          <w:sz w:val="20"/>
          <w:szCs w:val="20"/>
          <w:color w:val="auto"/>
        </w:rPr>
      </w:pPr>
    </w:p>
    <w:p>
      <w:pPr>
        <w:ind w:right="400"/>
        <w:spacing w:after="0" w:line="250" w:lineRule="auto"/>
        <w:rPr>
          <w:sz w:val="20"/>
          <w:szCs w:val="20"/>
          <w:color w:val="auto"/>
        </w:rPr>
      </w:pPr>
      <w:r>
        <w:rPr>
          <w:rFonts w:ascii="Georgia" w:cs="Georgia" w:eastAsia="Georgia" w:hAnsi="Georgia"/>
          <w:sz w:val="16"/>
          <w:szCs w:val="16"/>
          <w:color w:val="auto"/>
        </w:rPr>
        <w:t>The financial reporting framework applied in the preparation of the financial statements is IFRS Accounting Standards as adopted by the EU and the relevant provisions of Part 9 of Book 2 of the Dutch Civil Code.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basis for our opinion</w:t>
      </w:r>
    </w:p>
    <w:p>
      <w:pPr>
        <w:spacing w:after="0" w:line="226" w:lineRule="exact"/>
        <w:rPr>
          <w:sz w:val="20"/>
          <w:szCs w:val="20"/>
          <w:color w:val="auto"/>
        </w:rPr>
      </w:pPr>
    </w:p>
    <w:p>
      <w:pPr>
        <w:ind w:right="160"/>
        <w:spacing w:after="0" w:line="250" w:lineRule="auto"/>
        <w:rPr>
          <w:sz w:val="20"/>
          <w:szCs w:val="20"/>
          <w:color w:val="auto"/>
        </w:rPr>
      </w:pPr>
      <w:r>
        <w:rPr>
          <w:rFonts w:ascii="Georgia" w:cs="Georgia" w:eastAsia="Georgia" w:hAnsi="Georgia"/>
          <w:sz w:val="16"/>
          <w:szCs w:val="16"/>
          <w:color w:val="auto"/>
        </w:rPr>
        <w:t>We conducted our audit in accordance with Dutch law, including the Dutch Standards on Auditing. We have further described our responsibilities under those standards in the section ‘Our responsibilities for the audit of the financial statements’ of our report.</w:t>
      </w:r>
    </w:p>
    <w:p>
      <w:pPr>
        <w:spacing w:after="0" w:line="229" w:lineRule="exact"/>
        <w:rPr>
          <w:sz w:val="20"/>
          <w:szCs w:val="20"/>
          <w:color w:val="auto"/>
        </w:rPr>
      </w:pPr>
    </w:p>
    <w:p>
      <w:pPr>
        <w:spacing w:after="0"/>
        <w:rPr>
          <w:sz w:val="20"/>
          <w:szCs w:val="20"/>
          <w:color w:val="auto"/>
        </w:rPr>
      </w:pPr>
      <w:r>
        <w:rPr>
          <w:rFonts w:ascii="Georgia" w:cs="Georgia" w:eastAsia="Georgia" w:hAnsi="Georgia"/>
          <w:sz w:val="16"/>
          <w:szCs w:val="16"/>
          <w:color w:val="auto"/>
        </w:rPr>
        <w:t>We believe that the audit evidence we have obtained is sufficient and appropriate to provide a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w:t>
      </w:r>
    </w:p>
    <w:p>
      <w:pPr>
        <w:spacing w:after="0" w:line="222" w:lineRule="exact"/>
        <w:rPr>
          <w:sz w:val="20"/>
          <w:szCs w:val="20"/>
          <w:color w:val="auto"/>
        </w:rPr>
      </w:pPr>
    </w:p>
    <w:p>
      <w:pPr>
        <w:ind w:right="120"/>
        <w:spacing w:after="0" w:line="249" w:lineRule="auto"/>
        <w:rPr>
          <w:sz w:val="20"/>
          <w:szCs w:val="20"/>
          <w:color w:val="auto"/>
        </w:rPr>
      </w:pPr>
      <w:r>
        <w:rPr>
          <w:rFonts w:ascii="Georgia" w:cs="Georgia" w:eastAsia="Georgia" w:hAnsi="Georgia"/>
          <w:sz w:val="16"/>
          <w:szCs w:val="16"/>
          <w:color w:val="auto"/>
        </w:rPr>
        <w:t>We are independent of Pharvaris N.V. in accordance with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 in the Netherlands. Furthermore, we have complied with the ‘Verordening gedrags- en beroepsregels accountants’ (VGBA, Dutch Code of Ethics).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audit approach</w:t>
      </w:r>
    </w:p>
    <w:p>
      <w:pPr>
        <w:spacing w:after="0" w:line="226" w:lineRule="exact"/>
        <w:rPr>
          <w:sz w:val="20"/>
          <w:szCs w:val="20"/>
          <w:color w:val="auto"/>
        </w:rPr>
      </w:pPr>
    </w:p>
    <w:p>
      <w:pPr>
        <w:jc w:val="both"/>
        <w:ind w:right="260"/>
        <w:spacing w:after="0" w:line="249" w:lineRule="auto"/>
        <w:rPr>
          <w:sz w:val="20"/>
          <w:szCs w:val="20"/>
          <w:color w:val="auto"/>
        </w:rPr>
      </w:pPr>
      <w:r>
        <w:rPr>
          <w:rFonts w:ascii="Georgia" w:cs="Georgia" w:eastAsia="Georgia" w:hAnsi="Georgia"/>
          <w:sz w:val="16"/>
          <w:szCs w:val="16"/>
          <w:color w:val="auto"/>
        </w:rPr>
        <w:t>We designed our audit procedures with respect to the key audit matters, fraud and going concern, and the matters resulting from that, in the context of our audit of the financial statements as a whole and in forming our opinion thereon. Therefore, we do not provide separate opinions or conclusions on information in support of our opinion, such as our findings and observations related to individual key audit matters and the audit approach to address fraud risk and going concern.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and context</w:t>
      </w:r>
    </w:p>
    <w:p>
      <w:pPr>
        <w:spacing w:after="0" w:line="208" w:lineRule="exact"/>
        <w:rPr>
          <w:sz w:val="20"/>
          <w:szCs w:val="20"/>
          <w:color w:val="auto"/>
        </w:rPr>
      </w:pPr>
    </w:p>
    <w:p>
      <w:pPr>
        <w:ind w:right="100"/>
        <w:spacing w:after="0" w:line="249" w:lineRule="auto"/>
        <w:rPr>
          <w:sz w:val="20"/>
          <w:szCs w:val="20"/>
          <w:color w:val="auto"/>
        </w:rPr>
      </w:pPr>
      <w:r>
        <w:rPr>
          <w:rFonts w:ascii="Georgia" w:cs="Georgia" w:eastAsia="Georgia" w:hAnsi="Georgia"/>
          <w:sz w:val="16"/>
          <w:szCs w:val="16"/>
          <w:color w:val="auto"/>
        </w:rPr>
        <w:t>Pharvaris N.V. is a late-stage biopharmaceutical company focused on the development and commercialization of innovative therapies for rare diseases with significant unmet need, initially focused on angioedema and other bradykinin-mediated diseases. Pharvaris N.V. was incorporated on 30 September 2015 and is headquartered in Leiden, the Netherlands. It is the parent company of a group of entities, whose financial information is also included in the consolidated financial statements.</w:t>
      </w:r>
    </w:p>
    <w:p>
      <w:pPr>
        <w:spacing w:after="0" w:line="245" w:lineRule="exact"/>
        <w:rPr>
          <w:sz w:val="20"/>
          <w:szCs w:val="20"/>
          <w:color w:val="auto"/>
        </w:rPr>
      </w:pPr>
    </w:p>
    <w:p>
      <w:pPr>
        <w:ind w:right="280"/>
        <w:spacing w:after="0" w:line="249" w:lineRule="auto"/>
        <w:rPr>
          <w:sz w:val="20"/>
          <w:szCs w:val="20"/>
          <w:color w:val="auto"/>
        </w:rPr>
      </w:pPr>
      <w:r>
        <w:rPr>
          <w:rFonts w:ascii="Georgia" w:cs="Georgia" w:eastAsia="Georgia" w:hAnsi="Georgia"/>
          <w:sz w:val="16"/>
          <w:szCs w:val="16"/>
          <w:color w:val="auto"/>
        </w:rPr>
        <w:t>As part of designing our audit, we determined materiality and assessed the risks of material misstatement in the financial statements. In particular, we considered where management made important judgements, for example, in respect of significant accounting estimates that involved making assumptions and considering future events that are inherently uncertain.</w:t>
      </w:r>
    </w:p>
    <w:p>
      <w:pPr>
        <w:spacing w:after="0" w:line="23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auto"/>
        </w:rPr>
        <w:t>In note 2.19 of the consolidated financial statements, the Company describes the areas of judgement in applying accounting policies and the key sources of estimation uncertainty. Given the significant management judgement over the determination of Research and Development accruals; Clinical and Manufacturing accruals and services provided as of year end, we considered this to be a key audit matter as set out in the section ‘Key audit matters’ of this report.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152" w:name="page153"/>
    <w:bookmarkEnd w:id="152"/>
    <w:p>
      <w:pPr>
        <w:spacing w:after="0" w:line="200" w:lineRule="exact"/>
        <w:rPr>
          <w:sz w:val="20"/>
          <w:szCs w:val="20"/>
          <w:color w:val="auto"/>
        </w:rPr>
      </w:pPr>
    </w:p>
    <w:p>
      <w:pPr>
        <w:spacing w:after="0" w:line="296" w:lineRule="exact"/>
        <w:rPr>
          <w:sz w:val="20"/>
          <w:szCs w:val="20"/>
          <w:color w:val="auto"/>
        </w:rPr>
      </w:pPr>
    </w:p>
    <w:p>
      <w:pPr>
        <w:spacing w:after="0" w:line="250" w:lineRule="auto"/>
        <w:rPr>
          <w:sz w:val="20"/>
          <w:szCs w:val="20"/>
          <w:color w:val="auto"/>
        </w:rPr>
      </w:pPr>
      <w:r>
        <w:rPr>
          <w:rFonts w:ascii="Georgia" w:cs="Georgia" w:eastAsia="Georgia" w:hAnsi="Georgia"/>
          <w:sz w:val="16"/>
          <w:szCs w:val="16"/>
          <w:color w:val="auto"/>
        </w:rPr>
        <w:t>Other areas of focus, that were not considered as key audit matters, were the accounting and disclosure related to share-based payments and the accounting for deferred taxes.</w:t>
      </w:r>
    </w:p>
    <w:p>
      <w:pPr>
        <w:spacing w:after="0" w:line="242" w:lineRule="exact"/>
        <w:rPr>
          <w:sz w:val="20"/>
          <w:szCs w:val="20"/>
          <w:color w:val="auto"/>
        </w:rPr>
      </w:pPr>
    </w:p>
    <w:p>
      <w:pPr>
        <w:ind w:right="520"/>
        <w:spacing w:after="0" w:line="250" w:lineRule="auto"/>
        <w:rPr>
          <w:sz w:val="20"/>
          <w:szCs w:val="20"/>
          <w:color w:val="auto"/>
        </w:rPr>
      </w:pPr>
      <w:r>
        <w:rPr>
          <w:rFonts w:ascii="Georgia" w:cs="Georgia" w:eastAsia="Georgia" w:hAnsi="Georgia"/>
          <w:sz w:val="16"/>
          <w:szCs w:val="16"/>
          <w:color w:val="auto"/>
        </w:rPr>
        <w:t>We ensured that the audit team included the appropriate skills and competences which are needed for the audit of a clinical stage biopharmaceutical company. We therefore included experts and specialists in the area of amongst others IT and share-based payments in our team.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Georgia" w:cs="Georgia" w:eastAsia="Georgia" w:hAnsi="Georgia"/>
          <w:sz w:val="16"/>
          <w:szCs w:val="16"/>
          <w:color w:val="auto"/>
        </w:rPr>
        <w:t>The outline of our audit approach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05485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Overall materiality: €8,700,000.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-5715</wp:posOffset>
            </wp:positionV>
            <wp:extent cx="7029450" cy="21945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029450" cy="2194560"/>
                    </a:xfrm>
                    <a:prstGeom prst="rect">
                      <a:avLst/>
                    </a:prstGeom>
                    <a:noFill/>
                  </pic:spPr>
                </pic:pic>
              </a:graphicData>
            </a:graphic>
          </wp:anchor>
        </w:drawing>
      </w:r>
    </w:p>
    <w:p>
      <w:pPr>
        <w:spacing w:after="0" w:line="357" w:lineRule="exact"/>
        <w:rPr>
          <w:sz w:val="20"/>
          <w:szCs w:val="20"/>
          <w:color w:val="auto"/>
        </w:rPr>
      </w:pPr>
    </w:p>
    <w:p>
      <w:pPr>
        <w:ind w:left="2920" w:right="180"/>
        <w:spacing w:after="0" w:line="243" w:lineRule="auto"/>
        <w:rPr>
          <w:sz w:val="20"/>
          <w:szCs w:val="20"/>
          <w:color w:val="auto"/>
        </w:rPr>
      </w:pPr>
      <w:r>
        <w:rPr>
          <w:rFonts w:ascii="Arial" w:cs="Arial" w:eastAsia="Arial" w:hAnsi="Arial"/>
          <w:sz w:val="13"/>
          <w:szCs w:val="13"/>
          <w:color w:val="auto"/>
        </w:rPr>
        <w:t>We performed the audit procedures for the audit of the consolidated and company financial statements as the financial reporting and accounting functions for all entities in the Group are located, operated, and managed centrally in Leiden.</w:t>
      </w:r>
    </w:p>
    <w:p>
      <w:pPr>
        <w:spacing w:after="0" w:line="197"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Audit coverage: 99% of total assets and 99% of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508000</wp:posOffset>
            </wp:positionV>
            <wp:extent cx="52806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Research and Development accruals; Clinical and Manufacturing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Materiality</w:t>
      </w:r>
    </w:p>
    <w:p>
      <w:pPr>
        <w:spacing w:after="0" w:line="235" w:lineRule="exact"/>
        <w:rPr>
          <w:sz w:val="20"/>
          <w:szCs w:val="20"/>
          <w:color w:val="auto"/>
        </w:rPr>
      </w:pPr>
    </w:p>
    <w:p>
      <w:pPr>
        <w:ind w:right="60"/>
        <w:spacing w:after="0" w:line="250" w:lineRule="auto"/>
        <w:rPr>
          <w:sz w:val="20"/>
          <w:szCs w:val="20"/>
          <w:color w:val="auto"/>
        </w:rPr>
      </w:pPr>
      <w:r>
        <w:rPr>
          <w:rFonts w:ascii="Georgia" w:cs="Georgia" w:eastAsia="Georgia" w:hAnsi="Georgia"/>
          <w:sz w:val="16"/>
          <w:szCs w:val="16"/>
          <w:color w:val="auto"/>
        </w:rPr>
        <w:t>The scope of our audit was influenced by the application of materiality, which is further explained in the section ‘Our responsibilities for the audit of the financial statements’.</w:t>
      </w:r>
    </w:p>
    <w:p>
      <w:pPr>
        <w:spacing w:after="0" w:line="229" w:lineRule="exact"/>
        <w:rPr>
          <w:sz w:val="20"/>
          <w:szCs w:val="20"/>
          <w:color w:val="auto"/>
        </w:rPr>
      </w:pPr>
    </w:p>
    <w:p>
      <w:pPr>
        <w:ind w:right="20"/>
        <w:spacing w:after="0" w:line="249" w:lineRule="auto"/>
        <w:rPr>
          <w:sz w:val="20"/>
          <w:szCs w:val="20"/>
          <w:color w:val="auto"/>
        </w:rPr>
      </w:pPr>
      <w:r>
        <w:rPr>
          <w:rFonts w:ascii="Georgia" w:cs="Georgia" w:eastAsia="Georgia" w:hAnsi="Georgia"/>
          <w:sz w:val="16"/>
          <w:szCs w:val="16"/>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nature, timing and extent of our audit procedures on the individual financial statement line items and disclosures and to evaluate the effect of identified misstatements, both individually and in aggregate, on the financial statements as a whole and on our opinion.</w:t>
      </w:r>
    </w:p>
    <w:p>
      <w:pPr>
        <w:sectPr>
          <w:pgSz w:w="11900" w:h="16838" w:orient="portrait"/>
          <w:cols w:equalWidth="0" w:num="1">
            <w:col w:w="10880"/>
          </w:cols>
          <w:pgMar w:left="340" w:top="1440" w:right="679" w:bottom="1440" w:gutter="0" w:footer="0" w:header="0"/>
        </w:sect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3"/>
          <w:szCs w:val="13"/>
          <w:b w:val="1"/>
          <w:bCs w:val="1"/>
          <w:i w:val="1"/>
          <w:iCs w:val="1"/>
          <w:color w:val="auto"/>
        </w:rPr>
        <w:t>Overall group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137795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137795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137795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137795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137795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137795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137795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137795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137795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137795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137795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137795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137795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137795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137795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137795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137795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137795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137795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137795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137795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137795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137795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137795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137795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137795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137795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137795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137795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137795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137795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137795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137795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137795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137795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137795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137795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137795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137795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137795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137795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137795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137795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137795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137795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137795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137795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137795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137795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137795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137795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137795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137795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918210</wp:posOffset>
            </wp:positionH>
            <wp:positionV relativeFrom="paragraph">
              <wp:posOffset>137795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137795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137795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137795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137795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137795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137795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137795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137795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137795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137795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137795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137795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137795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137795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137795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137795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1209675</wp:posOffset>
            </wp:positionH>
            <wp:positionV relativeFrom="paragraph">
              <wp:posOffset>137795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137795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1243965</wp:posOffset>
            </wp:positionH>
            <wp:positionV relativeFrom="paragraph">
              <wp:posOffset>137795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137795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137795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137795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137795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137795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1346835</wp:posOffset>
            </wp:positionH>
            <wp:positionV relativeFrom="paragraph">
              <wp:posOffset>137795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1363980</wp:posOffset>
            </wp:positionH>
            <wp:positionV relativeFrom="paragraph">
              <wp:posOffset>137795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137795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137795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137795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137795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137795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137795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137795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137795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137795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137795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137795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137795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137795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137795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137795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137795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137795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137795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137795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137795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137795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137795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137795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137795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137795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137795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137795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137795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137795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137795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7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Basis for determining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316865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316865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316865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316865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316865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316865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316865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316865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316865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316865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316865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316865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316865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316865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316865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316865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316865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316865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316865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316865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316865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316865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316865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316865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316865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316865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316865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316865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316865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316865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316865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316865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316865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316865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316865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316865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316865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316865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316865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316865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316865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316865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316865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316865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316865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316865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316865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316865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316865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316865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316865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316865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316865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918210</wp:posOffset>
            </wp:positionH>
            <wp:positionV relativeFrom="paragraph">
              <wp:posOffset>316865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935355</wp:posOffset>
            </wp:positionH>
            <wp:positionV relativeFrom="paragraph">
              <wp:posOffset>316865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316865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316865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316865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316865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316865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316865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316865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316865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1089660</wp:posOffset>
            </wp:positionH>
            <wp:positionV relativeFrom="paragraph">
              <wp:posOffset>316865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316865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316865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316865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1158240</wp:posOffset>
            </wp:positionH>
            <wp:positionV relativeFrom="paragraph">
              <wp:posOffset>316865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316865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316865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1209675</wp:posOffset>
            </wp:positionH>
            <wp:positionV relativeFrom="paragraph">
              <wp:posOffset>316865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316865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1243965</wp:posOffset>
            </wp:positionH>
            <wp:positionV relativeFrom="paragraph">
              <wp:posOffset>316865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316865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316865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316865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316865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316865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1346835</wp:posOffset>
            </wp:positionH>
            <wp:positionV relativeFrom="paragraph">
              <wp:posOffset>316865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1363980</wp:posOffset>
            </wp:positionH>
            <wp:positionV relativeFrom="paragraph">
              <wp:posOffset>316865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1381125</wp:posOffset>
            </wp:positionH>
            <wp:positionV relativeFrom="paragraph">
              <wp:posOffset>316865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316865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316865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316865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316865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316865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316865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316865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316865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316865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316865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1569720</wp:posOffset>
            </wp:positionH>
            <wp:positionV relativeFrom="paragraph">
              <wp:posOffset>316865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316865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316865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316865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316865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316865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316865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316865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316865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316865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316865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316865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316865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316865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316865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316865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316865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316865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1878330</wp:posOffset>
            </wp:positionH>
            <wp:positionV relativeFrom="paragraph">
              <wp:posOffset>316865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Rationale for benchmark applied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€8,700,000 (2024: €6,500,000).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139065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139065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139065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139065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139065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139065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139065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139065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139065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139065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139065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139065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139065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139065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139065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139065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139065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139065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139065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139065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139065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139065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139065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139065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139065</wp:posOffset>
            </wp:positionV>
            <wp:extent cx="475742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71" w:lineRule="exact"/>
        <w:rPr>
          <w:sz w:val="20"/>
          <w:szCs w:val="20"/>
          <w:color w:val="auto"/>
        </w:rPr>
      </w:pPr>
    </w:p>
    <w:p>
      <w:pPr>
        <w:ind w:right="320"/>
        <w:spacing w:after="0" w:line="243" w:lineRule="auto"/>
        <w:rPr>
          <w:sz w:val="20"/>
          <w:szCs w:val="20"/>
          <w:color w:val="auto"/>
        </w:rPr>
      </w:pPr>
      <w:r>
        <w:rPr>
          <w:rFonts w:ascii="Arial" w:cs="Arial" w:eastAsia="Arial" w:hAnsi="Arial"/>
          <w:sz w:val="13"/>
          <w:szCs w:val="13"/>
          <w:color w:val="auto"/>
        </w:rPr>
        <w:t>We used our professional judgement to determine overall materiality. As a basis for our judgement, we used 5% of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213360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213360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213360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213360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213360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213360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213360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213360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213360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213360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213360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213360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213360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213360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213360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213360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213360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213360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213360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213360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213360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213360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213360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213360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213360</wp:posOffset>
            </wp:positionV>
            <wp:extent cx="47574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79"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We used 'loss before tax' as the primary benchmark, a generally accepted auditing practice, based on our analysis of the common information needs of the users of the financial statements. On this basis, we believe that 'loss before tax' is the most relevant metric for the financial performance of the Company.</w:t>
      </w:r>
    </w:p>
    <w:p>
      <w:pPr>
        <w:spacing w:after="0" w:line="200" w:lineRule="exact"/>
        <w:rPr>
          <w:sz w:val="20"/>
          <w:szCs w:val="20"/>
          <w:color w:val="auto"/>
        </w:rPr>
      </w:pPr>
    </w:p>
    <w:p>
      <w:pPr>
        <w:sectPr>
          <w:pgSz w:w="11900" w:h="16838" w:orient="portrait"/>
          <w:cols w:equalWidth="0" w:num="2">
            <w:col w:w="3200" w:space="720"/>
            <w:col w:w="6960"/>
          </w:cols>
          <w:pgMar w:left="340" w:top="1440"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668020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440" w:right="679" w:bottom="144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16"/>
          <w:szCs w:val="16"/>
          <w:color w:val="auto"/>
        </w:rPr>
        <w:t>We also take misstatements and/or possible misstatements into account that, in our judgement, are material for qualitative reasons.</w:t>
      </w:r>
    </w:p>
    <w:p>
      <w:pPr>
        <w:spacing w:after="0" w:line="237" w:lineRule="exact"/>
        <w:rPr>
          <w:sz w:val="20"/>
          <w:szCs w:val="20"/>
          <w:color w:val="auto"/>
        </w:rPr>
      </w:pPr>
    </w:p>
    <w:p>
      <w:pPr>
        <w:ind w:right="320"/>
        <w:spacing w:after="0" w:line="250" w:lineRule="auto"/>
        <w:rPr>
          <w:sz w:val="20"/>
          <w:szCs w:val="20"/>
          <w:color w:val="auto"/>
        </w:rPr>
      </w:pPr>
      <w:r>
        <w:rPr>
          <w:rFonts w:ascii="Georgia" w:cs="Georgia" w:eastAsia="Georgia" w:hAnsi="Georgia"/>
          <w:sz w:val="16"/>
          <w:szCs w:val="16"/>
          <w:color w:val="auto"/>
        </w:rPr>
        <w:t>We agreed with management that we would report to them any misstatement identified during our audit above €400,000 (2024: €325,000) as well as misstatements below that amount that, in our view, warranted reporting for qualitative reasons.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scope of our group audit</w:t>
      </w:r>
    </w:p>
    <w:p>
      <w:pPr>
        <w:spacing w:after="0" w:line="235" w:lineRule="exact"/>
        <w:rPr>
          <w:sz w:val="20"/>
          <w:szCs w:val="20"/>
          <w:color w:val="auto"/>
        </w:rPr>
      </w:pPr>
    </w:p>
    <w:p>
      <w:pPr>
        <w:ind w:right="140"/>
        <w:spacing w:after="0" w:line="250" w:lineRule="auto"/>
        <w:rPr>
          <w:sz w:val="20"/>
          <w:szCs w:val="20"/>
          <w:color w:val="auto"/>
        </w:rPr>
      </w:pPr>
      <w:r>
        <w:rPr>
          <w:rFonts w:ascii="Georgia" w:cs="Georgia" w:eastAsia="Georgia" w:hAnsi="Georgia"/>
          <w:sz w:val="16"/>
          <w:szCs w:val="16"/>
          <w:color w:val="auto"/>
        </w:rPr>
        <w:t>Pharvaris N.V. is the parent company of a group of entities. The financial information of this group is included in the consolidated financial statements of Pharvaris N.V.</w:t>
      </w:r>
    </w:p>
    <w:p>
      <w:pPr>
        <w:spacing w:after="0" w:line="229" w:lineRule="exact"/>
        <w:rPr>
          <w:sz w:val="20"/>
          <w:szCs w:val="20"/>
          <w:color w:val="auto"/>
        </w:rPr>
      </w:pPr>
    </w:p>
    <w:p>
      <w:pPr>
        <w:ind w:right="340"/>
        <w:spacing w:after="0" w:line="249" w:lineRule="auto"/>
        <w:rPr>
          <w:sz w:val="20"/>
          <w:szCs w:val="20"/>
          <w:color w:val="auto"/>
        </w:rPr>
      </w:pPr>
      <w:r>
        <w:rPr>
          <w:rFonts w:ascii="Georgia" w:cs="Georgia" w:eastAsia="Georgia" w:hAnsi="Georgia"/>
          <w:sz w:val="16"/>
          <w:szCs w:val="16"/>
          <w:color w:val="auto"/>
        </w:rPr>
        <w:t>We are responsible for the identification and assessment of the risks of material misstatement of the financial statements of the group, including those with respect to the consolidation process. Based on our risk assessment, we tailored the scope of our audit to ensure that we, in aggregate, performed sufficient work on the financial statements to enable us to provide an opinion on the financial statements as a whole.</w:t>
      </w:r>
    </w:p>
    <w:p>
      <w:pPr>
        <w:spacing w:after="0" w:line="244"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auto"/>
        </w:rPr>
        <w:t>We tailored the scope of our audit to ensure that we, in aggregate, provide sufficient coverage of the financial statements for us to be able to give an opinion on the financial statements as a whole, taking into account the management structure of the Group, the nature of operations of its components, the accounting processes and controls, and the markets in which the components of the Group operate. In establishing the overall group audit strategy and plan, we determined that we, as the group engagement team, will perform all the audit procedures for the audit of the Group and company financial statements as the financial reporting and accounting functions for all entities in the Group are located, operated, and managed centrally in Leiden.</w:t>
      </w:r>
    </w:p>
    <w:p>
      <w:pPr>
        <w:spacing w:after="0" w:line="231" w:lineRule="exact"/>
        <w:rPr>
          <w:sz w:val="20"/>
          <w:szCs w:val="20"/>
          <w:color w:val="auto"/>
        </w:rPr>
      </w:pPr>
    </w:p>
    <w:p>
      <w:pPr>
        <w:spacing w:after="0"/>
        <w:rPr>
          <w:sz w:val="20"/>
          <w:szCs w:val="20"/>
          <w:color w:val="auto"/>
        </w:rPr>
      </w:pPr>
      <w:r>
        <w:rPr>
          <w:rFonts w:ascii="Georgia" w:cs="Georgia" w:eastAsia="Georgia" w:hAnsi="Georgia"/>
          <w:sz w:val="16"/>
          <w:szCs w:val="16"/>
          <w:color w:val="auto"/>
        </w:rPr>
        <w:t>In total, in performing these procedures, we achieved the following coverage on the financial line items:</w:t>
      </w: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280" w:type="dxa"/>
            <w:vAlign w:val="bottom"/>
          </w:tcPr>
          <w:p>
            <w:pPr>
              <w:spacing w:after="0"/>
              <w:rPr>
                <w:sz w:val="20"/>
                <w:szCs w:val="20"/>
                <w:color w:val="auto"/>
              </w:rPr>
            </w:pPr>
            <w:r>
              <w:rPr>
                <w:rFonts w:ascii="Arial" w:cs="Arial" w:eastAsia="Arial" w:hAnsi="Arial"/>
                <w:sz w:val="13"/>
                <w:szCs w:val="13"/>
                <w:b w:val="1"/>
                <w:bCs w:val="1"/>
                <w:i w:val="1"/>
                <w:iCs w:val="1"/>
                <w:color w:val="auto"/>
              </w:rPr>
              <w:t>Total assets</w:t>
            </w:r>
          </w:p>
        </w:tc>
        <w:tc>
          <w:tcPr>
            <w:tcW w:w="162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540"/>
        </w:trPr>
        <w:tc>
          <w:tcPr>
            <w:tcW w:w="2280" w:type="dxa"/>
            <w:vAlign w:val="bottom"/>
          </w:tcPr>
          <w:p>
            <w:pPr>
              <w:spacing w:after="0"/>
              <w:rPr>
                <w:sz w:val="20"/>
                <w:szCs w:val="20"/>
                <w:color w:val="auto"/>
              </w:rPr>
            </w:pPr>
            <w:r>
              <w:rPr>
                <w:rFonts w:ascii="Arial" w:cs="Arial" w:eastAsia="Arial" w:hAnsi="Arial"/>
                <w:sz w:val="13"/>
                <w:szCs w:val="13"/>
                <w:b w:val="1"/>
                <w:bCs w:val="1"/>
                <w:i w:val="1"/>
                <w:iCs w:val="1"/>
                <w:color w:val="auto"/>
              </w:rPr>
              <w:t>Loss before tax</w:t>
            </w:r>
          </w:p>
        </w:tc>
        <w:tc>
          <w:tcPr>
            <w:tcW w:w="1620" w:type="dxa"/>
            <w:vAlign w:val="bottom"/>
          </w:tcPr>
          <w:p>
            <w:pPr>
              <w:jc w:val="right"/>
              <w:spacing w:after="0"/>
              <w:rPr>
                <w:sz w:val="20"/>
                <w:szCs w:val="20"/>
                <w:color w:val="auto"/>
              </w:rPr>
            </w:pPr>
            <w:r>
              <w:rPr>
                <w:rFonts w:ascii="Arial" w:cs="Arial" w:eastAsia="Arial" w:hAnsi="Arial"/>
                <w:sz w:val="13"/>
                <w:szCs w:val="13"/>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-217170</wp:posOffset>
            </wp:positionV>
            <wp:extent cx="70548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50" w:lineRule="auto"/>
        <w:rPr>
          <w:sz w:val="20"/>
          <w:szCs w:val="20"/>
          <w:color w:val="auto"/>
        </w:rPr>
      </w:pPr>
      <w:r>
        <w:rPr>
          <w:rFonts w:ascii="Georgia" w:cs="Georgia" w:eastAsia="Georgia" w:hAnsi="Georgia"/>
          <w:sz w:val="16"/>
          <w:szCs w:val="16"/>
          <w:color w:val="auto"/>
        </w:rPr>
        <w:t>By performing the procedures outlined above, we have been able to obtain sufficient and appropriate audit evidence on the Group’s financial information, to provide a basis for our opinion on the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approach fraud risks</w:t>
      </w:r>
    </w:p>
    <w:p>
      <w:pPr>
        <w:spacing w:after="0" w:line="316" w:lineRule="exact"/>
        <w:rPr>
          <w:sz w:val="20"/>
          <w:szCs w:val="20"/>
          <w:color w:val="auto"/>
        </w:rPr>
      </w:pPr>
    </w:p>
    <w:p>
      <w:pPr>
        <w:ind w:right="200"/>
        <w:spacing w:after="0" w:line="249" w:lineRule="auto"/>
        <w:rPr>
          <w:sz w:val="20"/>
          <w:szCs w:val="20"/>
          <w:color w:val="auto"/>
        </w:rPr>
      </w:pPr>
      <w:r>
        <w:rPr>
          <w:rFonts w:ascii="Georgia" w:cs="Georgia" w:eastAsia="Georgia" w:hAnsi="Georgia"/>
          <w:sz w:val="16"/>
          <w:szCs w:val="16"/>
          <w:color w:val="auto"/>
        </w:rPr>
        <w:t>We identified and assessed the risks of material misstatements in the financial statements due to fraud. During our audit we obtained an understanding of Pharvaris N.V. and its environment and the components of the internal control system. This included management’s risk assessment process, management’s process for responding to the risks of fraud and monitoring the internal control system. We note that management has not formalised its fraud risk assessment.</w:t>
      </w:r>
    </w:p>
    <w:p>
      <w:pPr>
        <w:spacing w:after="0" w:line="231" w:lineRule="exact"/>
        <w:rPr>
          <w:sz w:val="20"/>
          <w:szCs w:val="20"/>
          <w:color w:val="auto"/>
        </w:rPr>
      </w:pPr>
    </w:p>
    <w:p>
      <w:pPr>
        <w:ind w:right="340"/>
        <w:spacing w:after="0" w:line="249" w:lineRule="auto"/>
        <w:rPr>
          <w:sz w:val="20"/>
          <w:szCs w:val="20"/>
          <w:color w:val="auto"/>
        </w:rPr>
      </w:pPr>
      <w:r>
        <w:rPr>
          <w:rFonts w:ascii="Georgia" w:cs="Georgia" w:eastAsia="Georgia" w:hAnsi="Georgia"/>
          <w:sz w:val="16"/>
          <w:szCs w:val="16"/>
          <w:color w:val="auto"/>
        </w:rPr>
        <w:t>We evaluated the design and implementation of relevant aspects of the internal control system with respect to the risks of material misstatements due to fraud and in particular the fraud risk assessment, as well as the code of conduct and whistleblower procedures. We evaluated the design and the implementation and, where considered appropriate, tested the operating effectiveness of internal controls designed to mitigate fraud risks.</w:t>
      </w:r>
    </w:p>
    <w:p>
      <w:pPr>
        <w:spacing w:after="0" w:line="244" w:lineRule="exact"/>
        <w:rPr>
          <w:sz w:val="20"/>
          <w:szCs w:val="20"/>
          <w:color w:val="auto"/>
        </w:rPr>
      </w:pPr>
    </w:p>
    <w:p>
      <w:pPr>
        <w:spacing w:after="0" w:line="250" w:lineRule="auto"/>
        <w:rPr>
          <w:sz w:val="20"/>
          <w:szCs w:val="20"/>
          <w:color w:val="auto"/>
        </w:rPr>
      </w:pPr>
      <w:r>
        <w:rPr>
          <w:rFonts w:ascii="Georgia" w:cs="Georgia" w:eastAsia="Georgia" w:hAnsi="Georgia"/>
          <w:sz w:val="16"/>
          <w:szCs w:val="16"/>
          <w:color w:val="auto"/>
        </w:rPr>
        <w:t>We performed inquiries with senior management to evaluate their fraud awareness, the internal control environment in relation to fraud, the ‘tone at the top’ and entity-level controls.</w:t>
      </w:r>
    </w:p>
    <w:p>
      <w:pPr>
        <w:spacing w:after="0" w:line="229" w:lineRule="exact"/>
        <w:rPr>
          <w:sz w:val="20"/>
          <w:szCs w:val="20"/>
          <w:color w:val="auto"/>
        </w:rPr>
      </w:pPr>
    </w:p>
    <w:p>
      <w:pPr>
        <w:ind w:right="320"/>
        <w:spacing w:after="0" w:line="250" w:lineRule="auto"/>
        <w:rPr>
          <w:sz w:val="20"/>
          <w:szCs w:val="20"/>
          <w:color w:val="auto"/>
        </w:rPr>
      </w:pPr>
      <w:r>
        <w:rPr>
          <w:rFonts w:ascii="Georgia" w:cs="Georgia" w:eastAsia="Georgia" w:hAnsi="Georgia"/>
          <w:sz w:val="16"/>
          <w:szCs w:val="16"/>
          <w:color w:val="auto"/>
        </w:rPr>
        <w:t>We asked members of management as well as the human resources department, legal and compliance department and senior management whether they were aware of any actual or suspected fraud. This did not result in signals of actual or suspected fraud that may lead to a material misstatement.</w:t>
      </w:r>
    </w:p>
    <w:p>
      <w:pPr>
        <w:spacing w:after="0" w:line="229" w:lineRule="exact"/>
        <w:rPr>
          <w:sz w:val="20"/>
          <w:szCs w:val="20"/>
          <w:color w:val="auto"/>
        </w:rPr>
      </w:pPr>
    </w:p>
    <w:p>
      <w:pPr>
        <w:ind w:right="400"/>
        <w:spacing w:after="0" w:line="250" w:lineRule="auto"/>
        <w:rPr>
          <w:sz w:val="20"/>
          <w:szCs w:val="20"/>
          <w:color w:val="auto"/>
        </w:rPr>
      </w:pPr>
      <w:r>
        <w:rPr>
          <w:rFonts w:ascii="Georgia" w:cs="Georgia" w:eastAsia="Georgia" w:hAnsi="Georgia"/>
          <w:sz w:val="16"/>
          <w:szCs w:val="16"/>
          <w:color w:val="auto"/>
        </w:rPr>
        <w:t>As part of our process of identifying fraud risks, we evaluated fraud risk factors with respect to financial reporting fraud, misappropriation of assets and bribery and corruption. We evaluated whether these factors indicate that a risk of material misstatement due to fraud is present.</w:t>
      </w:r>
    </w:p>
    <w:p>
      <w:pPr>
        <w:spacing w:after="0" w:line="242" w:lineRule="exact"/>
        <w:rPr>
          <w:sz w:val="20"/>
          <w:szCs w:val="20"/>
          <w:color w:val="auto"/>
        </w:rPr>
      </w:pPr>
    </w:p>
    <w:p>
      <w:pPr>
        <w:spacing w:after="0"/>
        <w:rPr>
          <w:sz w:val="20"/>
          <w:szCs w:val="20"/>
          <w:color w:val="auto"/>
        </w:rPr>
      </w:pPr>
      <w:r>
        <w:rPr>
          <w:rFonts w:ascii="Georgia" w:cs="Georgia" w:eastAsia="Georgia" w:hAnsi="Georgia"/>
          <w:sz w:val="16"/>
          <w:szCs w:val="16"/>
          <w:color w:val="auto"/>
        </w:rPr>
        <w:t>We identified the following fraud risks and performed the following specific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668020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1546225</wp:posOffset>
            </wp:positionV>
            <wp:extent cx="7054850" cy="3600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0548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2740" w:type="dxa"/>
            <w:vAlign w:val="bottom"/>
            <w:shd w:val="clear" w:color="auto" w:fill="FB5008"/>
          </w:tcPr>
          <w:p>
            <w:pPr>
              <w:ind w:left="60"/>
              <w:spacing w:after="0"/>
              <w:rPr>
                <w:sz w:val="20"/>
                <w:szCs w:val="20"/>
                <w:color w:val="auto"/>
              </w:rPr>
            </w:pPr>
            <w:r>
              <w:rPr>
                <w:rFonts w:ascii="Arial" w:cs="Arial" w:eastAsia="Arial" w:hAnsi="Arial"/>
                <w:sz w:val="14"/>
                <w:szCs w:val="14"/>
                <w:b w:val="1"/>
                <w:bCs w:val="1"/>
                <w:color w:val="auto"/>
              </w:rPr>
              <w:t>Identified fraud risks</w:t>
            </w:r>
          </w:p>
        </w:tc>
        <w:tc>
          <w:tcPr>
            <w:tcW w:w="8380" w:type="dxa"/>
            <w:vAlign w:val="bottom"/>
            <w:shd w:val="clear" w:color="auto" w:fill="FB5008"/>
          </w:tcPr>
          <w:p>
            <w:pPr>
              <w:ind w:left="1260"/>
              <w:spacing w:after="0"/>
              <w:rPr>
                <w:sz w:val="20"/>
                <w:szCs w:val="20"/>
                <w:color w:val="auto"/>
              </w:rPr>
            </w:pPr>
            <w:r>
              <w:rPr>
                <w:rFonts w:ascii="Arial" w:cs="Arial" w:eastAsia="Arial" w:hAnsi="Arial"/>
                <w:sz w:val="14"/>
                <w:szCs w:val="14"/>
                <w:b w:val="1"/>
                <w:bCs w:val="1"/>
                <w:color w:val="auto"/>
              </w:rPr>
              <w:t>Our audit work and observations</w:t>
            </w:r>
          </w:p>
        </w:tc>
      </w:tr>
      <w:tr>
        <w:trPr>
          <w:trHeight w:val="205"/>
        </w:trPr>
        <w:tc>
          <w:tcPr>
            <w:tcW w:w="2740" w:type="dxa"/>
            <w:vAlign w:val="bottom"/>
            <w:shd w:val="clear" w:color="auto" w:fill="FB5008"/>
          </w:tcPr>
          <w:p>
            <w:pPr>
              <w:spacing w:after="0"/>
              <w:rPr>
                <w:sz w:val="17"/>
                <w:szCs w:val="17"/>
                <w:color w:val="auto"/>
              </w:rPr>
            </w:pPr>
          </w:p>
        </w:tc>
        <w:tc>
          <w:tcPr>
            <w:tcW w:w="8380" w:type="dxa"/>
            <w:vAlign w:val="bottom"/>
            <w:shd w:val="clear" w:color="auto" w:fill="FB5008"/>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054850" cy="37801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054850" cy="378015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p>
      <w:pPr>
        <w:spacing w:after="0" w:line="15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The risk of management override of controls</w:t>
      </w:r>
    </w:p>
    <w:p>
      <w:pPr>
        <w:spacing w:after="0" w:line="229" w:lineRule="exact"/>
        <w:rPr>
          <w:sz w:val="20"/>
          <w:szCs w:val="20"/>
          <w:color w:val="auto"/>
        </w:rPr>
      </w:pPr>
    </w:p>
    <w:p>
      <w:pPr>
        <w:ind w:left="60"/>
        <w:spacing w:after="0" w:line="246" w:lineRule="auto"/>
        <w:rPr>
          <w:sz w:val="20"/>
          <w:szCs w:val="20"/>
          <w:color w:val="auto"/>
        </w:rPr>
      </w:pPr>
      <w:r>
        <w:rPr>
          <w:rFonts w:ascii="Arial" w:cs="Arial" w:eastAsia="Arial" w:hAnsi="Arial"/>
          <w:sz w:val="12"/>
          <w:szCs w:val="12"/>
          <w:color w:val="auto"/>
        </w:rPr>
        <w:t>Management is in a unique position to perpetrate fraud because of management’s ability to manipulate accounting records and prepare fraudulent financial statements by overriding controls that otherwise appear to be operating effectively. That is why, in all our audits, we pay attention to the risk of management override of controls in:</w:t>
      </w:r>
    </w:p>
    <w:p>
      <w:pPr>
        <w:spacing w:after="0" w:line="143" w:lineRule="exact"/>
        <w:rPr>
          <w:sz w:val="20"/>
          <w:szCs w:val="20"/>
          <w:color w:val="auto"/>
        </w:rPr>
      </w:pPr>
    </w:p>
    <w:p>
      <w:pPr>
        <w:ind w:left="260" w:right="180" w:hanging="200"/>
        <w:spacing w:after="0" w:line="232" w:lineRule="auto"/>
        <w:tabs>
          <w:tab w:leader="none" w:pos="26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2"/>
          <w:szCs w:val="12"/>
          <w:color w:val="auto"/>
        </w:rPr>
        <w:t>The appropriateness of journal entries and other adjustments made in the preparation of the financial statements.</w:t>
      </w:r>
    </w:p>
    <w:p>
      <w:pPr>
        <w:spacing w:after="0" w:line="127" w:lineRule="exact"/>
        <w:rPr>
          <w:rFonts w:ascii="Times New Roman" w:cs="Times New Roman" w:eastAsia="Times New Roman" w:hAnsi="Times New Roman"/>
          <w:sz w:val="15"/>
          <w:szCs w:val="15"/>
          <w:color w:val="auto"/>
        </w:rPr>
      </w:pPr>
    </w:p>
    <w:p>
      <w:pPr>
        <w:ind w:left="260" w:hanging="200"/>
        <w:spacing w:after="0"/>
        <w:tabs>
          <w:tab w:leader="none" w:pos="260"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3"/>
          <w:szCs w:val="13"/>
          <w:color w:val="auto"/>
        </w:rPr>
        <w:t>Estimates.</w:t>
      </w:r>
    </w:p>
    <w:p>
      <w:pPr>
        <w:spacing w:after="0" w:line="320" w:lineRule="exact"/>
        <w:rPr>
          <w:sz w:val="20"/>
          <w:szCs w:val="20"/>
          <w:color w:val="auto"/>
        </w:rPr>
      </w:pPr>
    </w:p>
    <w:p>
      <w:pPr>
        <w:ind w:left="60" w:right="200"/>
        <w:spacing w:after="0" w:line="243" w:lineRule="auto"/>
        <w:rPr>
          <w:sz w:val="20"/>
          <w:szCs w:val="20"/>
          <w:color w:val="auto"/>
        </w:rPr>
      </w:pPr>
      <w:r>
        <w:rPr>
          <w:rFonts w:ascii="Arial" w:cs="Arial" w:eastAsia="Arial" w:hAnsi="Arial"/>
          <w:sz w:val="13"/>
          <w:szCs w:val="13"/>
          <w:color w:val="auto"/>
        </w:rPr>
        <w:t>We pay particular attention to tendencies due to possible bias of management.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340"/>
        <w:spacing w:after="0" w:line="233" w:lineRule="auto"/>
        <w:rPr>
          <w:sz w:val="20"/>
          <w:szCs w:val="20"/>
          <w:color w:val="auto"/>
        </w:rPr>
      </w:pPr>
      <w:r>
        <w:rPr>
          <w:rFonts w:ascii="Arial" w:cs="Arial" w:eastAsia="Arial" w:hAnsi="Arial"/>
          <w:sz w:val="13"/>
          <w:szCs w:val="13"/>
          <w:color w:val="auto"/>
        </w:rPr>
        <w:t>We evaluated the design and implementation of the internal control system in the processes of generating and processing journal entries and making estimates. We also paid specific attention to the access safeguards in the IT system and the possibility that this will lead to violations of the segregation of duties.</w:t>
      </w:r>
    </w:p>
    <w:p>
      <w:pPr>
        <w:spacing w:after="0" w:line="213" w:lineRule="exact"/>
        <w:rPr>
          <w:sz w:val="20"/>
          <w:szCs w:val="20"/>
          <w:color w:val="auto"/>
        </w:rPr>
      </w:pPr>
    </w:p>
    <w:p>
      <w:pPr>
        <w:ind w:right="740"/>
        <w:spacing w:after="0" w:line="243" w:lineRule="auto"/>
        <w:rPr>
          <w:sz w:val="20"/>
          <w:szCs w:val="20"/>
          <w:color w:val="auto"/>
        </w:rPr>
      </w:pPr>
      <w:r>
        <w:rPr>
          <w:rFonts w:ascii="Arial" w:cs="Arial" w:eastAsia="Arial" w:hAnsi="Arial"/>
          <w:sz w:val="13"/>
          <w:szCs w:val="13"/>
          <w:color w:val="auto"/>
        </w:rPr>
        <w:t>We selected journal entries based on risk criteria and conducted specific audit procedures for these entries. These procedures include, amongst others, inspection of the entries to source documentation.</w:t>
      </w:r>
    </w:p>
    <w:p>
      <w:pPr>
        <w:spacing w:after="0" w:line="197" w:lineRule="exact"/>
        <w:rPr>
          <w:sz w:val="20"/>
          <w:szCs w:val="20"/>
          <w:color w:val="auto"/>
        </w:rPr>
      </w:pPr>
    </w:p>
    <w:p>
      <w:pPr>
        <w:ind w:right="280"/>
        <w:spacing w:after="0" w:line="243" w:lineRule="auto"/>
        <w:rPr>
          <w:sz w:val="20"/>
          <w:szCs w:val="20"/>
          <w:color w:val="auto"/>
        </w:rPr>
      </w:pPr>
      <w:r>
        <w:rPr>
          <w:rFonts w:ascii="Arial" w:cs="Arial" w:eastAsia="Arial" w:hAnsi="Arial"/>
          <w:sz w:val="13"/>
          <w:szCs w:val="13"/>
          <w:color w:val="auto"/>
        </w:rPr>
        <w:t>We also performed specific audit procedures related to estimates of management as disclosed in Note 2.19 to the financial statements.We specifically paid attention to the inherent risk of bias of management in estimates.</w:t>
      </w:r>
    </w:p>
    <w:p>
      <w:pPr>
        <w:spacing w:after="0" w:line="210"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Our audit procedures did not lead to specific indications of fraud or suspicions of fraud with respect to management override of controls.</w:t>
      </w:r>
    </w:p>
    <w:p>
      <w:pPr>
        <w:spacing w:after="0" w:line="699" w:lineRule="exact"/>
        <w:rPr>
          <w:sz w:val="20"/>
          <w:szCs w:val="20"/>
          <w:color w:val="auto"/>
        </w:rPr>
      </w:pPr>
    </w:p>
    <w:p>
      <w:pPr>
        <w:sectPr>
          <w:pgSz w:w="11900" w:h="16838" w:orient="portrait"/>
          <w:cols w:equalWidth="0" w:num="2">
            <w:col w:w="3840" w:space="160"/>
            <w:col w:w="7120"/>
          </w:cols>
          <w:pgMar w:left="34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Georgia" w:cs="Georgia" w:eastAsia="Georgia" w:hAnsi="Georgia"/>
          <w:sz w:val="16"/>
          <w:szCs w:val="16"/>
          <w:color w:val="auto"/>
        </w:rPr>
        <w:t>We incorporated an element of unpredictability in our audit. We reviewed lawyer’s letters. During the audit, we remained alert to indications of fraud.</w:t>
      </w:r>
    </w:p>
    <w:p>
      <w:pPr>
        <w:spacing w:after="0" w:line="7" w:lineRule="exact"/>
        <w:rPr>
          <w:sz w:val="20"/>
          <w:szCs w:val="20"/>
          <w:color w:val="auto"/>
        </w:rPr>
      </w:pPr>
    </w:p>
    <w:p>
      <w:pPr>
        <w:spacing w:after="0"/>
        <w:rPr>
          <w:sz w:val="20"/>
          <w:szCs w:val="20"/>
          <w:color w:val="auto"/>
        </w:rPr>
      </w:pPr>
      <w:r>
        <w:rPr>
          <w:rFonts w:ascii="Georgia" w:cs="Georgia" w:eastAsia="Georgia" w:hAnsi="Georgia"/>
          <w:sz w:val="16"/>
          <w:szCs w:val="16"/>
          <w:color w:val="auto"/>
        </w:rPr>
        <w:t>Furthermore, we considered the outcome of our other audit procedures and evaluated whether any findings were indicative of fraud.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approach going concern</w:t>
      </w:r>
    </w:p>
    <w:p>
      <w:pPr>
        <w:spacing w:after="0" w:line="316" w:lineRule="exact"/>
        <w:rPr>
          <w:sz w:val="20"/>
          <w:szCs w:val="20"/>
          <w:color w:val="auto"/>
        </w:rPr>
      </w:pPr>
    </w:p>
    <w:p>
      <w:pPr>
        <w:jc w:val="both"/>
        <w:ind w:right="460"/>
        <w:spacing w:after="0" w:line="249" w:lineRule="auto"/>
        <w:rPr>
          <w:sz w:val="20"/>
          <w:szCs w:val="20"/>
          <w:color w:val="auto"/>
        </w:rPr>
      </w:pPr>
      <w:r>
        <w:rPr>
          <w:rFonts w:ascii="Georgia" w:cs="Georgia" w:eastAsia="Georgia" w:hAnsi="Georgia"/>
          <w:sz w:val="16"/>
          <w:szCs w:val="16"/>
          <w:color w:val="auto"/>
        </w:rPr>
        <w:t xml:space="preserve">As disclosed in section </w:t>
      </w:r>
      <w:r>
        <w:rPr>
          <w:rFonts w:ascii="Georgia" w:cs="Georgia" w:eastAsia="Georgia" w:hAnsi="Georgia"/>
          <w:sz w:val="16"/>
          <w:szCs w:val="16"/>
          <w:i w:val="1"/>
          <w:iCs w:val="1"/>
          <w:color w:val="auto"/>
        </w:rPr>
        <w:t>2.2 Going concern</w:t>
      </w:r>
      <w:r>
        <w:rPr>
          <w:rFonts w:ascii="Georgia" w:cs="Georgia" w:eastAsia="Georgia" w:hAnsi="Georgia"/>
          <w:sz w:val="16"/>
          <w:szCs w:val="16"/>
          <w:color w:val="auto"/>
        </w:rPr>
        <w:t xml:space="preserve"> of the financial statements management performed its assessment of the Company’s ability to continue as a going concern for at least 12 months from the date of preparation of the financial statements and has not identified events or conditions that may cast significant doubt on the Company’s ability to continue as a going concern (hereafter: going-concern risks).</w:t>
      </w:r>
    </w:p>
    <w:p>
      <w:pPr>
        <w:spacing w:after="0" w:line="244" w:lineRule="exact"/>
        <w:rPr>
          <w:sz w:val="20"/>
          <w:szCs w:val="20"/>
          <w:color w:val="auto"/>
        </w:rPr>
      </w:pPr>
    </w:p>
    <w:p>
      <w:pPr>
        <w:spacing w:after="0"/>
        <w:rPr>
          <w:sz w:val="20"/>
          <w:szCs w:val="20"/>
          <w:color w:val="auto"/>
        </w:rPr>
      </w:pPr>
      <w:r>
        <w:rPr>
          <w:rFonts w:ascii="Georgia" w:cs="Georgia" w:eastAsia="Georgia" w:hAnsi="Georgia"/>
          <w:sz w:val="16"/>
          <w:szCs w:val="16"/>
          <w:color w:val="auto"/>
        </w:rPr>
        <w:t>Our procedures to evaluate management’s going-concern assessment included, amongst others: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668020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type w:val="continuous"/>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right="320" w:hanging="562"/>
        <w:spacing w:after="0" w:line="226" w:lineRule="auto"/>
        <w:tabs>
          <w:tab w:leader="none" w:pos="580" w:val="left"/>
        </w:tabs>
        <w:numPr>
          <w:ilvl w:val="0"/>
          <w:numId w:val="97"/>
        </w:numPr>
        <w:rPr>
          <w:rFonts w:ascii="Times New Roman" w:cs="Times New Roman" w:eastAsia="Times New Roman" w:hAnsi="Times New Roman"/>
          <w:sz w:val="20"/>
          <w:szCs w:val="20"/>
          <w:color w:val="auto"/>
        </w:rPr>
      </w:pPr>
      <w:r>
        <w:rPr>
          <w:rFonts w:ascii="Georgia" w:cs="Georgia" w:eastAsia="Georgia" w:hAnsi="Georgia"/>
          <w:sz w:val="16"/>
          <w:szCs w:val="16"/>
          <w:color w:val="auto"/>
        </w:rPr>
        <w:t>considering whether management’s going-concern assessment included all relevant information of which we were aware as a result of our audit by review of the minutes of meetings of the board of directors and inquiring with management regarding management’s most important assumptions underlying its going-concern assessment;</w:t>
      </w:r>
    </w:p>
    <w:p>
      <w:pPr>
        <w:spacing w:after="0" w:line="170" w:lineRule="exact"/>
        <w:rPr>
          <w:rFonts w:ascii="Times New Roman" w:cs="Times New Roman" w:eastAsia="Times New Roman" w:hAnsi="Times New Roman"/>
          <w:sz w:val="20"/>
          <w:szCs w:val="20"/>
          <w:color w:val="auto"/>
        </w:rPr>
      </w:pPr>
    </w:p>
    <w:p>
      <w:pPr>
        <w:ind w:left="580" w:right="120" w:hanging="562"/>
        <w:spacing w:after="0" w:line="216" w:lineRule="auto"/>
        <w:tabs>
          <w:tab w:leader="none" w:pos="580" w:val="left"/>
        </w:tabs>
        <w:numPr>
          <w:ilvl w:val="0"/>
          <w:numId w:val="97"/>
        </w:numPr>
        <w:rPr>
          <w:rFonts w:ascii="Times New Roman" w:cs="Times New Roman" w:eastAsia="Times New Roman" w:hAnsi="Times New Roman"/>
          <w:sz w:val="20"/>
          <w:szCs w:val="20"/>
          <w:color w:val="auto"/>
        </w:rPr>
      </w:pPr>
      <w:r>
        <w:rPr>
          <w:rFonts w:ascii="Georgia" w:cs="Georgia" w:eastAsia="Georgia" w:hAnsi="Georgia"/>
          <w:sz w:val="16"/>
          <w:szCs w:val="16"/>
          <w:color w:val="auto"/>
        </w:rPr>
        <w:t>evaluating management’s current budget including cash flows for at least 12 months from the date of preparation of the financial statements taken into account current developments and all relevant information of which we were aware as a result of our audit;</w:t>
      </w:r>
    </w:p>
    <w:p>
      <w:pPr>
        <w:spacing w:after="0" w:line="121" w:lineRule="exact"/>
        <w:rPr>
          <w:rFonts w:ascii="Times New Roman" w:cs="Times New Roman" w:eastAsia="Times New Roman" w:hAnsi="Times New Roman"/>
          <w:sz w:val="20"/>
          <w:szCs w:val="20"/>
          <w:color w:val="auto"/>
        </w:rPr>
      </w:pPr>
    </w:p>
    <w:p>
      <w:pPr>
        <w:ind w:left="580" w:hanging="562"/>
        <w:spacing w:after="0"/>
        <w:tabs>
          <w:tab w:leader="none" w:pos="580" w:val="left"/>
        </w:tabs>
        <w:numPr>
          <w:ilvl w:val="0"/>
          <w:numId w:val="97"/>
        </w:numPr>
        <w:rPr>
          <w:rFonts w:ascii="Times New Roman" w:cs="Times New Roman" w:eastAsia="Times New Roman" w:hAnsi="Times New Roman"/>
          <w:sz w:val="20"/>
          <w:szCs w:val="20"/>
          <w:color w:val="auto"/>
        </w:rPr>
      </w:pPr>
      <w:r>
        <w:rPr>
          <w:rFonts w:ascii="Georgia" w:cs="Georgia" w:eastAsia="Georgia" w:hAnsi="Georgia"/>
          <w:sz w:val="16"/>
          <w:szCs w:val="16"/>
          <w:color w:val="auto"/>
        </w:rPr>
        <w:t>obtaining independent external confirmations for the cash balance as at 31 December 2025;</w:t>
      </w:r>
    </w:p>
    <w:p>
      <w:pPr>
        <w:spacing w:after="0" w:line="229" w:lineRule="exact"/>
        <w:rPr>
          <w:rFonts w:ascii="Times New Roman" w:cs="Times New Roman" w:eastAsia="Times New Roman" w:hAnsi="Times New Roman"/>
          <w:sz w:val="20"/>
          <w:szCs w:val="20"/>
          <w:color w:val="auto"/>
        </w:rPr>
      </w:pPr>
    </w:p>
    <w:p>
      <w:pPr>
        <w:ind w:left="580" w:hanging="562"/>
        <w:spacing w:after="0"/>
        <w:tabs>
          <w:tab w:leader="none" w:pos="580" w:val="left"/>
        </w:tabs>
        <w:numPr>
          <w:ilvl w:val="0"/>
          <w:numId w:val="97"/>
        </w:numPr>
        <w:rPr>
          <w:rFonts w:ascii="Times New Roman" w:cs="Times New Roman" w:eastAsia="Times New Roman" w:hAnsi="Times New Roman"/>
          <w:sz w:val="20"/>
          <w:szCs w:val="20"/>
          <w:color w:val="auto"/>
        </w:rPr>
      </w:pPr>
      <w:r>
        <w:rPr>
          <w:rFonts w:ascii="Georgia" w:cs="Georgia" w:eastAsia="Georgia" w:hAnsi="Georgia"/>
          <w:sz w:val="16"/>
          <w:szCs w:val="16"/>
          <w:color w:val="auto"/>
        </w:rPr>
        <w:t>performing inquiries of management as to its knowledge of going-concern risks beyond the period of management’s assessment.</w:t>
      </w:r>
    </w:p>
    <w:p>
      <w:pPr>
        <w:spacing w:after="0" w:line="236" w:lineRule="exact"/>
        <w:rPr>
          <w:sz w:val="20"/>
          <w:szCs w:val="20"/>
          <w:color w:val="auto"/>
        </w:rPr>
      </w:pPr>
    </w:p>
    <w:p>
      <w:pPr>
        <w:ind w:right="880"/>
        <w:spacing w:after="0" w:line="250" w:lineRule="auto"/>
        <w:rPr>
          <w:sz w:val="20"/>
          <w:szCs w:val="20"/>
          <w:color w:val="auto"/>
        </w:rPr>
      </w:pPr>
      <w:r>
        <w:rPr>
          <w:rFonts w:ascii="Georgia" w:cs="Georgia" w:eastAsia="Georgia" w:hAnsi="Georgia"/>
          <w:sz w:val="16"/>
          <w:szCs w:val="16"/>
          <w:color w:val="auto"/>
        </w:rPr>
        <w:t>Our procedures did not result in outcomes contrary to management’s assumptions and judgements used in the application of the going-concern assumption.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audit matters</w:t>
      </w:r>
    </w:p>
    <w:p>
      <w:pPr>
        <w:spacing w:after="0" w:line="222" w:lineRule="exact"/>
        <w:rPr>
          <w:sz w:val="20"/>
          <w:szCs w:val="20"/>
          <w:color w:val="auto"/>
        </w:rPr>
      </w:pPr>
    </w:p>
    <w:p>
      <w:pPr>
        <w:ind w:right="140"/>
        <w:spacing w:after="0" w:line="249" w:lineRule="auto"/>
        <w:rPr>
          <w:sz w:val="20"/>
          <w:szCs w:val="20"/>
          <w:color w:val="auto"/>
        </w:rPr>
      </w:pPr>
      <w:r>
        <w:rPr>
          <w:rFonts w:ascii="Georgia" w:cs="Georgia" w:eastAsia="Georgia" w:hAnsi="Georgia"/>
          <w:sz w:val="16"/>
          <w:szCs w:val="16"/>
          <w:color w:val="auto"/>
        </w:rPr>
        <w:t>Key audit matters are those matters that, in our professional judgement, were of most significance in the audit of the financial statements. We have communicated the key audit matters to board of directors, audit committee and management. The key audit matters are not a comprehensive reflection of all matters identified by our audit and that we discussed. In this section, we described the key audit matters and included a summary of the audit procedures we performed on those matters.</w:t>
      </w:r>
    </w:p>
    <w:p>
      <w:pPr>
        <w:spacing w:after="0" w:line="245" w:lineRule="exact"/>
        <w:rPr>
          <w:sz w:val="20"/>
          <w:szCs w:val="20"/>
          <w:color w:val="auto"/>
        </w:rPr>
      </w:pPr>
    </w:p>
    <w:p>
      <w:pPr>
        <w:ind w:right="260"/>
        <w:spacing w:after="0" w:line="250" w:lineRule="auto"/>
        <w:rPr>
          <w:sz w:val="20"/>
          <w:szCs w:val="20"/>
          <w:color w:val="auto"/>
        </w:rPr>
      </w:pPr>
      <w:r>
        <w:rPr>
          <w:rFonts w:ascii="Georgia" w:cs="Georgia" w:eastAsia="Georgia" w:hAnsi="Georgia"/>
          <w:sz w:val="16"/>
          <w:szCs w:val="16"/>
          <w:color w:val="auto"/>
        </w:rPr>
        <w:t>Considering the nature of the Group’s business activities as well as the industry in which it operates, we consider the Research and Development Clinical and Manufacturing Accruals as a key audit matter for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102235</wp:posOffset>
            </wp:positionV>
            <wp:extent cx="8255" cy="3600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36004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5560" w:type="dxa"/>
            <w:vAlign w:val="bottom"/>
            <w:shd w:val="clear" w:color="auto" w:fill="FB5008"/>
          </w:tcPr>
          <w:p>
            <w:pPr>
              <w:ind w:left="80"/>
              <w:spacing w:after="0"/>
              <w:rPr>
                <w:sz w:val="20"/>
                <w:szCs w:val="20"/>
                <w:color w:val="auto"/>
              </w:rPr>
            </w:pPr>
            <w:r>
              <w:rPr>
                <w:rFonts w:ascii="Arial" w:cs="Arial" w:eastAsia="Arial" w:hAnsi="Arial"/>
                <w:sz w:val="14"/>
                <w:szCs w:val="14"/>
                <w:b w:val="1"/>
                <w:bCs w:val="1"/>
                <w:color w:val="auto"/>
              </w:rPr>
              <w:t>Key audit matter</w:t>
            </w:r>
          </w:p>
        </w:tc>
        <w:tc>
          <w:tcPr>
            <w:tcW w:w="5560" w:type="dxa"/>
            <w:vAlign w:val="bottom"/>
            <w:shd w:val="clear" w:color="auto" w:fill="FB5008"/>
          </w:tcPr>
          <w:p>
            <w:pPr>
              <w:ind w:left="80"/>
              <w:spacing w:after="0"/>
              <w:rPr>
                <w:sz w:val="20"/>
                <w:szCs w:val="20"/>
                <w:color w:val="auto"/>
              </w:rPr>
            </w:pPr>
            <w:r>
              <w:rPr>
                <w:rFonts w:ascii="Arial" w:cs="Arial" w:eastAsia="Arial" w:hAnsi="Arial"/>
                <w:sz w:val="14"/>
                <w:szCs w:val="14"/>
                <w:b w:val="1"/>
                <w:bCs w:val="1"/>
                <w:color w:val="auto"/>
              </w:rPr>
              <w:t>Our audit work and observations</w:t>
            </w:r>
          </w:p>
        </w:tc>
      </w:tr>
      <w:tr>
        <w:trPr>
          <w:trHeight w:val="204"/>
        </w:trPr>
        <w:tc>
          <w:tcPr>
            <w:tcW w:w="5560" w:type="dxa"/>
            <w:vAlign w:val="bottom"/>
            <w:shd w:val="clear" w:color="auto" w:fill="FB5008"/>
          </w:tcPr>
          <w:p>
            <w:pPr>
              <w:spacing w:after="0"/>
              <w:rPr>
                <w:sz w:val="17"/>
                <w:szCs w:val="17"/>
                <w:color w:val="auto"/>
              </w:rPr>
            </w:pPr>
          </w:p>
        </w:tc>
        <w:tc>
          <w:tcPr>
            <w:tcW w:w="5560" w:type="dxa"/>
            <w:vAlign w:val="bottom"/>
            <w:shd w:val="clear" w:color="auto" w:fill="FB5008"/>
          </w:tcPr>
          <w:p>
            <w:pPr>
              <w:spacing w:after="0"/>
              <w:rPr>
                <w:sz w:val="17"/>
                <w:szCs w:val="17"/>
                <w:color w:val="auto"/>
              </w:rPr>
            </w:pPr>
          </w:p>
        </w:tc>
      </w:tr>
      <w:tr>
        <w:trPr>
          <w:trHeight w:val="324"/>
        </w:trPr>
        <w:tc>
          <w:tcPr>
            <w:tcW w:w="5560" w:type="dxa"/>
            <w:vAlign w:val="bottom"/>
          </w:tcPr>
          <w:p>
            <w:pPr>
              <w:ind w:left="80"/>
              <w:spacing w:after="0"/>
              <w:rPr>
                <w:sz w:val="20"/>
                <w:szCs w:val="20"/>
                <w:color w:val="auto"/>
              </w:rPr>
            </w:pPr>
            <w:r>
              <w:rPr>
                <w:rFonts w:ascii="Arial" w:cs="Arial" w:eastAsia="Arial" w:hAnsi="Arial"/>
                <w:sz w:val="13"/>
                <w:szCs w:val="13"/>
                <w:color w:val="auto"/>
              </w:rPr>
              <w:t>Research and Development; Clinical and Manufacturing Accruals</w:t>
            </w:r>
          </w:p>
        </w:tc>
        <w:tc>
          <w:tcPr>
            <w:tcW w:w="5560" w:type="dxa"/>
            <w:vAlign w:val="bottom"/>
            <w:shd w:val="clear" w:color="auto" w:fill="F1F1F1"/>
          </w:tcPr>
          <w:p>
            <w:pPr>
              <w:ind w:left="80"/>
              <w:spacing w:after="0"/>
              <w:rPr>
                <w:sz w:val="20"/>
                <w:szCs w:val="20"/>
                <w:color w:val="auto"/>
              </w:rPr>
            </w:pPr>
            <w:r>
              <w:rPr>
                <w:rFonts w:ascii="Arial" w:cs="Arial" w:eastAsia="Arial" w:hAnsi="Arial"/>
                <w:sz w:val="13"/>
                <w:szCs w:val="13"/>
                <w:color w:val="auto"/>
              </w:rPr>
              <w:t>The procedures we performed to address this key audit matter included:</w:t>
            </w:r>
          </w:p>
        </w:tc>
      </w:tr>
      <w:tr>
        <w:trPr>
          <w:trHeight w:val="756"/>
        </w:trPr>
        <w:tc>
          <w:tcPr>
            <w:tcW w:w="5560" w:type="dxa"/>
            <w:vAlign w:val="bottom"/>
          </w:tcPr>
          <w:p>
            <w:pPr>
              <w:spacing w:after="0"/>
              <w:rPr>
                <w:sz w:val="24"/>
                <w:szCs w:val="24"/>
                <w:color w:val="auto"/>
              </w:rPr>
            </w:pPr>
          </w:p>
        </w:tc>
        <w:tc>
          <w:tcPr>
            <w:tcW w:w="5560" w:type="dxa"/>
            <w:vAlign w:val="bottom"/>
            <w:shd w:val="clear" w:color="auto" w:fill="F1F1F1"/>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tabs>
          <w:tab w:leader="none" w:pos="5640" w:val="left"/>
        </w:tabs>
        <w:rPr>
          <w:sz w:val="20"/>
          <w:szCs w:val="20"/>
          <w:color w:val="auto"/>
        </w:rPr>
      </w:pPr>
      <w:r>
        <w:rPr>
          <w:rFonts w:ascii="Arial" w:cs="Arial" w:eastAsia="Arial" w:hAnsi="Arial"/>
          <w:sz w:val="14"/>
          <w:szCs w:val="14"/>
          <w:b w:val="1"/>
          <w:bCs w:val="1"/>
          <w:color w:val="auto"/>
        </w:rPr>
        <w:t>Key audit matter</w:t>
      </w:r>
      <w:r>
        <w:rPr>
          <w:sz w:val="20"/>
          <w:szCs w:val="20"/>
          <w:color w:val="auto"/>
        </w:rPr>
        <w:tab/>
      </w:r>
      <w:r>
        <w:rPr>
          <w:rFonts w:ascii="Arial" w:cs="Arial" w:eastAsia="Arial" w:hAnsi="Arial"/>
          <w:sz w:val="14"/>
          <w:szCs w:val="14"/>
          <w:b w:val="1"/>
          <w:bCs w:val="1"/>
          <w:color w:val="auto"/>
        </w:rPr>
        <w:t>Our audit work and observations</w:t>
      </w:r>
    </w:p>
    <w:p>
      <w:pPr>
        <w:sectPr>
          <w:pgSz w:w="11900" w:h="16838" w:orient="portrait"/>
          <w:cols w:equalWidth="0" w:num="1">
            <w:col w:w="10980"/>
          </w:cols>
          <w:pgMar w:left="340" w:top="1440" w:right="579" w:bottom="1440" w:gutter="0" w:footer="0" w:header="0"/>
        </w:sectPr>
      </w:pPr>
    </w:p>
    <w:p>
      <w:pPr>
        <w:spacing w:after="0" w:line="303" w:lineRule="exact"/>
        <w:rPr>
          <w:sz w:val="20"/>
          <w:szCs w:val="20"/>
          <w:color w:val="auto"/>
        </w:rPr>
      </w:pPr>
    </w:p>
    <w:p>
      <w:pPr>
        <w:ind w:left="80" w:right="180"/>
        <w:spacing w:after="0" w:line="233" w:lineRule="auto"/>
        <w:rPr>
          <w:sz w:val="20"/>
          <w:szCs w:val="20"/>
          <w:color w:val="auto"/>
        </w:rPr>
      </w:pPr>
      <w:r>
        <w:rPr>
          <w:rFonts w:ascii="Arial" w:cs="Arial" w:eastAsia="Arial" w:hAnsi="Arial"/>
          <w:sz w:val="13"/>
          <w:szCs w:val="13"/>
          <w:color w:val="auto"/>
        </w:rPr>
        <w:t>As described in Notes 2.16 and 16 to the consolidated financial statements, the Company estimates the level of services performed by vendors and the associated cost incurred for the research and development services performed.</w:t>
      </w:r>
    </w:p>
    <w:p>
      <w:pPr>
        <w:spacing w:after="0" w:line="213" w:lineRule="exact"/>
        <w:rPr>
          <w:sz w:val="20"/>
          <w:szCs w:val="20"/>
          <w:color w:val="auto"/>
        </w:rPr>
      </w:pPr>
    </w:p>
    <w:p>
      <w:pPr>
        <w:ind w:left="80" w:right="40"/>
        <w:spacing w:after="0" w:line="226" w:lineRule="auto"/>
        <w:rPr>
          <w:sz w:val="20"/>
          <w:szCs w:val="20"/>
          <w:color w:val="auto"/>
        </w:rPr>
      </w:pPr>
      <w:r>
        <w:rPr>
          <w:rFonts w:ascii="Arial" w:cs="Arial" w:eastAsia="Arial" w:hAnsi="Arial"/>
          <w:sz w:val="13"/>
          <w:szCs w:val="13"/>
          <w:color w:val="auto"/>
        </w:rPr>
        <w:t>The Company has recorded €5.8 million and €2.9 million for clinical accrued liabilities and manufacturing accrued liabilities respectively for the estimated research and development costs incurred but not yet billed or paid as of 31 December 2025. These accruals relate to obligations under contracts with clinical research organizations (‘CROs’), manufacturers, vendors and consultants.</w:t>
      </w:r>
    </w:p>
    <w:p>
      <w:pPr>
        <w:spacing w:after="0" w:line="201" w:lineRule="exact"/>
        <w:rPr>
          <w:sz w:val="20"/>
          <w:szCs w:val="20"/>
          <w:color w:val="auto"/>
        </w:rPr>
      </w:pPr>
    </w:p>
    <w:p>
      <w:pPr>
        <w:ind w:left="80"/>
        <w:spacing w:after="0" w:line="229" w:lineRule="auto"/>
        <w:rPr>
          <w:sz w:val="20"/>
          <w:szCs w:val="20"/>
          <w:color w:val="auto"/>
        </w:rPr>
      </w:pPr>
      <w:r>
        <w:rPr>
          <w:rFonts w:ascii="Arial" w:cs="Arial" w:eastAsia="Arial" w:hAnsi="Arial"/>
          <w:sz w:val="13"/>
          <w:szCs w:val="13"/>
          <w:color w:val="auto"/>
        </w:rPr>
        <w:t>The principal consideration for our determination that performing procedures relating to research and development clinical and manufacturing accruals is a key audit matter is the high degree of auditor effort in performing procedures related to the Company's research and development clinical and manufacturing accruals.</w:t>
      </w:r>
    </w:p>
    <w:p>
      <w:pPr>
        <w:spacing w:after="0" w:line="212" w:lineRule="exact"/>
        <w:rPr>
          <w:sz w:val="20"/>
          <w:szCs w:val="20"/>
          <w:color w:val="auto"/>
        </w:rPr>
      </w:pPr>
    </w:p>
    <w:p>
      <w:pPr>
        <w:ind w:left="80" w:right="140"/>
        <w:spacing w:after="0" w:line="243" w:lineRule="auto"/>
        <w:rPr>
          <w:sz w:val="20"/>
          <w:szCs w:val="20"/>
          <w:color w:val="auto"/>
        </w:rPr>
      </w:pPr>
      <w:r>
        <w:rPr>
          <w:rFonts w:ascii="Arial" w:cs="Arial" w:eastAsia="Arial" w:hAnsi="Arial"/>
          <w:sz w:val="13"/>
          <w:szCs w:val="13"/>
          <w:color w:val="auto"/>
        </w:rPr>
        <w:t>Accordingly, the existence of significant management judgement warrants specific audit focus and attention on this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300" w:firstLine="3"/>
        <w:spacing w:after="0" w:line="236" w:lineRule="auto"/>
        <w:tabs>
          <w:tab w:leader="none" w:pos="167"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3"/>
          <w:szCs w:val="13"/>
          <w:color w:val="auto"/>
        </w:rPr>
        <w:t>Testing the design and operating effectiveness of the controls relating to management’s research and development clinical and manufacturing accruals.</w:t>
      </w:r>
    </w:p>
    <w:p>
      <w:pPr>
        <w:spacing w:after="0" w:line="252" w:lineRule="exact"/>
        <w:rPr>
          <w:rFonts w:ascii="Times New Roman" w:cs="Times New Roman" w:eastAsia="Times New Roman" w:hAnsi="Times New Roman"/>
          <w:sz w:val="16"/>
          <w:szCs w:val="16"/>
          <w:color w:val="auto"/>
        </w:rPr>
      </w:pPr>
    </w:p>
    <w:p>
      <w:pPr>
        <w:ind w:right="320" w:firstLine="3"/>
        <w:spacing w:after="0" w:line="230" w:lineRule="auto"/>
        <w:tabs>
          <w:tab w:leader="none" w:pos="174"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3"/>
          <w:szCs w:val="13"/>
          <w:color w:val="auto"/>
        </w:rPr>
        <w:t>We obtained audit evidence regarding the research and development accruals and performed substantive testing procedures on the balance as at 31 December 2025. These procedures included:</w:t>
      </w:r>
    </w:p>
    <w:p>
      <w:pPr>
        <w:spacing w:after="0" w:line="239" w:lineRule="exact"/>
        <w:rPr>
          <w:rFonts w:ascii="Times New Roman" w:cs="Times New Roman" w:eastAsia="Times New Roman" w:hAnsi="Times New Roman"/>
          <w:sz w:val="16"/>
          <w:szCs w:val="16"/>
          <w:color w:val="auto"/>
        </w:rPr>
      </w:pPr>
    </w:p>
    <w:p>
      <w:pPr>
        <w:ind w:right="20" w:firstLine="3"/>
        <w:spacing w:after="0" w:line="222" w:lineRule="auto"/>
        <w:tabs>
          <w:tab w:leader="none" w:pos="173"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3"/>
          <w:szCs w:val="13"/>
          <w:color w:val="auto"/>
        </w:rPr>
        <w:t>reviewing the Company’s contractual agreements with respective clinical research organizations and any related changes to them; (ii) testing management’s process for developing the research and development clinical and manufacturing accrual estimate; (iii) evaluating the appropriateness of management’s process for developing the estimate; (iv) testing the completeness and accuracy of underlying data used in the process; (v) evaluating the accuracy of the estimated costs incurred for the services which have not been invoiced; and (vi) testing classification of research and development expenses.</w:t>
      </w:r>
    </w:p>
    <w:p>
      <w:pPr>
        <w:spacing w:after="0" w:line="255" w:lineRule="exact"/>
        <w:rPr>
          <w:rFonts w:ascii="Times New Roman" w:cs="Times New Roman" w:eastAsia="Times New Roman" w:hAnsi="Times New Roman"/>
          <w:sz w:val="16"/>
          <w:szCs w:val="16"/>
          <w:color w:val="auto"/>
        </w:rPr>
      </w:pPr>
    </w:p>
    <w:p>
      <w:pPr>
        <w:ind w:firstLine="3"/>
        <w:spacing w:after="0" w:line="270" w:lineRule="auto"/>
        <w:tabs>
          <w:tab w:leader="none" w:pos="175" w:val="left"/>
        </w:tabs>
        <w:numPr>
          <w:ilvl w:val="0"/>
          <w:numId w:val="98"/>
        </w:numPr>
        <w:rPr>
          <w:rFonts w:ascii="Times New Roman" w:cs="Times New Roman" w:eastAsia="Times New Roman" w:hAnsi="Times New Roman"/>
          <w:sz w:val="15"/>
          <w:szCs w:val="15"/>
          <w:color w:val="auto"/>
        </w:rPr>
      </w:pPr>
      <w:r>
        <w:rPr>
          <w:rFonts w:ascii="Arial" w:cs="Arial" w:eastAsia="Arial" w:hAnsi="Arial"/>
          <w:sz w:val="12"/>
          <w:szCs w:val="12"/>
          <w:color w:val="auto"/>
        </w:rPr>
        <w:t>We reviewed the disclosures in note 16 to the consolidated financial statements and deemed the disclosures in line with the requirements of applicable financial reporting framework.</w:t>
      </w:r>
    </w:p>
    <w:p>
      <w:pPr>
        <w:spacing w:after="0" w:line="191" w:lineRule="exact"/>
        <w:rPr>
          <w:sz w:val="20"/>
          <w:szCs w:val="20"/>
          <w:color w:val="auto"/>
        </w:rPr>
      </w:pPr>
    </w:p>
    <w:p>
      <w:pPr>
        <w:ind w:right="480"/>
        <w:spacing w:after="0" w:line="243" w:lineRule="auto"/>
        <w:rPr>
          <w:sz w:val="20"/>
          <w:szCs w:val="20"/>
          <w:color w:val="auto"/>
        </w:rPr>
      </w:pPr>
      <w:r>
        <w:rPr>
          <w:rFonts w:ascii="Arial" w:cs="Arial" w:eastAsia="Arial" w:hAnsi="Arial"/>
          <w:sz w:val="13"/>
          <w:szCs w:val="13"/>
          <w:color w:val="auto"/>
        </w:rPr>
        <w:t>We did not have any material findings based on the audit work performed and the audit evidence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3827145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00"/>
            <w:col w:w="5340"/>
          </w:cols>
          <w:pgMar w:left="340" w:top="1440" w:right="579" w:bottom="144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780"/>
        <w:spacing w:after="0" w:line="270" w:lineRule="auto"/>
        <w:rPr>
          <w:sz w:val="20"/>
          <w:szCs w:val="20"/>
          <w:color w:val="auto"/>
        </w:rPr>
      </w:pPr>
      <w:r>
        <w:rPr>
          <w:rFonts w:ascii="Arial" w:cs="Arial" w:eastAsia="Arial" w:hAnsi="Arial"/>
          <w:sz w:val="20"/>
          <w:szCs w:val="20"/>
          <w:b w:val="1"/>
          <w:bCs w:val="1"/>
          <w:color w:val="auto"/>
        </w:rPr>
        <w:t>Compliance with the requirements of the Regulatory Technical Standard of SBR, including the XBRL mark up, not audited</w:t>
      </w:r>
    </w:p>
    <w:p>
      <w:pPr>
        <w:spacing w:after="0" w:line="127" w:lineRule="exact"/>
        <w:rPr>
          <w:sz w:val="20"/>
          <w:szCs w:val="20"/>
          <w:color w:val="auto"/>
        </w:rPr>
      </w:pPr>
    </w:p>
    <w:p>
      <w:pPr>
        <w:ind w:right="160"/>
        <w:spacing w:after="0" w:line="249" w:lineRule="auto"/>
        <w:rPr>
          <w:sz w:val="20"/>
          <w:szCs w:val="20"/>
          <w:color w:val="auto"/>
        </w:rPr>
      </w:pPr>
      <w:r>
        <w:rPr>
          <w:rFonts w:ascii="Georgia" w:cs="Georgia" w:eastAsia="Georgia" w:hAnsi="Georgia"/>
          <w:sz w:val="16"/>
          <w:szCs w:val="16"/>
          <w:color w:val="auto"/>
        </w:rPr>
        <w:t>The audit includes the verification that the prepared financial statements comply with the legal provisions in IFRS Accounting Standards as adopted by the EU and with Part 9 of Book 2 of the Dutch Civil Code. Our audit opinion is issued on the prepared financial statements and will be included in the digitally filed annual report. The compliance with all requirements of the Regulatory Technical Standard of the SBR domain Trade Register, including the applied eXtensible Business Reporting Language (XBRL) mark ups, was not subject to our audit.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the other information included in the annual report</w:t>
      </w:r>
    </w:p>
    <w:p>
      <w:pPr>
        <w:spacing w:after="0" w:line="234"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annual report contains other information. This includes all information in the annual report in addition to the financial statements and our auditor’s report thereon.</w:t>
      </w:r>
    </w:p>
    <w:p>
      <w:pPr>
        <w:spacing w:after="0" w:line="229" w:lineRule="exact"/>
        <w:rPr>
          <w:sz w:val="20"/>
          <w:szCs w:val="20"/>
          <w:color w:val="auto"/>
        </w:rPr>
      </w:pPr>
    </w:p>
    <w:p>
      <w:pPr>
        <w:spacing w:after="0"/>
        <w:rPr>
          <w:sz w:val="20"/>
          <w:szCs w:val="20"/>
          <w:color w:val="auto"/>
        </w:rPr>
      </w:pPr>
      <w:r>
        <w:rPr>
          <w:rFonts w:ascii="Georgia" w:cs="Georgia" w:eastAsia="Georgia" w:hAnsi="Georgia"/>
          <w:sz w:val="16"/>
          <w:szCs w:val="16"/>
          <w:color w:val="auto"/>
        </w:rPr>
        <w:t>Based on the procedures performed as set out below, we conclude that the other information:</w:t>
      </w:r>
    </w:p>
    <w:p>
      <w:pPr>
        <w:spacing w:after="0" w:line="216" w:lineRule="exact"/>
        <w:rPr>
          <w:sz w:val="20"/>
          <w:szCs w:val="20"/>
          <w:color w:val="auto"/>
        </w:rPr>
      </w:pPr>
    </w:p>
    <w:p>
      <w:pPr>
        <w:ind w:left="580" w:hanging="562"/>
        <w:spacing w:after="0"/>
        <w:tabs>
          <w:tab w:leader="none" w:pos="580" w:val="left"/>
        </w:tabs>
        <w:numPr>
          <w:ilvl w:val="0"/>
          <w:numId w:val="99"/>
        </w:numPr>
        <w:rPr>
          <w:rFonts w:ascii="Times New Roman" w:cs="Times New Roman" w:eastAsia="Times New Roman" w:hAnsi="Times New Roman"/>
          <w:sz w:val="20"/>
          <w:szCs w:val="20"/>
          <w:color w:val="auto"/>
        </w:rPr>
      </w:pPr>
      <w:r>
        <w:rPr>
          <w:rFonts w:ascii="Georgia" w:cs="Georgia" w:eastAsia="Georgia" w:hAnsi="Georgia"/>
          <w:sz w:val="16"/>
          <w:szCs w:val="16"/>
          <w:color w:val="auto"/>
        </w:rPr>
        <w:t>is consistent with the financial statements and does not contain material misstatements; and</w:t>
      </w:r>
    </w:p>
    <w:p>
      <w:pPr>
        <w:spacing w:after="0" w:line="262" w:lineRule="exact"/>
        <w:rPr>
          <w:rFonts w:ascii="Times New Roman" w:cs="Times New Roman" w:eastAsia="Times New Roman" w:hAnsi="Times New Roman"/>
          <w:sz w:val="20"/>
          <w:szCs w:val="20"/>
          <w:color w:val="auto"/>
        </w:rPr>
      </w:pPr>
    </w:p>
    <w:p>
      <w:pPr>
        <w:ind w:left="560" w:right="700" w:hanging="542"/>
        <w:spacing w:after="0" w:line="216" w:lineRule="auto"/>
        <w:tabs>
          <w:tab w:leader="none" w:pos="560" w:val="left"/>
        </w:tabs>
        <w:numPr>
          <w:ilvl w:val="0"/>
          <w:numId w:val="99"/>
        </w:numPr>
        <w:rPr>
          <w:rFonts w:ascii="Times New Roman" w:cs="Times New Roman" w:eastAsia="Times New Roman" w:hAnsi="Times New Roman"/>
          <w:sz w:val="20"/>
          <w:szCs w:val="20"/>
          <w:color w:val="auto"/>
        </w:rPr>
      </w:pPr>
      <w:r>
        <w:rPr>
          <w:rFonts w:ascii="Georgia" w:cs="Georgia" w:eastAsia="Georgia" w:hAnsi="Georgia"/>
          <w:sz w:val="16"/>
          <w:szCs w:val="16"/>
          <w:color w:val="auto"/>
        </w:rPr>
        <w:t>contains all the information regarding the report of board of directors and the other information that is required by Part 9 of Book 2 of the Dutch Civil Code.</w:t>
      </w:r>
    </w:p>
    <w:p>
      <w:pPr>
        <w:spacing w:after="0" w:line="237" w:lineRule="exact"/>
        <w:rPr>
          <w:sz w:val="20"/>
          <w:szCs w:val="20"/>
          <w:color w:val="auto"/>
        </w:rPr>
      </w:pPr>
    </w:p>
    <w:p>
      <w:pPr>
        <w:ind w:right="360"/>
        <w:spacing w:after="0" w:line="250" w:lineRule="auto"/>
        <w:rPr>
          <w:sz w:val="20"/>
          <w:szCs w:val="20"/>
          <w:color w:val="auto"/>
        </w:rPr>
      </w:pPr>
      <w:r>
        <w:rPr>
          <w:rFonts w:ascii="Georgia" w:cs="Georgia" w:eastAsia="Georgia" w:hAnsi="Georgia"/>
          <w:sz w:val="16"/>
          <w:szCs w:val="16"/>
          <w:color w:val="auto"/>
        </w:rPr>
        <w:t>We have read the other information. Based on our knowledge and the understanding obtained in our audit of the financial statements or otherwise, we have considered whether the other information contains material misstatements.</w:t>
      </w:r>
    </w:p>
    <w:p>
      <w:pPr>
        <w:spacing w:after="0" w:line="229" w:lineRule="exact"/>
        <w:rPr>
          <w:sz w:val="20"/>
          <w:szCs w:val="20"/>
          <w:color w:val="auto"/>
        </w:rPr>
      </w:pPr>
    </w:p>
    <w:p>
      <w:pPr>
        <w:spacing w:after="0" w:line="250" w:lineRule="auto"/>
        <w:rPr>
          <w:sz w:val="20"/>
          <w:szCs w:val="20"/>
          <w:color w:val="auto"/>
        </w:rPr>
      </w:pPr>
      <w:r>
        <w:rPr>
          <w:rFonts w:ascii="Georgia" w:cs="Georgia" w:eastAsia="Georgia" w:hAnsi="Georgia"/>
          <w:sz w:val="16"/>
          <w:szCs w:val="16"/>
          <w:color w:val="auto"/>
        </w:rPr>
        <w:t>By performing our procedures, we comply with the requirements of Part 9 of Book 2 of the Dutch Civil Code and the Dutch Standard 720. The scope of such procedures was substantially less than the scope of those procedures performed in our audit of the financial statements.</w:t>
      </w:r>
    </w:p>
    <w:p>
      <w:pPr>
        <w:spacing w:after="0" w:line="229" w:lineRule="exact"/>
        <w:rPr>
          <w:sz w:val="20"/>
          <w:szCs w:val="20"/>
          <w:color w:val="auto"/>
        </w:rPr>
      </w:pPr>
    </w:p>
    <w:p>
      <w:pPr>
        <w:ind w:right="40"/>
        <w:spacing w:after="0" w:line="250" w:lineRule="auto"/>
        <w:rPr>
          <w:sz w:val="20"/>
          <w:szCs w:val="20"/>
          <w:color w:val="auto"/>
        </w:rPr>
      </w:pPr>
      <w:r>
        <w:rPr>
          <w:rFonts w:ascii="Georgia" w:cs="Georgia" w:eastAsia="Georgia" w:hAnsi="Georgia"/>
          <w:sz w:val="16"/>
          <w:szCs w:val="16"/>
          <w:color w:val="auto"/>
        </w:rPr>
        <w:t>Management is responsible for the preparation of the other information, including the report of board of directors and the other information in accordance with Part 9 of Book 2 of the Dutch Civil Code.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other legal and regulatory requirements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appointment</w:t>
      </w:r>
    </w:p>
    <w:p>
      <w:pPr>
        <w:spacing w:after="0" w:line="226" w:lineRule="exact"/>
        <w:rPr>
          <w:sz w:val="20"/>
          <w:szCs w:val="20"/>
          <w:color w:val="auto"/>
        </w:rPr>
      </w:pPr>
    </w:p>
    <w:p>
      <w:pPr>
        <w:spacing w:after="0" w:line="250" w:lineRule="auto"/>
        <w:rPr>
          <w:sz w:val="20"/>
          <w:szCs w:val="20"/>
          <w:color w:val="auto"/>
        </w:rPr>
      </w:pPr>
      <w:r>
        <w:rPr>
          <w:rFonts w:ascii="Georgia" w:cs="Georgia" w:eastAsia="Georgia" w:hAnsi="Georgia"/>
          <w:sz w:val="16"/>
          <w:szCs w:val="16"/>
          <w:color w:val="auto"/>
        </w:rPr>
        <w:t>We were appointed as auditors of Pharvaris N.V. This followed the passing of a resolution by the shareholders at the annual general meeting held on 2 June 2020. Our appointment has been renewed annually by shareholders and now represents a total period of uninterrupted engagement of 6 years.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 for the financial statements and the audit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Responsibilities of management</w:t>
      </w:r>
    </w:p>
    <w:p>
      <w:pPr>
        <w:spacing w:after="0" w:line="226" w:lineRule="exact"/>
        <w:rPr>
          <w:sz w:val="20"/>
          <w:szCs w:val="20"/>
          <w:color w:val="auto"/>
        </w:rPr>
      </w:pPr>
    </w:p>
    <w:p>
      <w:pPr>
        <w:spacing w:after="0"/>
        <w:rPr>
          <w:sz w:val="20"/>
          <w:szCs w:val="20"/>
          <w:color w:val="auto"/>
        </w:rPr>
      </w:pPr>
      <w:r>
        <w:rPr>
          <w:rFonts w:ascii="Georgia" w:cs="Georgia" w:eastAsia="Georgia" w:hAnsi="Georgia"/>
          <w:sz w:val="16"/>
          <w:szCs w:val="16"/>
          <w:color w:val="auto"/>
        </w:rPr>
        <w:t>Management is responsible for:</w:t>
      </w:r>
    </w:p>
    <w:p>
      <w:pPr>
        <w:spacing w:after="0" w:line="250" w:lineRule="exact"/>
        <w:rPr>
          <w:sz w:val="20"/>
          <w:szCs w:val="20"/>
          <w:color w:val="auto"/>
        </w:rPr>
      </w:pPr>
    </w:p>
    <w:p>
      <w:pPr>
        <w:ind w:left="560" w:right="320" w:hanging="542"/>
        <w:spacing w:after="0" w:line="216" w:lineRule="auto"/>
        <w:tabs>
          <w:tab w:leader="none" w:pos="560" w:val="left"/>
        </w:tabs>
        <w:numPr>
          <w:ilvl w:val="0"/>
          <w:numId w:val="100"/>
        </w:numPr>
        <w:rPr>
          <w:rFonts w:ascii="Times New Roman" w:cs="Times New Roman" w:eastAsia="Times New Roman" w:hAnsi="Times New Roman"/>
          <w:sz w:val="20"/>
          <w:szCs w:val="20"/>
          <w:color w:val="auto"/>
        </w:rPr>
      </w:pPr>
      <w:r>
        <w:rPr>
          <w:rFonts w:ascii="Georgia" w:cs="Georgia" w:eastAsia="Georgia" w:hAnsi="Georgia"/>
          <w:sz w:val="16"/>
          <w:szCs w:val="16"/>
          <w:color w:val="auto"/>
        </w:rPr>
        <w:t>the preparation and fair presentation of the financial statements in accordance with IFRS Accounting Standards as adopted by the EU and Part 9 of Book 2 of the Dutch Civil Code; and for</w:t>
      </w:r>
    </w:p>
    <w:p>
      <w:pPr>
        <w:spacing w:after="0" w:line="169" w:lineRule="exact"/>
        <w:rPr>
          <w:rFonts w:ascii="Times New Roman" w:cs="Times New Roman" w:eastAsia="Times New Roman" w:hAnsi="Times New Roman"/>
          <w:sz w:val="20"/>
          <w:szCs w:val="20"/>
          <w:color w:val="auto"/>
        </w:rPr>
      </w:pPr>
    </w:p>
    <w:p>
      <w:pPr>
        <w:ind w:left="560" w:right="1080" w:hanging="542"/>
        <w:spacing w:after="0" w:line="216" w:lineRule="auto"/>
        <w:tabs>
          <w:tab w:leader="none" w:pos="560" w:val="left"/>
        </w:tabs>
        <w:numPr>
          <w:ilvl w:val="0"/>
          <w:numId w:val="100"/>
        </w:numPr>
        <w:rPr>
          <w:rFonts w:ascii="Times New Roman" w:cs="Times New Roman" w:eastAsia="Times New Roman" w:hAnsi="Times New Roman"/>
          <w:sz w:val="20"/>
          <w:szCs w:val="20"/>
          <w:color w:val="auto"/>
        </w:rPr>
      </w:pPr>
      <w:r>
        <w:rPr>
          <w:rFonts w:ascii="Georgia" w:cs="Georgia" w:eastAsia="Georgia" w:hAnsi="Georgia"/>
          <w:sz w:val="16"/>
          <w:szCs w:val="16"/>
          <w:color w:val="auto"/>
        </w:rPr>
        <w:t>such internal control as management determines is necessary to enable the preparation of the financial statements that are free from material misstatement, whether due to fraud or error.</w:t>
      </w:r>
    </w:p>
    <w:p>
      <w:pPr>
        <w:spacing w:after="0" w:line="223" w:lineRule="exact"/>
        <w:rPr>
          <w:sz w:val="20"/>
          <w:szCs w:val="20"/>
          <w:color w:val="auto"/>
        </w:rPr>
      </w:pPr>
    </w:p>
    <w:p>
      <w:pPr>
        <w:ind w:right="80"/>
        <w:spacing w:after="0" w:line="249" w:lineRule="auto"/>
        <w:rPr>
          <w:sz w:val="20"/>
          <w:szCs w:val="20"/>
          <w:color w:val="auto"/>
        </w:rPr>
      </w:pPr>
      <w:r>
        <w:rPr>
          <w:rFonts w:ascii="Georgia" w:cs="Georgia" w:eastAsia="Georgia" w:hAnsi="Georgia"/>
          <w:sz w:val="16"/>
          <w:szCs w:val="16"/>
          <w:color w:val="auto"/>
        </w:rPr>
        <w:t>In preparing the financial statements, management is responsible for assessing the Company’s ability to continue as a going concern. Based on the financial reporting frameworks mentioned, management should prepare the financial statements using the going-concern basis of accounting unless management either intends to liquidate the Company or to cease operations or has no realistic alternative but to do so. Management should disclose in the financial statements any event and circumstances that may cast significant doubt on the Company’s ability to continue as a going concern.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responsibilities for the audit of the financial statements</w:t>
      </w:r>
    </w:p>
    <w:p>
      <w:pPr>
        <w:spacing w:after="0" w:line="212"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auto"/>
        </w:rPr>
        <w:t>Our responsibility is to plan and perform an audit engagement in a manner that allows us to obtain sufficient and appropriate audit evidence to provide a basis for our opinion. Our objectives are to obtain reasonable assurance about whether the financial statements as a whole are free from material misstatement, whether due to fraud or error and to issue an auditor’s report that includes our opinion. Reasonable assurance is a high but not absolute level of assurance and is not a guarantee that an audit conducted in accordance with the Dutch Standards on Auditing will always detect a material misstatement when it exists. Misstatements may arise due to fraud or error. They are considered material if, individually or in the aggregate, they could reasonably be expected to influence the economic decisions of users taken on the basis of the financial statements.</w:t>
      </w:r>
    </w:p>
    <w:p>
      <w:pPr>
        <w:spacing w:after="0" w:line="232" w:lineRule="exact"/>
        <w:rPr>
          <w:sz w:val="20"/>
          <w:szCs w:val="20"/>
          <w:color w:val="auto"/>
        </w:rPr>
      </w:pPr>
    </w:p>
    <w:p>
      <w:pPr>
        <w:spacing w:after="0"/>
        <w:rPr>
          <w:sz w:val="20"/>
          <w:szCs w:val="20"/>
          <w:color w:val="auto"/>
        </w:rPr>
      </w:pPr>
      <w:r>
        <w:rPr>
          <w:rFonts w:ascii="Georgia" w:cs="Georgia" w:eastAsia="Georgia" w:hAnsi="Georgia"/>
          <w:sz w:val="16"/>
          <w:szCs w:val="16"/>
          <w:color w:val="auto"/>
        </w:rPr>
        <w:t>Materiality affects the nature, timing and extent of our audit procedures and the evaluation of the effect of identified misstatements on our opinion.</w:t>
      </w:r>
    </w:p>
    <w:p>
      <w:pPr>
        <w:spacing w:after="0" w:line="250" w:lineRule="exact"/>
        <w:rPr>
          <w:sz w:val="20"/>
          <w:szCs w:val="20"/>
          <w:color w:val="auto"/>
        </w:rPr>
      </w:pPr>
    </w:p>
    <w:p>
      <w:pPr>
        <w:spacing w:after="0"/>
        <w:rPr>
          <w:sz w:val="20"/>
          <w:szCs w:val="20"/>
          <w:color w:val="auto"/>
        </w:rPr>
      </w:pPr>
      <w:r>
        <w:rPr>
          <w:rFonts w:ascii="Georgia" w:cs="Georgia" w:eastAsia="Georgia" w:hAnsi="Georgia"/>
          <w:sz w:val="16"/>
          <w:szCs w:val="16"/>
          <w:color w:val="auto"/>
        </w:rPr>
        <w:t>We have exercised professional judgement and have maintained professional scepticism throughout the audit in accordance with Dutch Standards on</w:t>
      </w:r>
    </w:p>
    <w:p>
      <w:pPr>
        <w:spacing w:after="0" w:line="7" w:lineRule="exact"/>
        <w:rPr>
          <w:sz w:val="20"/>
          <w:szCs w:val="20"/>
          <w:color w:val="auto"/>
        </w:rPr>
      </w:pPr>
    </w:p>
    <w:p>
      <w:pPr>
        <w:spacing w:after="0"/>
        <w:rPr>
          <w:sz w:val="20"/>
          <w:szCs w:val="20"/>
          <w:color w:val="auto"/>
        </w:rPr>
      </w:pPr>
      <w:r>
        <w:rPr>
          <w:rFonts w:ascii="Georgia" w:cs="Georgia" w:eastAsia="Georgia" w:hAnsi="Georgia"/>
          <w:sz w:val="16"/>
          <w:szCs w:val="16"/>
          <w:color w:val="auto"/>
        </w:rPr>
        <w:t>Auditing, ethical requirements and independence requirements. Our audit consisted, among other things of the following:</w:t>
      </w:r>
    </w:p>
    <w:p>
      <w:pPr>
        <w:spacing w:after="0" w:line="169" w:lineRule="exact"/>
        <w:rPr>
          <w:sz w:val="20"/>
          <w:szCs w:val="20"/>
          <w:color w:val="auto"/>
        </w:rPr>
      </w:pPr>
    </w:p>
    <w:p>
      <w:pPr>
        <w:ind w:left="560" w:right="120" w:hanging="542"/>
        <w:spacing w:after="0" w:line="232" w:lineRule="auto"/>
        <w:tabs>
          <w:tab w:leader="none" w:pos="560" w:val="left"/>
        </w:tabs>
        <w:numPr>
          <w:ilvl w:val="0"/>
          <w:numId w:val="101"/>
        </w:numPr>
        <w:rPr>
          <w:rFonts w:ascii="Times New Roman" w:cs="Times New Roman" w:eastAsia="Times New Roman" w:hAnsi="Times New Roman"/>
          <w:sz w:val="20"/>
          <w:szCs w:val="20"/>
          <w:color w:val="auto"/>
        </w:rPr>
      </w:pPr>
      <w:r>
        <w:rPr>
          <w:rFonts w:ascii="Georgia" w:cs="Georgia" w:eastAsia="Georgia" w:hAnsi="Georgia"/>
          <w:sz w:val="16"/>
          <w:szCs w:val="16"/>
          <w:color w:val="auto"/>
        </w:rPr>
        <w:t>Identifying and assessing the risks of material misstatement of the financial statements, whether due to fraud or error, designing and performing audit procedures responsive to those risks, and obtaining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intentional override of internal control.</w:t>
      </w:r>
    </w:p>
    <w:p>
      <w:pPr>
        <w:spacing w:after="0" w:line="168" w:lineRule="exact"/>
        <w:rPr>
          <w:rFonts w:ascii="Times New Roman" w:cs="Times New Roman" w:eastAsia="Times New Roman" w:hAnsi="Times New Roman"/>
          <w:sz w:val="20"/>
          <w:szCs w:val="20"/>
          <w:color w:val="auto"/>
        </w:rPr>
      </w:pPr>
    </w:p>
    <w:p>
      <w:pPr>
        <w:ind w:left="560" w:right="1060" w:hanging="542"/>
        <w:spacing w:after="0" w:line="216" w:lineRule="auto"/>
        <w:tabs>
          <w:tab w:leader="none" w:pos="560" w:val="left"/>
        </w:tabs>
        <w:numPr>
          <w:ilvl w:val="0"/>
          <w:numId w:val="101"/>
        </w:numPr>
        <w:rPr>
          <w:rFonts w:ascii="Times New Roman" w:cs="Times New Roman" w:eastAsia="Times New Roman" w:hAnsi="Times New Roman"/>
          <w:sz w:val="20"/>
          <w:szCs w:val="20"/>
          <w:color w:val="auto"/>
        </w:rPr>
      </w:pPr>
      <w:r>
        <w:rPr>
          <w:rFonts w:ascii="Georgia" w:cs="Georgia" w:eastAsia="Georgia" w:hAnsi="Georgia"/>
          <w:sz w:val="16"/>
          <w:szCs w:val="16"/>
          <w:color w:val="auto"/>
        </w:rPr>
        <w:t>Obtaining an understanding of internal control relevant to the audit in order to design audit procedures that are appropriate in the circumstances, but not for the purpose of expressing an opinion on the effectiveness of the Company’s internal control.</w:t>
      </w:r>
    </w:p>
    <w:p>
      <w:pPr>
        <w:spacing w:after="0" w:line="169" w:lineRule="exact"/>
        <w:rPr>
          <w:rFonts w:ascii="Times New Roman" w:cs="Times New Roman" w:eastAsia="Times New Roman" w:hAnsi="Times New Roman"/>
          <w:sz w:val="20"/>
          <w:szCs w:val="20"/>
          <w:color w:val="auto"/>
        </w:rPr>
      </w:pPr>
    </w:p>
    <w:p>
      <w:pPr>
        <w:ind w:left="560" w:right="400" w:hanging="542"/>
        <w:spacing w:after="0" w:line="216" w:lineRule="auto"/>
        <w:tabs>
          <w:tab w:leader="none" w:pos="560" w:val="left"/>
        </w:tabs>
        <w:numPr>
          <w:ilvl w:val="0"/>
          <w:numId w:val="101"/>
        </w:numPr>
        <w:rPr>
          <w:rFonts w:ascii="Times New Roman" w:cs="Times New Roman" w:eastAsia="Times New Roman" w:hAnsi="Times New Roman"/>
          <w:sz w:val="20"/>
          <w:szCs w:val="20"/>
          <w:color w:val="auto"/>
        </w:rPr>
      </w:pPr>
      <w:r>
        <w:rPr>
          <w:rFonts w:ascii="Georgia" w:cs="Georgia" w:eastAsia="Georgia" w:hAnsi="Georgia"/>
          <w:sz w:val="16"/>
          <w:szCs w:val="16"/>
          <w:color w:val="auto"/>
        </w:rPr>
        <w:t>Evaluating the appropriateness of accounting policies used and the reasonableness of accounting estimates and related disclosures made by management.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668020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hanging="562"/>
        <w:spacing w:after="0" w:line="237" w:lineRule="auto"/>
        <w:tabs>
          <w:tab w:leader="none" w:pos="580" w:val="left"/>
        </w:tabs>
        <w:numPr>
          <w:ilvl w:val="0"/>
          <w:numId w:val="102"/>
        </w:numPr>
        <w:rPr>
          <w:rFonts w:ascii="Times New Roman" w:cs="Times New Roman" w:eastAsia="Times New Roman" w:hAnsi="Times New Roman"/>
          <w:sz w:val="20"/>
          <w:szCs w:val="20"/>
          <w:color w:val="auto"/>
        </w:rPr>
      </w:pPr>
      <w:r>
        <w:rPr>
          <w:rFonts w:ascii="Georgia" w:cs="Georgia" w:eastAsia="Georgia" w:hAnsi="Georgia"/>
          <w:sz w:val="16"/>
          <w:szCs w:val="16"/>
          <w:color w:val="auto"/>
        </w:rPr>
        <w:t>Concluding on the appropriateness of management’s use of the going-concern basis of accounting, and based on the audit evidence obtained, concluding whether a material uncertainty exists related to events and/or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and are made in the context of our opinion on the financial statements as a whole. However, future events or conditions may cause the Company to cease to continue as a going concern.</w:t>
      </w:r>
    </w:p>
    <w:p>
      <w:pPr>
        <w:spacing w:after="0" w:line="171" w:lineRule="exact"/>
        <w:rPr>
          <w:rFonts w:ascii="Times New Roman" w:cs="Times New Roman" w:eastAsia="Times New Roman" w:hAnsi="Times New Roman"/>
          <w:sz w:val="20"/>
          <w:szCs w:val="20"/>
          <w:color w:val="auto"/>
        </w:rPr>
      </w:pPr>
    </w:p>
    <w:p>
      <w:pPr>
        <w:ind w:left="580" w:right="500" w:hanging="562"/>
        <w:spacing w:after="0" w:line="216" w:lineRule="auto"/>
        <w:tabs>
          <w:tab w:leader="none" w:pos="580" w:val="left"/>
        </w:tabs>
        <w:numPr>
          <w:ilvl w:val="0"/>
          <w:numId w:val="102"/>
        </w:numPr>
        <w:rPr>
          <w:rFonts w:ascii="Times New Roman" w:cs="Times New Roman" w:eastAsia="Times New Roman" w:hAnsi="Times New Roman"/>
          <w:sz w:val="20"/>
          <w:szCs w:val="20"/>
          <w:color w:val="auto"/>
        </w:rPr>
      </w:pPr>
      <w:r>
        <w:rPr>
          <w:rFonts w:ascii="Georgia" w:cs="Georgia" w:eastAsia="Georgia" w:hAnsi="Georgia"/>
          <w:sz w:val="16"/>
          <w:szCs w:val="16"/>
          <w:color w:val="auto"/>
        </w:rPr>
        <w:t>Evaluating the overall presentation, structure and content of the financial statements, including the disclosures, and evaluating whether the financial statements represent the underlying transactions and events in a manner that achieves fair presentation.</w:t>
      </w:r>
    </w:p>
    <w:p>
      <w:pPr>
        <w:spacing w:after="0" w:line="237" w:lineRule="exact"/>
        <w:rPr>
          <w:sz w:val="20"/>
          <w:szCs w:val="20"/>
          <w:color w:val="auto"/>
        </w:rPr>
      </w:pPr>
    </w:p>
    <w:p>
      <w:pPr>
        <w:ind w:right="100"/>
        <w:spacing w:after="0" w:line="249" w:lineRule="auto"/>
        <w:rPr>
          <w:sz w:val="20"/>
          <w:szCs w:val="20"/>
          <w:color w:val="auto"/>
        </w:rPr>
      </w:pPr>
      <w:r>
        <w:rPr>
          <w:rFonts w:ascii="Georgia" w:cs="Georgia" w:eastAsia="Georgia" w:hAnsi="Georgia"/>
          <w:sz w:val="16"/>
          <w:szCs w:val="16"/>
          <w:color w:val="auto"/>
        </w:rPr>
        <w:t>We are responsible for planning and performing the group audit to obtain sufficient appropriate audit evidence regarding the financial information of the entities or business units within the group as a basis for forming an opinion on the financial statements. We are also responsible for the direction, supervision and review of the audit work performed for purposes of the group audit. We remain solely responsible for our audit opinion.</w:t>
      </w:r>
    </w:p>
    <w:p>
      <w:pPr>
        <w:spacing w:after="0" w:line="231" w:lineRule="exact"/>
        <w:rPr>
          <w:sz w:val="20"/>
          <w:szCs w:val="20"/>
          <w:color w:val="auto"/>
        </w:rPr>
      </w:pPr>
    </w:p>
    <w:p>
      <w:pPr>
        <w:ind w:right="320"/>
        <w:spacing w:after="0" w:line="250" w:lineRule="auto"/>
        <w:rPr>
          <w:sz w:val="20"/>
          <w:szCs w:val="20"/>
          <w:color w:val="auto"/>
        </w:rPr>
      </w:pPr>
      <w:r>
        <w:rPr>
          <w:rFonts w:ascii="Georgia" w:cs="Georgia" w:eastAsia="Georgia" w:hAnsi="Georgia"/>
          <w:sz w:val="16"/>
          <w:szCs w:val="16"/>
          <w:color w:val="auto"/>
        </w:rPr>
        <w:t>We communicate with the board of directors regarding, among other matters, the planned scope and timing of the audit and significant audit findings, including any significant deficiencies in internal control that we identify during our audit.</w:t>
      </w:r>
    </w:p>
    <w:p>
      <w:pPr>
        <w:spacing w:after="0" w:line="229" w:lineRule="exact"/>
        <w:rPr>
          <w:sz w:val="20"/>
          <w:szCs w:val="20"/>
          <w:color w:val="auto"/>
        </w:rPr>
      </w:pPr>
    </w:p>
    <w:p>
      <w:pPr>
        <w:ind w:right="240"/>
        <w:spacing w:after="0" w:line="249" w:lineRule="auto"/>
        <w:rPr>
          <w:sz w:val="20"/>
          <w:szCs w:val="20"/>
          <w:color w:val="auto"/>
        </w:rPr>
      </w:pPr>
      <w:r>
        <w:rPr>
          <w:rFonts w:ascii="Georgia" w:cs="Georgia" w:eastAsia="Georgia" w:hAnsi="Georgia"/>
          <w:sz w:val="16"/>
          <w:szCs w:val="16"/>
          <w:color w:val="auto"/>
        </w:rPr>
        <w:t>We provide the board of directors with a statement that we have complied with relevant ethical requirements regarding independence, and to communicate with them all relationships and other matters that may reasonably be thought to bear on our independence, and where applicable, related actions taken to eliminate threats or safeguards applied.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auto"/>
        </w:rPr>
        <w:t>From the matters communicated with the the board of directors,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45" w:lineRule="exact"/>
        <w:rPr>
          <w:sz w:val="20"/>
          <w:szCs w:val="20"/>
          <w:color w:val="auto"/>
        </w:rPr>
      </w:pPr>
    </w:p>
    <w:p>
      <w:pPr>
        <w:spacing w:after="0"/>
        <w:rPr>
          <w:sz w:val="20"/>
          <w:szCs w:val="20"/>
          <w:color w:val="auto"/>
        </w:rPr>
      </w:pPr>
      <w:r>
        <w:rPr>
          <w:rFonts w:ascii="Georgia" w:cs="Georgia" w:eastAsia="Georgia" w:hAnsi="Georgia"/>
          <w:sz w:val="16"/>
          <w:szCs w:val="16"/>
          <w:color w:val="auto"/>
        </w:rPr>
        <w:t>Amsterdam, 29 May 2026 PricewaterhouseCoopers Accountants N.V.</w:t>
      </w:r>
    </w:p>
    <w:p>
      <w:pPr>
        <w:spacing w:after="0" w:line="237" w:lineRule="exact"/>
        <w:rPr>
          <w:sz w:val="20"/>
          <w:szCs w:val="20"/>
          <w:color w:val="auto"/>
        </w:rPr>
      </w:pPr>
    </w:p>
    <w:p>
      <w:pPr>
        <w:spacing w:after="0"/>
        <w:rPr>
          <w:sz w:val="20"/>
          <w:szCs w:val="20"/>
          <w:color w:val="auto"/>
        </w:rPr>
      </w:pPr>
      <w:r>
        <w:rPr>
          <w:rFonts w:ascii="Georgia" w:cs="Georgia" w:eastAsia="Georgia" w:hAnsi="Georgia"/>
          <w:sz w:val="16"/>
          <w:szCs w:val="16"/>
          <w:color w:val="auto"/>
        </w:rPr>
        <w:t>Original has been signed by:</w:t>
      </w:r>
    </w:p>
    <w:p>
      <w:pPr>
        <w:spacing w:after="0" w:line="129" w:lineRule="exact"/>
        <w:rPr>
          <w:sz w:val="20"/>
          <w:szCs w:val="20"/>
          <w:color w:val="auto"/>
        </w:rPr>
      </w:pPr>
    </w:p>
    <w:p>
      <w:pPr>
        <w:spacing w:after="0"/>
        <w:rPr>
          <w:sz w:val="20"/>
          <w:szCs w:val="20"/>
          <w:color w:val="auto"/>
        </w:rPr>
      </w:pPr>
      <w:r>
        <w:rPr>
          <w:rFonts w:ascii="Georgia" w:cs="Georgia" w:eastAsia="Georgia" w:hAnsi="Georgia"/>
          <w:sz w:val="16"/>
          <w:szCs w:val="16"/>
          <w:color w:val="auto"/>
        </w:rPr>
        <w:t>W. Voorthuijsen RA</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668020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1."/>
      <w:numFmt w:val="decimal"/>
      <w:start w:val="3"/>
    </w:lvl>
  </w:abstractNum>
  <w:abstractNum w:abstractNumId="2">
    <w:nsid w:val="12E685FB"/>
    <w:multiLevelType w:val="hybridMultilevel"/>
    <w:lvl w:ilvl="0">
      <w:lvlJc w:val="left"/>
      <w:lvlText w:val="%1."/>
      <w:numFmt w:val="decimal"/>
      <w:start w:val="4"/>
    </w:lvl>
  </w:abstractNum>
  <w:abstractNum w:abstractNumId="3">
    <w:nsid w:val="70C6A529"/>
    <w:multiLevelType w:val="hybridMultilevel"/>
    <w:lvl w:ilvl="0">
      <w:lvlJc w:val="left"/>
      <w:lvlText w:val="%1."/>
      <w:numFmt w:val="decimal"/>
      <w:start w:val="5"/>
    </w:lvl>
  </w:abstractNum>
  <w:abstractNum w:abstractNumId="4">
    <w:nsid w:val="520EEDD1"/>
    <w:multiLevelType w:val="hybridMultilevel"/>
    <w:lvl w:ilvl="0">
      <w:lvlJc w:val="left"/>
      <w:lvlText w:val="%1."/>
      <w:numFmt w:val="decimal"/>
      <w:start w:val="6"/>
    </w:lvl>
  </w:abstractNum>
  <w:abstractNum w:abstractNumId="5">
    <w:nsid w:val="374A3FE6"/>
    <w:multiLevelType w:val="hybridMultilevel"/>
    <w:lvl w:ilvl="0">
      <w:lvlJc w:val="left"/>
      <w:lvlText w:val="%1."/>
      <w:numFmt w:val="decimal"/>
      <w:start w:val="7"/>
    </w:lvl>
  </w:abstractNum>
  <w:abstractNum w:abstractNumId="6">
    <w:nsid w:val="4F4EF005"/>
    <w:multiLevelType w:val="hybridMultilevel"/>
    <w:lvl w:ilvl="0">
      <w:lvlJc w:val="left"/>
      <w:lvlText w:val="%1."/>
      <w:numFmt w:val="decimal"/>
      <w:start w:val="8"/>
    </w:lvl>
  </w:abstractNum>
  <w:abstractNum w:abstractNumId="7">
    <w:nsid w:val="23F9C13C"/>
    <w:multiLevelType w:val="hybridMultilevel"/>
    <w:lvl w:ilvl="0">
      <w:lvlJc w:val="left"/>
      <w:lvlText w:val="%1."/>
      <w:numFmt w:val="decimal"/>
      <w:start w:val="1"/>
    </w:lvl>
    <w:lvl w:ilvl="1">
      <w:lvlJc w:val="left"/>
      <w:lvlText w:val="%2."/>
      <w:numFmt w:val="lowerLetter"/>
      <w:start w:val="1"/>
    </w:lvl>
  </w:abstractNum>
  <w:abstractNum w:abstractNumId="8">
    <w:nsid w:val="649BB77C"/>
    <w:multiLevelType w:val="hybridMultilevel"/>
    <w:lvl w:ilvl="0">
      <w:lvlJc w:val="left"/>
      <w:lvlText w:val="%1."/>
      <w:numFmt w:val="decimal"/>
      <w:start w:val="4"/>
    </w:lvl>
  </w:abstractNum>
  <w:abstractNum w:abstractNumId="9">
    <w:nsid w:val="275AC794"/>
    <w:multiLevelType w:val="hybridMultilevel"/>
    <w:lvl w:ilvl="0">
      <w:lvlJc w:val="left"/>
      <w:lvlText w:val="(%1)"/>
      <w:numFmt w:val="lowerRoman"/>
      <w:start w:val="1"/>
    </w:lvl>
  </w:abstractNum>
  <w:abstractNum w:abstractNumId="10">
    <w:nsid w:val="39386575"/>
    <w:multiLevelType w:val="hybridMultilevel"/>
    <w:lvl w:ilvl="0">
      <w:lvlJc w:val="left"/>
      <w:lvlText w:val="9"/>
      <w:numFmt w:val="bullet"/>
      <w:start w:val="1"/>
    </w:lvl>
  </w:abstractNum>
  <w:abstractNum w:abstractNumId="11">
    <w:nsid w:val="1CF10FD8"/>
    <w:multiLevelType w:val="hybridMultilevel"/>
    <w:lvl w:ilvl="0">
      <w:lvlJc w:val="left"/>
      <w:lvlText w:val="(%1)"/>
      <w:numFmt w:val="lowerRoman"/>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decimal"/>
      <w:start w:val="3"/>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lvl w:ilvl="1">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1."/>
      <w:numFmt w:val="upperLetter"/>
      <w:start w:val="2"/>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upperLetter"/>
      <w:start w:val="3"/>
    </w:lvl>
  </w:abstractNum>
  <w:abstractNum w:abstractNumId="40">
    <w:nsid w:val="6B94764"/>
    <w:multiLevelType w:val="hybridMultilevel"/>
    <w:lvl w:ilvl="0">
      <w:lvlJc w:val="left"/>
      <w:lvlText w:val="%1."/>
      <w:numFmt w:val="upperLetter"/>
      <w:start w:val="4"/>
    </w:lvl>
  </w:abstractNum>
  <w:abstractNum w:abstractNumId="41">
    <w:nsid w:val="42C296BD"/>
    <w:multiLevelType w:val="hybridMultilevel"/>
    <w:lvl w:ilvl="0">
      <w:lvlJc w:val="left"/>
      <w:lvlText w:val="%1."/>
      <w:numFmt w:val="upperLetter"/>
      <w:start w:val="5"/>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lowerRoman"/>
      <w:start w:val="4"/>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lvl w:ilvl="1">
      <w:lvlJc w:val="left"/>
      <w:lvlText w:val="▪"/>
      <w:numFmt w:val="bullet"/>
      <w:start w:val="1"/>
    </w:lvl>
  </w:abstractNum>
  <w:abstractNum w:abstractNumId="69">
    <w:nsid w:val="94211F2"/>
    <w:multiLevelType w:val="hybridMultilevel"/>
    <w:lvl w:ilvl="0">
      <w:lvlJc w:val="left"/>
      <w:lvlText w:val="•"/>
      <w:numFmt w:val="bullet"/>
      <w:start w:val="1"/>
    </w:lvl>
    <w:lvl w:ilvl="1">
      <w:lvlJc w:val="left"/>
      <w:lvlText w:val="▪"/>
      <w:numFmt w:val="bullet"/>
      <w:start w:val="1"/>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6"/>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13"/>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8"/>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1."/>
      <w:numFmt w:val="lowerRoman"/>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decimal"/>
      <w:start w:val="2"/>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2026-06-11T05:54:00Z</dcterms:created>
  <dcterms:modified xsi:type="dcterms:W3CDTF">2026-06-11T05:54:00Z</dcterms:modified>
</cp:coreProperties>
</file>