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336550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351790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152400</wp:posOffset>
            </wp:positionV>
            <wp:extent cx="2568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168275</wp:posOffset>
            </wp:positionV>
            <wp:extent cx="2568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month of December 2022</w:t>
      </w:r>
    </w:p>
    <w:p>
      <w:pPr>
        <w:spacing w:after="0" w:line="8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157480</wp:posOffset>
            </wp:positionV>
            <wp:extent cx="2568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8"/>
          <w:szCs w:val="38"/>
          <w:color w:val="auto"/>
        </w:rPr>
        <w:t>Pharvaris N.V.</w:t>
      </w:r>
    </w:p>
    <w:p>
      <w:pPr>
        <w:spacing w:after="0" w:line="1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156210</wp:posOffset>
            </wp:positionV>
            <wp:extent cx="25685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3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J.H. Oortweg 21</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2333 CH Leiden</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Netherlands</w:t>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35" w:lineRule="exact"/>
        <w:rPr>
          <w:sz w:val="24"/>
          <w:szCs w:val="24"/>
          <w:color w:val="auto"/>
        </w:rPr>
      </w:pPr>
    </w:p>
    <w:p>
      <w:pPr>
        <w:spacing w:after="0" w:line="184" w:lineRule="exact"/>
        <w:tabs>
          <w:tab w:leader="none" w:pos="138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15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Note: Regulation S-T Rule 101(b)(1) only permits the submission in paper of a Form 6-K if submitted solely to provide an attached annual report to security holders.</w:t>
      </w:r>
    </w:p>
    <w:p>
      <w:pPr>
        <w:spacing w:after="0" w:line="14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158115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213360</wp:posOffset>
            </wp:positionV>
            <wp:extent cx="718947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180"/>
          </w:cols>
          <w:pgMar w:left="320" w:top="747"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PHARVARIS N.V.</w:t>
      </w:r>
    </w:p>
    <w:p>
      <w:pPr>
        <w:spacing w:after="0" w:line="196" w:lineRule="exact"/>
        <w:rPr>
          <w:sz w:val="20"/>
          <w:szCs w:val="20"/>
          <w:color w:val="auto"/>
        </w:rPr>
      </w:pPr>
    </w:p>
    <w:p>
      <w:pPr>
        <w:ind w:right="240" w:firstLine="590"/>
        <w:spacing w:after="0" w:line="276" w:lineRule="auto"/>
        <w:rPr>
          <w:sz w:val="20"/>
          <w:szCs w:val="20"/>
          <w:color w:val="auto"/>
        </w:rPr>
      </w:pPr>
      <w:r>
        <w:rPr>
          <w:rFonts w:ascii="Times New Roman" w:cs="Times New Roman" w:eastAsia="Times New Roman" w:hAnsi="Times New Roman"/>
          <w:sz w:val="16"/>
          <w:szCs w:val="16"/>
          <w:color w:val="auto"/>
        </w:rPr>
        <w:t>In connection with an investor event on December 8, 2022, Pharvaris N.V. (the “Company”) made available a presentation on its website, which, among other things, contains top-line data from the RAPIDe-1 Phase 2 clinical study. The Company plans to present data from this study at future medical meetings.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wp:posOffset>
            </wp:positionV>
            <wp:extent cx="718947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61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768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PHARVARIS N.V.</w:t>
            </w:r>
          </w:p>
        </w:tc>
      </w:tr>
      <w:tr>
        <w:trPr>
          <w:trHeight w:val="429"/>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8, 2022</w:t>
            </w:r>
          </w:p>
        </w:tc>
        <w:tc>
          <w:tcPr>
            <w:tcW w:w="29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Berndt Modig</w:t>
            </w:r>
          </w:p>
        </w:tc>
      </w:tr>
      <w:tr>
        <w:trPr>
          <w:trHeight w:val="196"/>
        </w:trPr>
        <w:tc>
          <w:tcPr>
            <w:tcW w:w="3580" w:type="dxa"/>
            <w:vAlign w:val="bottom"/>
          </w:tcPr>
          <w:p>
            <w:pPr>
              <w:spacing w:after="0"/>
              <w:rPr>
                <w:sz w:val="17"/>
                <w:szCs w:val="17"/>
                <w:color w:val="auto"/>
              </w:rPr>
            </w:pPr>
          </w:p>
        </w:tc>
        <w:tc>
          <w:tcPr>
            <w:tcW w:w="29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Name:</w:t>
            </w: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Berndt Modig</w:t>
            </w:r>
          </w:p>
        </w:tc>
      </w:tr>
      <w:tr>
        <w:trPr>
          <w:trHeight w:val="206"/>
        </w:trPr>
        <w:tc>
          <w:tcPr>
            <w:tcW w:w="3580" w:type="dxa"/>
            <w:vAlign w:val="bottom"/>
          </w:tcPr>
          <w:p>
            <w:pPr>
              <w:spacing w:after="0"/>
              <w:rPr>
                <w:sz w:val="17"/>
                <w:szCs w:val="17"/>
                <w:color w:val="auto"/>
              </w:rPr>
            </w:pPr>
          </w:p>
        </w:tc>
        <w:tc>
          <w:tcPr>
            <w:tcW w:w="298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52705</wp:posOffset>
            </wp:positionV>
            <wp:extent cx="718947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40640"/>
                    </a:xfrm>
                    <a:prstGeom prst="rect">
                      <a:avLst/>
                    </a:prstGeom>
                    <a:noFill/>
                  </pic:spPr>
                </pic:pic>
              </a:graphicData>
            </a:graphic>
          </wp:anchor>
        </w:drawing>
      </w:r>
    </w:p>
    <w:p>
      <w:pPr>
        <w:sectPr>
          <w:pgSz w:w="11900" w:h="16838" w:orient="portrait"/>
          <w:cols w:equalWidth="0" w:num="1">
            <w:col w:w="11260"/>
          </w:cols>
          <w:pgMar w:left="320" w:top="61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Presentation, dated December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618" w:right="319" w:bottom="1440" w:gutter="0" w:footer="0" w:header="0"/>
        </w:sectPr>
      </w:pPr>
    </w:p>
    <w:bookmarkStart w:id="4" w:name="page5"/>
    <w:bookmarkEnd w:id="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80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0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280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2022-12-08T07:06:17Z</dcterms:created>
  <dcterms:modified xsi:type="dcterms:W3CDTF">2022-12-08T07:06:17Z</dcterms:modified>
</cp:coreProperties>
</file>