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0001643072</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Pharvaris N.V.</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001-40010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7"/>
              </w:rPr>
              <w:t>Emmy Noetherweg 2, 2333 BK</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Leiden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60" w:type="dxa"/>
            <w:vAlign w:val="bottom"/>
          </w:tcPr>
          <w:p>
            <w:pPr>
              <w:spacing w:after="0"/>
              <w:rPr>
                <w:sz w:val="13"/>
                <w:szCs w:val="13"/>
                <w:color w:val="auto"/>
              </w:rPr>
            </w:pPr>
          </w:p>
        </w:tc>
        <w:tc>
          <w:tcPr>
            <w:tcW w:w="366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color w:val="auto"/>
              </w:rPr>
              <w:t>NETHERLANDS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60" w:type="dxa"/>
            <w:vAlign w:val="bottom"/>
          </w:tcPr>
          <w:p>
            <w:pPr>
              <w:spacing w:after="0"/>
              <w:rPr>
                <w:sz w:val="7"/>
                <w:szCs w:val="7"/>
                <w:color w:val="auto"/>
              </w:rPr>
            </w:pPr>
          </w:p>
        </w:tc>
        <w:tc>
          <w:tcPr>
            <w:tcW w:w="3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00000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31-(0)71 2036 410</w:t>
            </w:r>
          </w:p>
        </w:tc>
        <w:tc>
          <w:tcPr>
            <w:tcW w:w="0" w:type="dxa"/>
            <w:vAlign w:val="bottom"/>
          </w:tcPr>
          <w:p>
            <w:pPr>
              <w:spacing w:after="0"/>
              <w:rPr>
                <w:sz w:val="1"/>
                <w:szCs w:val="1"/>
                <w:color w:val="auto"/>
              </w:rPr>
            </w:pP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Berndt Modig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2"/>
          <w:szCs w:val="22"/>
          <w:color w:val="auto"/>
        </w:rPr>
        <w:t>CEO</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4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Title of the Class of</w:t>
            </w:r>
          </w:p>
        </w:tc>
        <w:tc>
          <w:tcPr>
            <w:tcW w:w="232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0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40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To Be Sold</w:t>
            </w:r>
          </w:p>
        </w:tc>
        <w:tc>
          <w:tcPr>
            <w:tcW w:w="2320" w:type="dxa"/>
            <w:vAlign w:val="bottom"/>
            <w:vMerge w:val="restart"/>
          </w:tcPr>
          <w:p>
            <w:pPr>
              <w:ind w:left="72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0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4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40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400" w:type="dxa"/>
            <w:vAlign w:val="bottom"/>
          </w:tcPr>
          <w:p>
            <w:pPr>
              <w:spacing w:after="0"/>
              <w:rPr>
                <w:sz w:val="22"/>
                <w:szCs w:val="22"/>
                <w:color w:val="auto"/>
              </w:rPr>
            </w:pPr>
          </w:p>
        </w:tc>
        <w:tc>
          <w:tcPr>
            <w:tcW w:w="23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UBS Securities LLC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 par value</w:t>
            </w:r>
          </w:p>
        </w:tc>
        <w:tc>
          <w:tcPr>
            <w:tcW w:w="23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1285 Avenue of the</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30000</w:t>
            </w:r>
          </w:p>
        </w:tc>
        <w:tc>
          <w:tcPr>
            <w:tcW w:w="114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w w:val="99"/>
              </w:rPr>
              <w:t>548400</w:t>
            </w:r>
          </w:p>
        </w:tc>
        <w:tc>
          <w:tcPr>
            <w:tcW w:w="0" w:type="dxa"/>
            <w:vAlign w:val="bottom"/>
          </w:tcPr>
          <w:p>
            <w:pPr>
              <w:spacing w:after="0"/>
              <w:rPr>
                <w:sz w:val="1"/>
                <w:szCs w:val="1"/>
                <w:color w:val="auto"/>
              </w:rPr>
            </w:pPr>
          </w:p>
        </w:tc>
      </w:tr>
      <w:tr>
        <w:trPr>
          <w:trHeight w:val="161"/>
        </w:trPr>
        <w:tc>
          <w:tcPr>
            <w:tcW w:w="24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0.12 per share</w:t>
            </w:r>
          </w:p>
        </w:tc>
        <w:tc>
          <w:tcPr>
            <w:tcW w:w="232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Americas</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400" w:type="dxa"/>
            <w:vAlign w:val="bottom"/>
            <w:vMerge w:val="continue"/>
          </w:tcPr>
          <w:p>
            <w:pPr>
              <w:spacing w:after="0"/>
              <w:rPr>
                <w:sz w:val="7"/>
                <w:szCs w:val="7"/>
                <w:color w:val="auto"/>
              </w:rPr>
            </w:pPr>
          </w:p>
        </w:tc>
        <w:tc>
          <w:tcPr>
            <w:tcW w:w="232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400" w:type="dxa"/>
            <w:vAlign w:val="bottom"/>
          </w:tcPr>
          <w:p>
            <w:pPr>
              <w:spacing w:after="0"/>
              <w:rPr>
                <w:sz w:val="24"/>
                <w:szCs w:val="24"/>
                <w:color w:val="auto"/>
              </w:rPr>
            </w:pPr>
          </w:p>
        </w:tc>
        <w:tc>
          <w:tcPr>
            <w:tcW w:w="23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New York  NY  10019</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400" w:type="dxa"/>
            <w:vAlign w:val="bottom"/>
          </w:tcPr>
          <w:p>
            <w:pPr>
              <w:spacing w:after="0"/>
              <w:rPr>
                <w:sz w:val="22"/>
                <w:szCs w:val="22"/>
                <w:color w:val="auto"/>
              </w:rPr>
            </w:pPr>
          </w:p>
        </w:tc>
        <w:tc>
          <w:tcPr>
            <w:tcW w:w="23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UBS Securities LLC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 par value</w:t>
            </w:r>
          </w:p>
        </w:tc>
        <w:tc>
          <w:tcPr>
            <w:tcW w:w="23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1285 Avenue of the</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40000</w:t>
            </w:r>
          </w:p>
        </w:tc>
        <w:tc>
          <w:tcPr>
            <w:tcW w:w="114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w w:val="99"/>
              </w:rPr>
              <w:t>731200</w:t>
            </w:r>
          </w:p>
        </w:tc>
        <w:tc>
          <w:tcPr>
            <w:tcW w:w="0" w:type="dxa"/>
            <w:vAlign w:val="bottom"/>
          </w:tcPr>
          <w:p>
            <w:pPr>
              <w:spacing w:after="0"/>
              <w:rPr>
                <w:sz w:val="1"/>
                <w:szCs w:val="1"/>
                <w:color w:val="auto"/>
              </w:rPr>
            </w:pPr>
          </w:p>
        </w:tc>
      </w:tr>
      <w:tr>
        <w:trPr>
          <w:trHeight w:val="161"/>
        </w:trPr>
        <w:tc>
          <w:tcPr>
            <w:tcW w:w="24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0.12 per share</w:t>
            </w:r>
          </w:p>
        </w:tc>
        <w:tc>
          <w:tcPr>
            <w:tcW w:w="232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Americas</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400" w:type="dxa"/>
            <w:vAlign w:val="bottom"/>
            <w:vMerge w:val="continue"/>
          </w:tcPr>
          <w:p>
            <w:pPr>
              <w:spacing w:after="0"/>
              <w:rPr>
                <w:sz w:val="7"/>
                <w:szCs w:val="7"/>
                <w:color w:val="auto"/>
              </w:rPr>
            </w:pPr>
          </w:p>
        </w:tc>
        <w:tc>
          <w:tcPr>
            <w:tcW w:w="232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400" w:type="dxa"/>
            <w:vAlign w:val="bottom"/>
          </w:tcPr>
          <w:p>
            <w:pPr>
              <w:spacing w:after="0"/>
              <w:rPr>
                <w:sz w:val="24"/>
                <w:szCs w:val="24"/>
                <w:color w:val="auto"/>
              </w:rPr>
            </w:pPr>
          </w:p>
        </w:tc>
        <w:tc>
          <w:tcPr>
            <w:tcW w:w="23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New York  NY  10019</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54007711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08/19/2024   Nasdaq</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54007711</w:t>
      </w:r>
      <w:r>
        <w:rPr>
          <w:sz w:val="20"/>
          <w:szCs w:val="20"/>
          <w:color w:val="auto"/>
        </w:rPr>
        <w:tab/>
      </w:r>
      <w:r>
        <w:rPr>
          <w:rFonts w:ascii="Times New Roman" w:cs="Times New Roman" w:eastAsia="Times New Roman" w:hAnsi="Times New Roman"/>
          <w:sz w:val="22"/>
          <w:szCs w:val="22"/>
          <w:color w:val="auto"/>
        </w:rPr>
        <w:t>08/19/2024</w:t>
      </w:r>
      <w:r>
        <w:rPr>
          <w:sz w:val="20"/>
          <w:szCs w:val="20"/>
          <w:color w:val="auto"/>
        </w:rPr>
        <w:tab/>
      </w:r>
      <w:r>
        <w:rPr>
          <w:rFonts w:ascii="Times New Roman" w:cs="Times New Roman" w:eastAsia="Times New Roman" w:hAnsi="Times New Roman"/>
          <w:sz w:val="21"/>
          <w:szCs w:val="21"/>
          <w:color w:val="auto"/>
        </w:rPr>
        <w:t>Nasdaq</w:t>
      </w:r>
    </w:p>
    <w:p>
      <w:pPr>
        <w:spacing w:after="0" w:line="593"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40" w:type="dxa"/>
            <w:vAlign w:val="bottom"/>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440" w:type="dxa"/>
            <w:vAlign w:val="bottom"/>
            <w:vMerge w:val="restart"/>
          </w:tcPr>
          <w:p>
            <w:pPr>
              <w:jc w:val="center"/>
              <w:ind w:left="2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0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440" w:type="dxa"/>
            <w:vAlign w:val="bottom"/>
            <w:vMerge w:val="restart"/>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Ordinary</w:t>
            </w:r>
          </w:p>
        </w:tc>
        <w:tc>
          <w:tcPr>
            <w:tcW w:w="10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 par</w:t>
            </w:r>
          </w:p>
        </w:tc>
        <w:tc>
          <w:tcPr>
            <w:tcW w:w="1020" w:type="dxa"/>
            <w:vAlign w:val="bottom"/>
          </w:tcPr>
          <w:p>
            <w:pPr>
              <w:spacing w:after="0"/>
              <w:rPr>
                <w:sz w:val="18"/>
                <w:szCs w:val="18"/>
                <w:color w:val="auto"/>
              </w:rPr>
            </w:pPr>
          </w:p>
        </w:tc>
        <w:tc>
          <w:tcPr>
            <w:tcW w:w="144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Vested stock</w:t>
            </w:r>
          </w:p>
        </w:tc>
        <w:tc>
          <w:tcPr>
            <w:tcW w:w="0" w:type="dxa"/>
            <w:vAlign w:val="bottom"/>
          </w:tcPr>
          <w:p>
            <w:pPr>
              <w:spacing w:after="0"/>
              <w:rPr>
                <w:sz w:val="1"/>
                <w:szCs w:val="1"/>
                <w:color w:val="auto"/>
              </w:rPr>
            </w:pPr>
          </w:p>
        </w:tc>
      </w:tr>
      <w:tr>
        <w:trPr>
          <w:trHeight w:val="294"/>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value Euro 0.12</w:t>
            </w:r>
          </w:p>
        </w:tc>
        <w:tc>
          <w:tcPr>
            <w:tcW w:w="2460" w:type="dxa"/>
            <w:vAlign w:val="bottom"/>
            <w:gridSpan w:val="2"/>
          </w:tcPr>
          <w:p>
            <w:pPr>
              <w:ind w:left="40"/>
              <w:spacing w:after="0" w:line="294" w:lineRule="exact"/>
              <w:rPr>
                <w:sz w:val="20"/>
                <w:szCs w:val="20"/>
                <w:color w:val="auto"/>
              </w:rPr>
            </w:pPr>
            <w:r>
              <w:rPr>
                <w:rFonts w:ascii="Times New Roman" w:cs="Times New Roman" w:eastAsia="Times New Roman" w:hAnsi="Times New Roman"/>
                <w:sz w:val="18"/>
                <w:szCs w:val="18"/>
                <w:color w:val="auto"/>
              </w:rPr>
              <w:t xml:space="preserve">01/02/2020 </w:t>
            </w:r>
            <w:r>
              <w:rPr>
                <w:rFonts w:ascii="Times New Roman" w:cs="Times New Roman" w:eastAsia="Times New Roman" w:hAnsi="Times New Roman"/>
                <w:sz w:val="34"/>
                <w:szCs w:val="34"/>
                <w:color w:val="auto"/>
                <w:vertAlign w:val="subscript"/>
              </w:rPr>
              <w:t>options</w:t>
            </w: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per share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4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4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Pharvaris N.V</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w w:val="99"/>
              </w:rPr>
              <w:t>125000</w:t>
            </w:r>
          </w:p>
        </w:tc>
        <w:tc>
          <w:tcPr>
            <w:tcW w:w="26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01/01/2020 Services rendered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-152400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559" w:lineRule="exact"/>
        <w:rPr>
          <w:sz w:val="20"/>
          <w:szCs w:val="20"/>
          <w:color w:val="auto"/>
        </w:rPr>
      </w:pPr>
    </w:p>
    <w:p>
      <w:pPr>
        <w:sectPr>
          <w:pgSz w:w="11900" w:h="16838" w:orient="portrait"/>
          <w:cols w:equalWidth="0" w:num="2">
            <w:col w:w="3940" w:space="320"/>
            <w:col w:w="6980"/>
          </w:cols>
          <w:pgMar w:left="320" w:top="139" w:right="339" w:bottom="1440" w:gutter="0" w:footer="0" w:header="0"/>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39" w:right="33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2"/>
          <w:szCs w:val="22"/>
          <w:color w:val="auto"/>
        </w:rPr>
        <w:t>The shares reported to be sold on this Form 144 will be sold pursuant to a Rule 10b5-1 trading plan.</w:t>
      </w:r>
    </w:p>
    <w:p>
      <w:pPr>
        <w:spacing w:after="0"/>
        <w:rPr>
          <w:sz w:val="20"/>
          <w:szCs w:val="20"/>
          <w:color w:val="auto"/>
        </w:rPr>
      </w:pPr>
      <w:r>
        <w:rPr>
          <w:rFonts w:ascii="Times New Roman" w:cs="Times New Roman" w:eastAsia="Times New Roman" w:hAnsi="Times New Roman"/>
          <w:sz w:val="22"/>
          <w:szCs w:val="22"/>
          <w:color w:val="auto"/>
        </w:rPr>
        <w:t>08/19/2024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05/11/2023</w:t>
      </w:r>
    </w:p>
    <w:p>
      <w:pPr>
        <w:spacing w:after="0" w:line="612" w:lineRule="exact"/>
        <w:rPr>
          <w:sz w:val="20"/>
          <w:szCs w:val="20"/>
          <w:color w:val="auto"/>
        </w:rPr>
      </w:pPr>
    </w:p>
    <w:p>
      <w:pPr>
        <w:sectPr>
          <w:pgSz w:w="11900" w:h="16838" w:orient="portrait"/>
          <w:cols w:equalWidth="0" w:num="2">
            <w:col w:w="4360" w:space="480"/>
            <w:col w:w="6400"/>
          </w:cols>
          <w:pgMar w:left="320" w:top="139"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Berndt Modig</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2024-08-19T05:19:19Z</dcterms:created>
  <dcterms:modified xsi:type="dcterms:W3CDTF">2024-08-19T05:19:19Z</dcterms:modified>
</cp:coreProperties>
</file>