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333-273757</w:t>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154305</wp:posOffset>
            </wp:positionV>
            <wp:extent cx="2185670" cy="316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5670" cy="316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Pharvaris N.V.</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(incorporated in the Netherlands)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6,951,340 Ordinary Shares Offered by Selling Securityholders</w:t>
      </w:r>
    </w:p>
    <w:p>
      <w:pPr>
        <w:spacing w:after="0" w:line="234"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121" w:lineRule="exact"/>
        <w:rPr>
          <w:sz w:val="24"/>
          <w:szCs w:val="24"/>
          <w:color w:val="auto"/>
        </w:rPr>
      </w:pPr>
    </w:p>
    <w:p>
      <w:pPr>
        <w:ind w:right="140" w:firstLine="749"/>
        <w:spacing w:after="0" w:line="257" w:lineRule="auto"/>
        <w:rPr>
          <w:sz w:val="20"/>
          <w:szCs w:val="20"/>
          <w:color w:val="auto"/>
        </w:rPr>
      </w:pPr>
      <w:r>
        <w:rPr>
          <w:rFonts w:ascii="Arial" w:cs="Arial" w:eastAsia="Arial" w:hAnsi="Arial"/>
          <w:sz w:val="18"/>
          <w:szCs w:val="18"/>
          <w:color w:val="auto"/>
        </w:rPr>
        <w:t>This prospectus relates to the resale from time to time in one or more offerings by the selling stockholders identified herein or their permitted transferees (each, a “selling securityholder” and collectively, the “selling securityholders”) of up to 6,951,340 ordinary shares, par value €0.12 per share (“Ordinary Shares”) of Pharvaris N.V., a Dutch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(the “Company”). The Ordinary Shares offered for resale were acquired by the selling securityholders in a private placement pursuant to the Subscription Agreement, dated June 16, 2023 by and among the Company and the selling securityholders (the “Subscription Agreement”).</w:t>
      </w:r>
    </w:p>
    <w:p>
      <w:pPr>
        <w:spacing w:after="0" w:line="80" w:lineRule="exact"/>
        <w:rPr>
          <w:sz w:val="24"/>
          <w:szCs w:val="24"/>
          <w:color w:val="auto"/>
        </w:rPr>
      </w:pPr>
    </w:p>
    <w:p>
      <w:pPr>
        <w:ind w:right="140" w:firstLine="749"/>
        <w:spacing w:after="0" w:line="257" w:lineRule="auto"/>
        <w:rPr>
          <w:sz w:val="20"/>
          <w:szCs w:val="20"/>
          <w:color w:val="auto"/>
        </w:rPr>
      </w:pPr>
      <w:r>
        <w:rPr>
          <w:rFonts w:ascii="Arial" w:cs="Arial" w:eastAsia="Arial" w:hAnsi="Arial"/>
          <w:sz w:val="18"/>
          <w:szCs w:val="18"/>
          <w:color w:val="auto"/>
        </w:rPr>
        <w:t>We are registering the securities described above for resale pursuant to the selling securityholders’ registration rights under the Subscription Agreement. Our registration of the securities covered by this prospectus does not mean that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Ordinary Shares in the section entitled “Plan of Distribution.”</w:t>
      </w:r>
    </w:p>
    <w:p>
      <w:pPr>
        <w:spacing w:after="0" w:line="80" w:lineRule="exact"/>
        <w:rPr>
          <w:sz w:val="24"/>
          <w:szCs w:val="24"/>
          <w:color w:val="auto"/>
        </w:rPr>
      </w:pPr>
    </w:p>
    <w:p>
      <w:pPr>
        <w:ind w:right="80" w:firstLine="749"/>
        <w:spacing w:after="0" w:line="286" w:lineRule="auto"/>
        <w:rPr>
          <w:sz w:val="20"/>
          <w:szCs w:val="20"/>
          <w:color w:val="auto"/>
        </w:rPr>
      </w:pPr>
      <w:r>
        <w:rPr>
          <w:rFonts w:ascii="Arial" w:cs="Arial" w:eastAsia="Arial" w:hAnsi="Arial"/>
          <w:sz w:val="17"/>
          <w:szCs w:val="17"/>
          <w:color w:val="auto"/>
        </w:rPr>
        <w:t>We will not receive any proceeds from the sale of Ordinary Shares by the selling securityholders pursuant to this prospectus. However, we will pay certain expenses associated with the registration of the securities covered by this prospectus, as described in the section entitled “Plan of Distribution.” The selling securityholders will bear all commissions and discounts, if any, attributable to their sales of the Ordinary Shares.</w:t>
      </w:r>
    </w:p>
    <w:p>
      <w:pPr>
        <w:spacing w:after="0" w:line="57" w:lineRule="exact"/>
        <w:rPr>
          <w:sz w:val="24"/>
          <w:szCs w:val="24"/>
          <w:color w:val="auto"/>
        </w:rPr>
      </w:pPr>
    </w:p>
    <w:p>
      <w:pPr>
        <w:ind w:right="260" w:firstLine="749"/>
        <w:spacing w:after="0" w:line="277" w:lineRule="auto"/>
        <w:rPr>
          <w:sz w:val="20"/>
          <w:szCs w:val="20"/>
          <w:color w:val="auto"/>
        </w:rPr>
      </w:pPr>
      <w:r>
        <w:rPr>
          <w:rFonts w:ascii="Arial" w:cs="Arial" w:eastAsia="Arial" w:hAnsi="Arial"/>
          <w:sz w:val="18"/>
          <w:szCs w:val="18"/>
          <w:color w:val="auto"/>
        </w:rPr>
        <w:t>Our Ordinary Shares are listed on The Nasdaq Global Select Market (“Nasdaq”) under the symbol “PHVS.” On August 16, 2023, the last sale price of our Ordinary Shares as reported on Nasdaq was $20.10 per share.</w:t>
      </w:r>
    </w:p>
    <w:p>
      <w:pPr>
        <w:spacing w:after="0" w:line="62" w:lineRule="exact"/>
        <w:rPr>
          <w:sz w:val="24"/>
          <w:szCs w:val="24"/>
          <w:color w:val="auto"/>
        </w:rPr>
      </w:pPr>
    </w:p>
    <w:p>
      <w:pPr>
        <w:jc w:val="both"/>
        <w:ind w:right="200" w:firstLine="749"/>
        <w:spacing w:after="0" w:line="263" w:lineRule="auto"/>
        <w:rPr>
          <w:sz w:val="20"/>
          <w:szCs w:val="20"/>
          <w:color w:val="auto"/>
        </w:rPr>
      </w:pPr>
      <w:r>
        <w:rPr>
          <w:rFonts w:ascii="Arial" w:cs="Arial" w:eastAsia="Arial" w:hAnsi="Arial"/>
          <w:sz w:val="18"/>
          <w:szCs w:val="18"/>
          <w:color w:val="auto"/>
        </w:rPr>
        <w:t>We are an “emerging growth company” and a “foreign private issuer” as defined under the U.S. Securities and Exchange Commission and, as such, we have elected to comply with certain reduced public company reporting requirements for this prospectus and future filings. Please see “Pharvaris N.V.—Implications of Being an “Emerging Growth Company” and a Foreign Private Issuer”.</w:t>
      </w:r>
    </w:p>
    <w:p>
      <w:pPr>
        <w:spacing w:after="0" w:line="76"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13" w:lineRule="exact"/>
        <w:rPr>
          <w:sz w:val="24"/>
          <w:szCs w:val="24"/>
          <w:color w:val="auto"/>
        </w:rPr>
      </w:pPr>
    </w:p>
    <w:p>
      <w:pPr>
        <w:ind w:right="300" w:firstLine="749"/>
        <w:spacing w:after="0" w:line="282" w:lineRule="auto"/>
        <w:rPr>
          <w:sz w:val="20"/>
          <w:szCs w:val="20"/>
          <w:color w:val="auto"/>
        </w:rPr>
      </w:pPr>
      <w:r>
        <w:rPr>
          <w:rFonts w:ascii="Arial" w:cs="Arial" w:eastAsia="Arial" w:hAnsi="Arial"/>
          <w:sz w:val="18"/>
          <w:szCs w:val="18"/>
          <w:b w:val="1"/>
          <w:bCs w:val="1"/>
          <w:color w:val="auto"/>
        </w:rPr>
        <w:t>Investing in our ordinary shares involves a high degree of risk. See “Risk Factors” beginning on page 8 of this prospectus and in the documents incorporated by reference herein.</w:t>
      </w:r>
    </w:p>
    <w:p>
      <w:pPr>
        <w:spacing w:after="0" w:line="54" w:lineRule="exact"/>
        <w:rPr>
          <w:sz w:val="24"/>
          <w:szCs w:val="24"/>
          <w:color w:val="auto"/>
        </w:rPr>
      </w:pPr>
    </w:p>
    <w:p>
      <w:pPr>
        <w:ind w:right="120" w:firstLine="749"/>
        <w:spacing w:after="0" w:line="347" w:lineRule="auto"/>
        <w:rPr>
          <w:sz w:val="20"/>
          <w:szCs w:val="20"/>
          <w:color w:val="auto"/>
        </w:rPr>
      </w:pPr>
      <w:r>
        <w:rPr>
          <w:rFonts w:ascii="Arial" w:cs="Arial" w:eastAsia="Arial" w:hAnsi="Arial"/>
          <w:sz w:val="16"/>
          <w:szCs w:val="16"/>
          <w:b w:val="1"/>
          <w:bCs w:val="1"/>
          <w:color w:val="auto"/>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2"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August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ind w:right="40" w:firstLine="360"/>
        <w:spacing w:after="0" w:line="255" w:lineRule="auto"/>
        <w:rPr>
          <w:sz w:val="20"/>
          <w:szCs w:val="20"/>
          <w:color w:val="auto"/>
        </w:rPr>
      </w:pPr>
      <w:r>
        <w:rPr>
          <w:rFonts w:ascii="Arial" w:cs="Arial" w:eastAsia="Arial" w:hAnsi="Arial"/>
          <w:sz w:val="18"/>
          <w:szCs w:val="18"/>
          <w:b w:val="1"/>
          <w:bCs w:val="1"/>
          <w:color w:val="auto"/>
        </w:rPr>
        <w:t>We have not, and the selling securityholders have not, authorized anyone to provide any information other than that contained in or incorporated by reference in this prospectus and any related prospectus supplement we provide to you. We have not, and the selling securityholders have not, authorized anyone to provide you with different or additional information. This prospectus does not constitute an offer to sell securities in any jurisdiction where such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“Pharvaris” “the Company,” “our company,” “we,” “us” or “our” refer to Pharvaris N.V. and its subsidiaries.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4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98"/>
              </w:rPr>
              <w:t>TABLE OF CONTENTS</w:t>
            </w:r>
          </w:p>
        </w:tc>
        <w:tc>
          <w:tcPr>
            <w:tcW w:w="24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4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w w:val="96"/>
              </w:rPr>
              <w:t>PROSPECTUS</w:t>
            </w:r>
          </w:p>
        </w:tc>
        <w:tc>
          <w:tcPr>
            <w:tcW w:w="240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22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ABOUT THIS PROSPECTUS</w:t>
            </w:r>
          </w:p>
        </w:tc>
        <w:tc>
          <w:tcPr>
            <w:tcW w:w="6580" w:type="dxa"/>
            <w:vAlign w:val="bottom"/>
            <w:gridSpan w:val="8"/>
          </w:tcPr>
          <w:p>
            <w:pPr>
              <w:spacing w:after="0"/>
              <w:rPr>
                <w:sz w:val="24"/>
                <w:szCs w:val="24"/>
                <w:color w:val="auto"/>
              </w:rPr>
            </w:pPr>
          </w:p>
        </w:tc>
        <w:tc>
          <w:tcPr>
            <w:tcW w:w="2400" w:type="dxa"/>
            <w:vAlign w:val="bottom"/>
          </w:tcPr>
          <w:p>
            <w:pPr>
              <w:ind w:left="1420"/>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38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7"/>
              </w:rPr>
              <w:t>WHERE YOU CAN FIND MORE INFORMATION</w:t>
            </w:r>
          </w:p>
        </w:tc>
        <w:tc>
          <w:tcPr>
            <w:tcW w:w="5000" w:type="dxa"/>
            <w:vAlign w:val="bottom"/>
            <w:gridSpan w:val="4"/>
          </w:tcPr>
          <w:p>
            <w:pPr>
              <w:spacing w:after="0"/>
              <w:rPr>
                <w:sz w:val="18"/>
                <w:szCs w:val="18"/>
                <w:color w:val="auto"/>
              </w:rPr>
            </w:pPr>
          </w:p>
        </w:tc>
        <w:tc>
          <w:tcPr>
            <w:tcW w:w="2400" w:type="dxa"/>
            <w:vAlign w:val="bottom"/>
          </w:tcPr>
          <w:p>
            <w:pPr>
              <w:ind w:left="1420"/>
              <w:spacing w:after="0"/>
              <w:rPr>
                <w:sz w:val="20"/>
                <w:szCs w:val="20"/>
                <w:color w:val="auto"/>
              </w:rPr>
            </w:pPr>
            <w:r>
              <w:rPr>
                <w:rFonts w:ascii="Arial" w:cs="Arial" w:eastAsia="Arial" w:hAnsi="Arial"/>
                <w:sz w:val="18"/>
                <w:szCs w:val="18"/>
                <w:color w:val="auto"/>
              </w:rPr>
              <w:t>2</w:t>
            </w:r>
          </w:p>
        </w:tc>
      </w:tr>
      <w:tr>
        <w:trPr>
          <w:trHeight w:val="209"/>
        </w:trPr>
        <w:tc>
          <w:tcPr>
            <w:tcW w:w="20" w:type="dxa"/>
            <w:vAlign w:val="bottom"/>
          </w:tcPr>
          <w:p>
            <w:pPr>
              <w:spacing w:after="0"/>
              <w:rPr>
                <w:sz w:val="18"/>
                <w:szCs w:val="18"/>
                <w:color w:val="auto"/>
              </w:rPr>
            </w:pPr>
          </w:p>
        </w:tc>
        <w:tc>
          <w:tcPr>
            <w:tcW w:w="8820" w:type="dxa"/>
            <w:vAlign w:val="bottom"/>
            <w:gridSpan w:val="17"/>
          </w:tcPr>
          <w:p>
            <w:pPr>
              <w:spacing w:after="0"/>
              <w:rPr>
                <w:sz w:val="20"/>
                <w:szCs w:val="20"/>
                <w:color w:val="auto"/>
              </w:rPr>
            </w:pPr>
            <w:r>
              <w:rPr>
                <w:rFonts w:ascii="Arial" w:cs="Arial" w:eastAsia="Arial" w:hAnsi="Arial"/>
                <w:sz w:val="18"/>
                <w:szCs w:val="18"/>
                <w:color w:val="0000FF"/>
              </w:rPr>
              <w:t>PRESENTATION OF FINANCIAL INFORMATION</w:t>
            </w:r>
          </w:p>
        </w:tc>
        <w:tc>
          <w:tcPr>
            <w:tcW w:w="2400" w:type="dxa"/>
            <w:vAlign w:val="bottom"/>
          </w:tcPr>
          <w:p>
            <w:pPr>
              <w:ind w:left="1420"/>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388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TRADEMARKS</w:t>
            </w:r>
          </w:p>
        </w:tc>
        <w:tc>
          <w:tcPr>
            <w:tcW w:w="4940" w:type="dxa"/>
            <w:vAlign w:val="bottom"/>
            <w:gridSpan w:val="3"/>
          </w:tcPr>
          <w:p>
            <w:pPr>
              <w:spacing w:after="0"/>
              <w:rPr>
                <w:sz w:val="18"/>
                <w:szCs w:val="18"/>
                <w:color w:val="auto"/>
              </w:rPr>
            </w:pPr>
          </w:p>
        </w:tc>
        <w:tc>
          <w:tcPr>
            <w:tcW w:w="2400" w:type="dxa"/>
            <w:vAlign w:val="bottom"/>
          </w:tcPr>
          <w:p>
            <w:pPr>
              <w:ind w:left="1420"/>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5"/>
              </w:rPr>
              <w:t>SPECIAL NOTE REGARDING FORWARD-LOOKING STATEMENTS</w:t>
            </w:r>
          </w:p>
        </w:tc>
        <w:tc>
          <w:tcPr>
            <w:tcW w:w="3480" w:type="dxa"/>
            <w:vAlign w:val="bottom"/>
            <w:gridSpan w:val="2"/>
          </w:tcPr>
          <w:p>
            <w:pPr>
              <w:spacing w:after="0"/>
              <w:rPr>
                <w:sz w:val="18"/>
                <w:szCs w:val="18"/>
                <w:color w:val="auto"/>
              </w:rPr>
            </w:pPr>
          </w:p>
        </w:tc>
        <w:tc>
          <w:tcPr>
            <w:tcW w:w="2400" w:type="dxa"/>
            <w:vAlign w:val="bottom"/>
          </w:tcPr>
          <w:p>
            <w:pPr>
              <w:ind w:left="1420"/>
              <w:spacing w:after="0"/>
              <w:rPr>
                <w:sz w:val="20"/>
                <w:szCs w:val="20"/>
                <w:color w:val="auto"/>
              </w:rPr>
            </w:pPr>
            <w:r>
              <w:rPr>
                <w:rFonts w:ascii="Arial" w:cs="Arial" w:eastAsia="Arial" w:hAnsi="Arial"/>
                <w:sz w:val="18"/>
                <w:szCs w:val="18"/>
                <w:color w:val="auto"/>
              </w:rPr>
              <w:t>3</w:t>
            </w:r>
          </w:p>
        </w:tc>
      </w:tr>
      <w:tr>
        <w:trPr>
          <w:trHeight w:val="209"/>
        </w:trPr>
        <w:tc>
          <w:tcPr>
            <w:tcW w:w="20" w:type="dxa"/>
            <w:vAlign w:val="bottom"/>
          </w:tcPr>
          <w:p>
            <w:pPr>
              <w:spacing w:after="0"/>
              <w:rPr>
                <w:sz w:val="18"/>
                <w:szCs w:val="18"/>
                <w:color w:val="auto"/>
              </w:rPr>
            </w:pPr>
          </w:p>
        </w:tc>
        <w:tc>
          <w:tcPr>
            <w:tcW w:w="8820" w:type="dxa"/>
            <w:vAlign w:val="bottom"/>
            <w:gridSpan w:val="17"/>
          </w:tcPr>
          <w:p>
            <w:pPr>
              <w:spacing w:after="0"/>
              <w:rPr>
                <w:sz w:val="20"/>
                <w:szCs w:val="20"/>
                <w:color w:val="auto"/>
              </w:rPr>
            </w:pPr>
            <w:r>
              <w:rPr>
                <w:rFonts w:ascii="Arial" w:cs="Arial" w:eastAsia="Arial" w:hAnsi="Arial"/>
                <w:sz w:val="18"/>
                <w:szCs w:val="18"/>
                <w:color w:val="0000FF"/>
              </w:rPr>
              <w:t>PROSPECTUS SUMMARY</w:t>
            </w:r>
          </w:p>
        </w:tc>
        <w:tc>
          <w:tcPr>
            <w:tcW w:w="2400" w:type="dxa"/>
            <w:vAlign w:val="bottom"/>
          </w:tcPr>
          <w:p>
            <w:pPr>
              <w:ind w:left="1420"/>
              <w:spacing w:after="0"/>
              <w:rPr>
                <w:sz w:val="20"/>
                <w:szCs w:val="20"/>
                <w:color w:val="auto"/>
              </w:rPr>
            </w:pPr>
            <w:r>
              <w:rPr>
                <w:rFonts w:ascii="Arial" w:cs="Arial" w:eastAsia="Arial" w:hAnsi="Arial"/>
                <w:sz w:val="18"/>
                <w:szCs w:val="18"/>
                <w:color w:val="auto"/>
              </w:rPr>
              <w:t>5</w:t>
            </w:r>
          </w:p>
        </w:tc>
      </w:tr>
      <w:tr>
        <w:trPr>
          <w:trHeight w:val="210"/>
        </w:trPr>
        <w:tc>
          <w:tcPr>
            <w:tcW w:w="20" w:type="dxa"/>
            <w:vAlign w:val="bottom"/>
          </w:tcPr>
          <w:p>
            <w:pPr>
              <w:spacing w:after="0"/>
              <w:rPr>
                <w:sz w:val="18"/>
                <w:szCs w:val="18"/>
                <w:color w:val="auto"/>
              </w:rPr>
            </w:pPr>
          </w:p>
        </w:tc>
        <w:tc>
          <w:tcPr>
            <w:tcW w:w="12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3"/>
              </w:rPr>
              <w:t>THE OFFERING</w:t>
            </w:r>
          </w:p>
        </w:tc>
        <w:tc>
          <w:tcPr>
            <w:tcW w:w="800" w:type="dxa"/>
            <w:vAlign w:val="bottom"/>
            <w:tcBorders>
              <w:top w:val="single" w:sz="8" w:color="0000FF"/>
            </w:tcBorders>
            <w:gridSpan w:val="4"/>
          </w:tcPr>
          <w:p>
            <w:pPr>
              <w:spacing w:after="0"/>
              <w:rPr>
                <w:sz w:val="18"/>
                <w:szCs w:val="18"/>
                <w:color w:val="auto"/>
              </w:rPr>
            </w:pPr>
          </w:p>
        </w:tc>
        <w:tc>
          <w:tcPr>
            <w:tcW w:w="6740" w:type="dxa"/>
            <w:vAlign w:val="bottom"/>
            <w:gridSpan w:val="9"/>
          </w:tcPr>
          <w:p>
            <w:pPr>
              <w:spacing w:after="0"/>
              <w:rPr>
                <w:sz w:val="18"/>
                <w:szCs w:val="18"/>
                <w:color w:val="auto"/>
              </w:rPr>
            </w:pPr>
          </w:p>
        </w:tc>
        <w:tc>
          <w:tcPr>
            <w:tcW w:w="2400" w:type="dxa"/>
            <w:vAlign w:val="bottom"/>
          </w:tcPr>
          <w:p>
            <w:pPr>
              <w:ind w:left="1420"/>
              <w:spacing w:after="0"/>
              <w:rPr>
                <w:sz w:val="20"/>
                <w:szCs w:val="20"/>
                <w:color w:val="auto"/>
              </w:rPr>
            </w:pPr>
            <w:r>
              <w:rPr>
                <w:rFonts w:ascii="Arial" w:cs="Arial" w:eastAsia="Arial" w:hAnsi="Arial"/>
                <w:sz w:val="18"/>
                <w:szCs w:val="18"/>
                <w:color w:val="auto"/>
              </w:rPr>
              <w:t>7</w:t>
            </w:r>
          </w:p>
        </w:tc>
      </w:tr>
      <w:tr>
        <w:trPr>
          <w:trHeight w:val="209"/>
        </w:trPr>
        <w:tc>
          <w:tcPr>
            <w:tcW w:w="20" w:type="dxa"/>
            <w:vAlign w:val="bottom"/>
          </w:tcPr>
          <w:p>
            <w:pPr>
              <w:spacing w:after="0"/>
              <w:rPr>
                <w:sz w:val="18"/>
                <w:szCs w:val="18"/>
                <w:color w:val="auto"/>
              </w:rPr>
            </w:pPr>
          </w:p>
        </w:tc>
        <w:tc>
          <w:tcPr>
            <w:tcW w:w="882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2400" w:type="dxa"/>
            <w:vAlign w:val="bottom"/>
          </w:tcPr>
          <w:p>
            <w:pPr>
              <w:ind w:left="1420"/>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17"/>
          </w:tcPr>
          <w:p>
            <w:pPr>
              <w:spacing w:after="0"/>
              <w:rPr>
                <w:sz w:val="20"/>
                <w:szCs w:val="20"/>
                <w:color w:val="auto"/>
              </w:rPr>
            </w:pPr>
            <w:r>
              <w:rPr>
                <w:rFonts w:ascii="Arial" w:cs="Arial" w:eastAsia="Arial" w:hAnsi="Arial"/>
                <w:sz w:val="18"/>
                <w:szCs w:val="18"/>
                <w:color w:val="0000FF"/>
              </w:rPr>
              <w:t>USE OF PROCEEDS</w:t>
            </w:r>
          </w:p>
        </w:tc>
        <w:tc>
          <w:tcPr>
            <w:tcW w:w="2400" w:type="dxa"/>
            <w:vAlign w:val="bottom"/>
          </w:tcPr>
          <w:p>
            <w:pPr>
              <w:ind w:left="1420"/>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20" w:type="dxa"/>
            <w:vAlign w:val="bottom"/>
            <w:gridSpan w:val="17"/>
          </w:tcPr>
          <w:p>
            <w:pPr>
              <w:spacing w:after="0"/>
              <w:rPr>
                <w:sz w:val="20"/>
                <w:szCs w:val="20"/>
                <w:color w:val="auto"/>
              </w:rPr>
            </w:pPr>
            <w:r>
              <w:rPr>
                <w:rFonts w:ascii="Arial" w:cs="Arial" w:eastAsia="Arial" w:hAnsi="Arial"/>
                <w:sz w:val="18"/>
                <w:szCs w:val="18"/>
                <w:color w:val="0000FF"/>
              </w:rPr>
              <w:t>SELLING SECURITYHOLDERS</w:t>
            </w:r>
          </w:p>
        </w:tc>
        <w:tc>
          <w:tcPr>
            <w:tcW w:w="2400" w:type="dxa"/>
            <w:vAlign w:val="bottom"/>
          </w:tcPr>
          <w:p>
            <w:pPr>
              <w:ind w:left="1420"/>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7"/>
              </w:rPr>
              <w:t>MATERIAL UNITED STATES FEDERAL INCOME TAX AND DUTCH TAX CONSIDERATIONS</w:t>
            </w:r>
          </w:p>
        </w:tc>
        <w:tc>
          <w:tcPr>
            <w:tcW w:w="1420" w:type="dxa"/>
            <w:vAlign w:val="bottom"/>
          </w:tcPr>
          <w:p>
            <w:pPr>
              <w:spacing w:after="0"/>
              <w:rPr>
                <w:sz w:val="18"/>
                <w:szCs w:val="18"/>
                <w:color w:val="auto"/>
              </w:rPr>
            </w:pPr>
          </w:p>
        </w:tc>
        <w:tc>
          <w:tcPr>
            <w:tcW w:w="2400" w:type="dxa"/>
            <w:vAlign w:val="bottom"/>
          </w:tcPr>
          <w:p>
            <w:pPr>
              <w:ind w:left="1420"/>
              <w:spacing w:after="0"/>
              <w:rPr>
                <w:sz w:val="20"/>
                <w:szCs w:val="20"/>
                <w:color w:val="auto"/>
              </w:rPr>
            </w:pPr>
            <w:r>
              <w:rPr>
                <w:rFonts w:ascii="Arial" w:cs="Arial" w:eastAsia="Arial" w:hAnsi="Arial"/>
                <w:sz w:val="18"/>
                <w:szCs w:val="18"/>
                <w:color w:val="auto"/>
              </w:rPr>
              <w:t>12</w:t>
            </w:r>
          </w:p>
        </w:tc>
      </w:tr>
      <w:tr>
        <w:trPr>
          <w:trHeight w:val="210"/>
        </w:trPr>
        <w:tc>
          <w:tcPr>
            <w:tcW w:w="20" w:type="dxa"/>
            <w:vAlign w:val="bottom"/>
          </w:tcPr>
          <w:p>
            <w:pPr>
              <w:spacing w:after="0"/>
              <w:rPr>
                <w:sz w:val="18"/>
                <w:szCs w:val="18"/>
                <w:color w:val="auto"/>
              </w:rPr>
            </w:pPr>
          </w:p>
        </w:tc>
        <w:tc>
          <w:tcPr>
            <w:tcW w:w="20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7"/>
              </w:rPr>
              <w:t>PLAN OF DISTRIBUTION</w:t>
            </w:r>
          </w:p>
        </w:tc>
        <w:tc>
          <w:tcPr>
            <w:tcW w:w="6760" w:type="dxa"/>
            <w:vAlign w:val="bottom"/>
            <w:gridSpan w:val="10"/>
          </w:tcPr>
          <w:p>
            <w:pPr>
              <w:spacing w:after="0"/>
              <w:rPr>
                <w:sz w:val="18"/>
                <w:szCs w:val="18"/>
                <w:color w:val="auto"/>
              </w:rPr>
            </w:pPr>
          </w:p>
        </w:tc>
        <w:tc>
          <w:tcPr>
            <w:tcW w:w="2400" w:type="dxa"/>
            <w:vAlign w:val="bottom"/>
          </w:tcPr>
          <w:p>
            <w:pPr>
              <w:ind w:left="1420"/>
              <w:spacing w:after="0"/>
              <w:rPr>
                <w:sz w:val="20"/>
                <w:szCs w:val="20"/>
                <w:color w:val="auto"/>
              </w:rPr>
            </w:pPr>
            <w:r>
              <w:rPr>
                <w:rFonts w:ascii="Arial" w:cs="Arial" w:eastAsia="Arial" w:hAnsi="Arial"/>
                <w:sz w:val="18"/>
                <w:szCs w:val="18"/>
                <w:color w:val="auto"/>
              </w:rPr>
              <w:t>22</w:t>
            </w:r>
          </w:p>
        </w:tc>
      </w:tr>
      <w:tr>
        <w:trPr>
          <w:trHeight w:val="209"/>
        </w:trPr>
        <w:tc>
          <w:tcPr>
            <w:tcW w:w="20" w:type="dxa"/>
            <w:vAlign w:val="bottom"/>
          </w:tcPr>
          <w:p>
            <w:pPr>
              <w:spacing w:after="0"/>
              <w:rPr>
                <w:sz w:val="18"/>
                <w:szCs w:val="18"/>
                <w:color w:val="auto"/>
              </w:rPr>
            </w:pPr>
          </w:p>
        </w:tc>
        <w:tc>
          <w:tcPr>
            <w:tcW w:w="8820" w:type="dxa"/>
            <w:vAlign w:val="bottom"/>
            <w:gridSpan w:val="17"/>
          </w:tcPr>
          <w:p>
            <w:pPr>
              <w:spacing w:after="0"/>
              <w:rPr>
                <w:sz w:val="20"/>
                <w:szCs w:val="20"/>
                <w:color w:val="auto"/>
              </w:rPr>
            </w:pPr>
            <w:r>
              <w:rPr>
                <w:rFonts w:ascii="Arial" w:cs="Arial" w:eastAsia="Arial" w:hAnsi="Arial"/>
                <w:sz w:val="18"/>
                <w:szCs w:val="18"/>
                <w:color w:val="0000FF"/>
              </w:rPr>
              <w:t>ENFORCEMENT OF JUDGMENTS</w:t>
            </w:r>
          </w:p>
        </w:tc>
        <w:tc>
          <w:tcPr>
            <w:tcW w:w="2400" w:type="dxa"/>
            <w:vAlign w:val="bottom"/>
          </w:tcPr>
          <w:p>
            <w:pPr>
              <w:ind w:left="1420"/>
              <w:spacing w:after="0"/>
              <w:rPr>
                <w:sz w:val="20"/>
                <w:szCs w:val="20"/>
                <w:color w:val="auto"/>
              </w:rPr>
            </w:pPr>
            <w:r>
              <w:rPr>
                <w:rFonts w:ascii="Arial" w:cs="Arial" w:eastAsia="Arial" w:hAnsi="Arial"/>
                <w:sz w:val="18"/>
                <w:szCs w:val="18"/>
                <w:color w:val="auto"/>
              </w:rPr>
              <w:t>42</w:t>
            </w:r>
          </w:p>
        </w:tc>
      </w:tr>
      <w:tr>
        <w:trPr>
          <w:trHeight w:val="209"/>
        </w:trPr>
        <w:tc>
          <w:tcPr>
            <w:tcW w:w="20" w:type="dxa"/>
            <w:vAlign w:val="bottom"/>
          </w:tcPr>
          <w:p>
            <w:pPr>
              <w:spacing w:after="0"/>
              <w:rPr>
                <w:sz w:val="18"/>
                <w:szCs w:val="18"/>
                <w:color w:val="auto"/>
              </w:rPr>
            </w:pPr>
          </w:p>
        </w:tc>
        <w:tc>
          <w:tcPr>
            <w:tcW w:w="9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0"/>
              </w:rPr>
              <w:t>EXPENSES</w:t>
            </w:r>
          </w:p>
        </w:tc>
        <w:tc>
          <w:tcPr>
            <w:tcW w:w="1820" w:type="dxa"/>
            <w:vAlign w:val="bottom"/>
            <w:tcBorders>
              <w:top w:val="single" w:sz="8" w:color="0000FF"/>
            </w:tcBorders>
            <w:gridSpan w:val="9"/>
          </w:tcPr>
          <w:p>
            <w:pPr>
              <w:spacing w:after="0"/>
              <w:rPr>
                <w:sz w:val="18"/>
                <w:szCs w:val="18"/>
                <w:color w:val="auto"/>
              </w:rPr>
            </w:pPr>
          </w:p>
        </w:tc>
        <w:tc>
          <w:tcPr>
            <w:tcW w:w="6100" w:type="dxa"/>
            <w:vAlign w:val="bottom"/>
            <w:gridSpan w:val="6"/>
          </w:tcPr>
          <w:p>
            <w:pPr>
              <w:spacing w:after="0"/>
              <w:rPr>
                <w:sz w:val="18"/>
                <w:szCs w:val="18"/>
                <w:color w:val="auto"/>
              </w:rPr>
            </w:pPr>
          </w:p>
        </w:tc>
        <w:tc>
          <w:tcPr>
            <w:tcW w:w="2400" w:type="dxa"/>
            <w:vAlign w:val="bottom"/>
          </w:tcPr>
          <w:p>
            <w:pPr>
              <w:ind w:left="1420"/>
              <w:spacing w:after="0"/>
              <w:rPr>
                <w:sz w:val="20"/>
                <w:szCs w:val="20"/>
                <w:color w:val="auto"/>
              </w:rPr>
            </w:pPr>
            <w:r>
              <w:rPr>
                <w:rFonts w:ascii="Arial" w:cs="Arial" w:eastAsia="Arial" w:hAnsi="Arial"/>
                <w:sz w:val="18"/>
                <w:szCs w:val="18"/>
                <w:color w:val="auto"/>
              </w:rPr>
              <w:t>43</w:t>
            </w:r>
          </w:p>
        </w:tc>
      </w:tr>
      <w:tr>
        <w:trPr>
          <w:trHeight w:val="210"/>
        </w:trPr>
        <w:tc>
          <w:tcPr>
            <w:tcW w:w="20" w:type="dxa"/>
            <w:vAlign w:val="bottom"/>
          </w:tcPr>
          <w:p>
            <w:pPr>
              <w:spacing w:after="0"/>
              <w:rPr>
                <w:sz w:val="18"/>
                <w:szCs w:val="18"/>
                <w:color w:val="auto"/>
              </w:rPr>
            </w:pPr>
          </w:p>
        </w:tc>
        <w:tc>
          <w:tcPr>
            <w:tcW w:w="14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6"/>
              </w:rPr>
              <w:t>LEGAL MATTERS</w:t>
            </w:r>
          </w:p>
        </w:tc>
        <w:tc>
          <w:tcPr>
            <w:tcW w:w="7360" w:type="dxa"/>
            <w:vAlign w:val="bottom"/>
            <w:gridSpan w:val="12"/>
          </w:tcPr>
          <w:p>
            <w:pPr>
              <w:spacing w:after="0"/>
              <w:rPr>
                <w:sz w:val="18"/>
                <w:szCs w:val="18"/>
                <w:color w:val="auto"/>
              </w:rPr>
            </w:pPr>
          </w:p>
        </w:tc>
        <w:tc>
          <w:tcPr>
            <w:tcW w:w="2400" w:type="dxa"/>
            <w:vAlign w:val="bottom"/>
          </w:tcPr>
          <w:p>
            <w:pPr>
              <w:ind w:left="1420"/>
              <w:spacing w:after="0"/>
              <w:rPr>
                <w:sz w:val="20"/>
                <w:szCs w:val="20"/>
                <w:color w:val="auto"/>
              </w:rPr>
            </w:pPr>
            <w:r>
              <w:rPr>
                <w:rFonts w:ascii="Arial" w:cs="Arial" w:eastAsia="Arial" w:hAnsi="Arial"/>
                <w:sz w:val="18"/>
                <w:szCs w:val="18"/>
                <w:color w:val="auto"/>
              </w:rPr>
              <w:t>44</w:t>
            </w:r>
          </w:p>
        </w:tc>
      </w:tr>
      <w:tr>
        <w:trPr>
          <w:trHeight w:val="209"/>
        </w:trPr>
        <w:tc>
          <w:tcPr>
            <w:tcW w:w="20" w:type="dxa"/>
            <w:vAlign w:val="bottom"/>
          </w:tcPr>
          <w:p>
            <w:pPr>
              <w:spacing w:after="0"/>
              <w:rPr>
                <w:sz w:val="18"/>
                <w:szCs w:val="18"/>
                <w:color w:val="auto"/>
              </w:rPr>
            </w:pPr>
          </w:p>
        </w:tc>
        <w:tc>
          <w:tcPr>
            <w:tcW w:w="7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EXPERTS</w:t>
            </w:r>
          </w:p>
        </w:tc>
        <w:tc>
          <w:tcPr>
            <w:tcW w:w="8040" w:type="dxa"/>
            <w:vAlign w:val="bottom"/>
            <w:gridSpan w:val="16"/>
          </w:tcPr>
          <w:p>
            <w:pPr>
              <w:spacing w:after="0"/>
              <w:rPr>
                <w:sz w:val="18"/>
                <w:szCs w:val="18"/>
                <w:color w:val="auto"/>
              </w:rPr>
            </w:pPr>
          </w:p>
        </w:tc>
        <w:tc>
          <w:tcPr>
            <w:tcW w:w="2400" w:type="dxa"/>
            <w:vAlign w:val="bottom"/>
          </w:tcPr>
          <w:p>
            <w:pPr>
              <w:ind w:left="1420"/>
              <w:spacing w:after="0"/>
              <w:rPr>
                <w:sz w:val="20"/>
                <w:szCs w:val="20"/>
                <w:color w:val="auto"/>
              </w:rPr>
            </w:pPr>
            <w:r>
              <w:rPr>
                <w:rFonts w:ascii="Arial" w:cs="Arial" w:eastAsia="Arial" w:hAnsi="Arial"/>
                <w:sz w:val="18"/>
                <w:szCs w:val="18"/>
                <w:color w:val="auto"/>
              </w:rPr>
              <w:t>44</w:t>
            </w:r>
          </w:p>
        </w:tc>
      </w:tr>
      <w:tr>
        <w:trPr>
          <w:trHeight w:val="210"/>
        </w:trPr>
        <w:tc>
          <w:tcPr>
            <w:tcW w:w="20" w:type="dxa"/>
            <w:vAlign w:val="bottom"/>
          </w:tcPr>
          <w:p>
            <w:pPr>
              <w:spacing w:after="0"/>
              <w:rPr>
                <w:sz w:val="18"/>
                <w:szCs w:val="18"/>
                <w:color w:val="auto"/>
              </w:rPr>
            </w:pPr>
          </w:p>
        </w:tc>
        <w:tc>
          <w:tcPr>
            <w:tcW w:w="8820" w:type="dxa"/>
            <w:vAlign w:val="bottom"/>
            <w:gridSpan w:val="17"/>
          </w:tcPr>
          <w:p>
            <w:pPr>
              <w:spacing w:after="0"/>
              <w:rPr>
                <w:sz w:val="20"/>
                <w:szCs w:val="20"/>
                <w:color w:val="auto"/>
              </w:rPr>
            </w:pPr>
            <w:r>
              <w:rPr>
                <w:rFonts w:ascii="Arial" w:cs="Arial" w:eastAsia="Arial" w:hAnsi="Arial"/>
                <w:sz w:val="18"/>
                <w:szCs w:val="18"/>
                <w:color w:val="0000FF"/>
              </w:rPr>
              <w:t>INCORPORATION BY REFERENCE</w:t>
            </w:r>
          </w:p>
        </w:tc>
        <w:tc>
          <w:tcPr>
            <w:tcW w:w="2400" w:type="dxa"/>
            <w:vAlign w:val="bottom"/>
          </w:tcPr>
          <w:p>
            <w:pPr>
              <w:ind w:left="1420"/>
              <w:spacing w:after="0"/>
              <w:rPr>
                <w:sz w:val="20"/>
                <w:szCs w:val="20"/>
                <w:color w:val="auto"/>
              </w:rPr>
            </w:pPr>
            <w:r>
              <w:rPr>
                <w:rFonts w:ascii="Arial" w:cs="Arial" w:eastAsia="Arial" w:hAnsi="Arial"/>
                <w:sz w:val="18"/>
                <w:szCs w:val="18"/>
                <w:color w:val="auto"/>
              </w:rPr>
              <w:t>44</w:t>
            </w:r>
          </w:p>
        </w:tc>
      </w:tr>
      <w:tr>
        <w:trPr>
          <w:trHeight w:val="2093"/>
        </w:trPr>
        <w:tc>
          <w:tcPr>
            <w:tcW w:w="2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This prospectus is part of a registration statement on Form F-3 that we filed with the U.S. Securities and Exchange Commission (the “SEC”) using a “shelf” registration process. By using a shelf registration statement, the selling securityholders may sell Ordinary Shares as described in this prospectus, from time to time, in one or more offerings. To the extent permitted by law, we may also file or authorize one or more prospectus supplements and/or free writing prospectuses to be provided to you that may contain material information relating to these offerings. The prospectus supplement and/or free writing prospectus may also add, update or change information contained in this prospectus. Any statement made in this prospectus will be modified or superseded by any inconsistent statement made in a prospectus supplement and/or free writing prospectus.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2" w:lineRule="exact"/>
        <w:rPr>
          <w:sz w:val="20"/>
          <w:szCs w:val="20"/>
          <w:color w:val="auto"/>
        </w:rPr>
      </w:pPr>
    </w:p>
    <w:p>
      <w:pPr>
        <w:ind w:firstLine="1109"/>
        <w:spacing w:after="0" w:line="285" w:lineRule="auto"/>
        <w:rPr>
          <w:sz w:val="20"/>
          <w:szCs w:val="20"/>
          <w:color w:val="auto"/>
        </w:rPr>
      </w:pPr>
      <w:r>
        <w:rPr>
          <w:rFonts w:ascii="Arial" w:cs="Arial" w:eastAsia="Arial" w:hAnsi="Arial"/>
          <w:sz w:val="16"/>
          <w:szCs w:val="16"/>
          <w:color w:val="auto"/>
        </w:rPr>
        <w:t>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The selling securityholders will not make an offer to sell these securities in any jurisdiction where the offer or sale is not permitted.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00" w:firstLine="749"/>
        <w:spacing w:after="0" w:line="301" w:lineRule="auto"/>
        <w:rPr>
          <w:sz w:val="20"/>
          <w:szCs w:val="20"/>
          <w:color w:val="auto"/>
        </w:rPr>
      </w:pPr>
      <w:r>
        <w:rPr>
          <w:rFonts w:ascii="Arial" w:cs="Arial" w:eastAsia="Arial" w:hAnsi="Arial"/>
          <w:sz w:val="16"/>
          <w:szCs w:val="16"/>
          <w:color w:val="auto"/>
        </w:rPr>
        <w:t>We file annual reports on Form 20-F, reports on Form 6-K, and other information with the SEC under the Securities Exchange Act of 1934, as amended, or the Exchange Act. The SEC maintains an Internet site that contains reports and other information about issuers like us who file electronically with the SEC. The address of the site is http://www.sec.gov. Copies of certain information filed by us with the SEC are also available on our website at http://www.pharvaris.com. Our website is not a part of this prospectus and is not incorporated by reference in this prospectus.</w:t>
      </w:r>
    </w:p>
    <w:p>
      <w:pPr>
        <w:spacing w:after="0" w:line="157"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88" w:lineRule="exact"/>
        <w:rPr>
          <w:sz w:val="20"/>
          <w:szCs w:val="20"/>
          <w:color w:val="auto"/>
        </w:rPr>
      </w:pPr>
    </w:p>
    <w:p>
      <w:pPr>
        <w:ind w:right="80" w:firstLine="749"/>
        <w:spacing w:after="0" w:line="301"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managing directors and supervisory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We report under International Financial Reporting Standards (“IFRS”), as issued by the International Accounting Standards Board (the “IASB”). None of the financial statements incorporated by reference herein were prepared in accordance with generally accepted accounting principles in the United States. We present our consolidated financial statements in euros and in accordance with IFRS as issued by the IASB. We have made rounding adjustments to some of the figures included in this prospectus. Accordingly, numerical figures shown as totals in some tables may not be an arithmetic aggregation of the figures that preceded them.</w:t>
      </w:r>
    </w:p>
    <w:p>
      <w:pPr>
        <w:spacing w:after="0" w:line="188"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Unless otherwise indicated, all references in this prospectus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 xml:space="preserve">All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w:t>
      </w:r>
      <w:r>
        <w:rPr>
          <w:rFonts w:ascii="Arial" w:cs="Arial" w:eastAsia="Arial" w:hAnsi="Arial"/>
          <w:sz w:val="21"/>
          <w:szCs w:val="21"/>
          <w:color w:val="auto"/>
          <w:vertAlign w:val="superscript"/>
        </w:rPr>
        <w:t>™</w:t>
      </w:r>
      <w:r>
        <w:rPr>
          <w:rFonts w:ascii="Arial" w:cs="Arial" w:eastAsia="Arial" w:hAnsi="Arial"/>
          <w:sz w:val="16"/>
          <w:szCs w:val="16"/>
          <w:color w:val="auto"/>
        </w:rPr>
        <w:t>,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This prospectus and the financial statements and other documents incorporated by reference in this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of 1933, as amended (the “Securities Act”) and Section 21E of the Securities Exchange Act of 1934, as amended (the “Exchange Act”). Many of the forward-looking statements contained in this prospectus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65"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The following represent some, but not necessarily all, of the factors that could cause actual results to differ from historical results or those anticipated or predicted by our forward-looking statements:</w:t>
      </w:r>
    </w:p>
    <w:p>
      <w:pPr>
        <w:spacing w:after="0" w:line="170" w:lineRule="exact"/>
        <w:rPr>
          <w:sz w:val="20"/>
          <w:szCs w:val="20"/>
          <w:color w:val="auto"/>
        </w:rPr>
      </w:pPr>
    </w:p>
    <w:p>
      <w:pPr>
        <w:ind w:left="1140" w:right="180" w:hanging="383"/>
        <w:spacing w:after="0" w:line="277"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uncertainty in the outcome of our interactions with regulatory authorities, including the U.S. Food and Drug Administration (the “FDA”), with respect to the clinical hold on prophylactic PHA121, or deucrictibant, clinical trials in the U.S.;</w:t>
      </w:r>
    </w:p>
    <w:p>
      <w:pPr>
        <w:spacing w:after="0" w:line="170" w:lineRule="exact"/>
        <w:rPr>
          <w:rFonts w:ascii="Arial" w:cs="Arial" w:eastAsia="Arial" w:hAnsi="Arial"/>
          <w:sz w:val="18"/>
          <w:szCs w:val="18"/>
          <w:color w:val="auto"/>
        </w:rPr>
      </w:pPr>
    </w:p>
    <w:p>
      <w:pPr>
        <w:ind w:left="1140" w:right="120" w:hanging="383"/>
        <w:spacing w:after="0" w:line="277"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timing, progress, or success of our clinical development programs, especially for PHVS416 and PHVS719, which are in mid-stage global clinical trials;</w:t>
      </w:r>
    </w:p>
    <w:p>
      <w:pPr>
        <w:spacing w:after="0" w:line="170" w:lineRule="exact"/>
        <w:rPr>
          <w:rFonts w:ascii="Arial" w:cs="Arial" w:eastAsia="Arial" w:hAnsi="Arial"/>
          <w:sz w:val="18"/>
          <w:szCs w:val="18"/>
          <w:color w:val="auto"/>
        </w:rPr>
      </w:pPr>
    </w:p>
    <w:p>
      <w:pPr>
        <w:ind w:left="1140" w:right="180" w:hanging="383"/>
        <w:spacing w:after="0" w:line="277"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arising from epidemic diseases, such as the COVID-19 pandemic, which may adversely impact our business, nonclinical studies and clinical trials, the timing of regulatory approvals and the value of our ordinary shares;</w:t>
      </w:r>
    </w:p>
    <w:p>
      <w:pPr>
        <w:spacing w:after="0" w:line="170" w:lineRule="exact"/>
        <w:rPr>
          <w:rFonts w:ascii="Arial" w:cs="Arial" w:eastAsia="Arial" w:hAnsi="Arial"/>
          <w:sz w:val="18"/>
          <w:szCs w:val="18"/>
          <w:color w:val="auto"/>
        </w:rPr>
      </w:pPr>
    </w:p>
    <w:p>
      <w:pPr>
        <w:ind w:left="1140" w:right="340" w:hanging="383"/>
        <w:spacing w:after="0" w:line="277"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timing and results of the rodent toxicology study and our ability to resolve any issues to the satisfaction of the FDA or any regulatory agency in a timely manner;</w:t>
      </w:r>
    </w:p>
    <w:p>
      <w:pPr>
        <w:spacing w:after="0" w:line="170" w:lineRule="exact"/>
        <w:rPr>
          <w:rFonts w:ascii="Arial" w:cs="Arial" w:eastAsia="Arial" w:hAnsi="Arial"/>
          <w:sz w:val="18"/>
          <w:szCs w:val="18"/>
          <w:color w:val="auto"/>
        </w:rPr>
      </w:pPr>
    </w:p>
    <w:p>
      <w:pPr>
        <w:ind w:left="1140" w:right="40" w:hanging="383"/>
        <w:spacing w:after="0" w:line="277"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costs and other limitations involved in obtaining regulatory approval for our product candidates PHVS416 and PHVS719 or any other product candidate that we may develop in the future;</w:t>
      </w:r>
    </w:p>
    <w:p>
      <w:pPr>
        <w:spacing w:after="0" w:line="170"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170" w:lineRule="exact"/>
        <w:rPr>
          <w:rFonts w:ascii="Arial" w:cs="Arial" w:eastAsia="Arial" w:hAnsi="Arial"/>
          <w:sz w:val="18"/>
          <w:szCs w:val="18"/>
          <w:color w:val="auto"/>
        </w:rPr>
      </w:pPr>
    </w:p>
    <w:p>
      <w:pPr>
        <w:ind w:left="1140" w:right="680" w:hanging="383"/>
        <w:spacing w:after="0" w:line="277"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establish commercial capabilities or enter into agreements with third parties to market, sell and distribute our product candidates;</w:t>
      </w:r>
    </w:p>
    <w:p>
      <w:pPr>
        <w:spacing w:after="0" w:line="170" w:lineRule="exact"/>
        <w:rPr>
          <w:rFonts w:ascii="Arial" w:cs="Arial" w:eastAsia="Arial" w:hAnsi="Arial"/>
          <w:sz w:val="18"/>
          <w:szCs w:val="18"/>
          <w:color w:val="auto"/>
        </w:rPr>
      </w:pPr>
    </w:p>
    <w:p>
      <w:pPr>
        <w:ind w:left="1140" w:right="100" w:hanging="383"/>
        <w:spacing w:after="0" w:line="277"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 parties to perform critical activities related to the research, nonclinical safety and toxicology studies, development and manufacturing of our product candidates;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w:t>
      </w:r>
    </w:p>
    <w:p>
      <w:pPr>
        <w:spacing w:after="0" w:line="225" w:lineRule="exact"/>
        <w:rPr>
          <w:rFonts w:ascii="Arial" w:cs="Arial" w:eastAsia="Arial" w:hAnsi="Arial"/>
          <w:sz w:val="18"/>
          <w:szCs w:val="18"/>
          <w:color w:val="auto"/>
        </w:rPr>
      </w:pPr>
    </w:p>
    <w:p>
      <w:pPr>
        <w:ind w:left="1140" w:right="40" w:hanging="383"/>
        <w:spacing w:after="0" w:line="277"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enter into any new licensing agreements or to maintain any licensing agreements with respect to our product candidates;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ind w:left="1140" w:hanging="383"/>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collaboration partners and licensees, whose actions we cannot control;</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willingness of private insurers and other payors to provide reimbursement for our products;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and other jurisdictions;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and timing of price negotiations with governmental authorities;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the pharmaceutical industry and with competitive generic products;</w:t>
      </w:r>
    </w:p>
    <w:p>
      <w:pPr>
        <w:spacing w:after="0" w:line="225" w:lineRule="exact"/>
        <w:rPr>
          <w:rFonts w:ascii="Arial" w:cs="Arial" w:eastAsia="Arial" w:hAnsi="Arial"/>
          <w:sz w:val="18"/>
          <w:szCs w:val="18"/>
          <w:color w:val="auto"/>
        </w:rPr>
      </w:pPr>
    </w:p>
    <w:p>
      <w:pPr>
        <w:ind w:left="1140" w:right="120" w:hanging="383"/>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know-how and operate our business without infringing the intellectual property rights or regulatory exclusivity of others;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side effects or adverse events associated with the use of our product candidates;</w:t>
      </w:r>
    </w:p>
    <w:p>
      <w:pPr>
        <w:spacing w:after="0" w:line="225" w:lineRule="exact"/>
        <w:rPr>
          <w:rFonts w:ascii="Arial" w:cs="Arial" w:eastAsia="Arial" w:hAnsi="Arial"/>
          <w:sz w:val="18"/>
          <w:szCs w:val="18"/>
          <w:color w:val="auto"/>
        </w:rPr>
      </w:pPr>
    </w:p>
    <w:p>
      <w:pPr>
        <w:ind w:left="1140" w:right="360" w:hanging="383"/>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defend against costly and damaging liability claims resulting from the testing of our product candidates in the clinic or, if, approved, any commercial sales;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any of our key personnel;</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of market sizes and anticipated uses of our product candidates;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of future performance;</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248" w:lineRule="exact"/>
        <w:rPr>
          <w:rFonts w:ascii="Arial" w:cs="Arial" w:eastAsia="Arial" w:hAnsi="Arial"/>
          <w:sz w:val="16"/>
          <w:szCs w:val="16"/>
          <w:color w:val="auto"/>
        </w:rPr>
      </w:pPr>
    </w:p>
    <w:p>
      <w:pPr>
        <w:ind w:left="1140" w:hanging="383"/>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existing or future laws and regulations in a cost-efficient manner;</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negative consequences from changes in applicable laws and regulations, including tax laws;</w:t>
      </w:r>
    </w:p>
    <w:p>
      <w:pPr>
        <w:spacing w:after="0" w:line="225" w:lineRule="exact"/>
        <w:rPr>
          <w:rFonts w:ascii="Arial" w:cs="Arial" w:eastAsia="Arial" w:hAnsi="Arial"/>
          <w:sz w:val="18"/>
          <w:szCs w:val="18"/>
          <w:color w:val="auto"/>
        </w:rPr>
      </w:pPr>
    </w:p>
    <w:p>
      <w:pPr>
        <w:ind w:left="1140" w:right="280" w:hanging="383"/>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remediate the material weaknesses in our internal control over financial reporting and to maintain an effective system of internal control over financial reporting;</w:t>
      </w:r>
    </w:p>
    <w:p>
      <w:pPr>
        <w:spacing w:after="0" w:line="170" w:lineRule="exact"/>
        <w:rPr>
          <w:rFonts w:ascii="Arial" w:cs="Arial" w:eastAsia="Arial" w:hAnsi="Arial"/>
          <w:sz w:val="18"/>
          <w:szCs w:val="18"/>
          <w:color w:val="auto"/>
        </w:rPr>
      </w:pPr>
    </w:p>
    <w:p>
      <w:pPr>
        <w:ind w:left="1140" w:right="140" w:hanging="383"/>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 (the “JOBS Act”) or a foreign private issuer;</w:t>
      </w:r>
    </w:p>
    <w:p>
      <w:pPr>
        <w:spacing w:after="0" w:line="170" w:lineRule="exact"/>
        <w:rPr>
          <w:rFonts w:ascii="Arial" w:cs="Arial" w:eastAsia="Arial" w:hAnsi="Arial"/>
          <w:sz w:val="18"/>
          <w:szCs w:val="18"/>
          <w:color w:val="auto"/>
        </w:rPr>
      </w:pPr>
    </w:p>
    <w:p>
      <w:pPr>
        <w:ind w:left="1140" w:right="420" w:hanging="383"/>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and uncertainty in general market, political and economic conditions, including as a result of inflation and the current conflict between Russia and Ukraine; and</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 factors discussed herein under “Risk Factors” or incorporated herein by reference.</w:t>
      </w:r>
    </w:p>
    <w:p>
      <w:pPr>
        <w:spacing w:after="0" w:line="225"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6956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6956425"/>
                    </a:xfrm>
                    <a:prstGeom prst="rect">
                      <a:avLst/>
                    </a:prstGeom>
                    <a:noFill/>
                  </pic:spPr>
                </pic:pic>
              </a:graphicData>
            </a:graphic>
          </wp:anchor>
        </w:drawing>
        <w:t>PROSPECTUS SUMMARY</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related to this offering discussed under “Risk Factors” beginning on page 8 of this prospectus, along with the other risk factors, our consolidated financial statements and notes to those consolidated financial statements and the other information incorporated by reference in this prospectus.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PHARVARIS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right="360" w:firstLine="648"/>
        <w:spacing w:after="0" w:line="287"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 B2-receptor antagonist for the treatment of hereditary angioedema (“HAE”).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Bradykinin-B2-receptor inhibition is a clinically validated mechanism for the treatment of HAE, as demonstrated by icatibant, which is a bradykinin B2-receptor antagonist approved in Europe in 2008 and in the United States in 2011 (as FIRAZYR). We designed deucrictibant to improve upon the therapeutic profile of existing therapies and, through oral delivery, to provide patients with quality of life and ease-of-administration that is superior to current standard-of-care HAE treatments, which are injectables. We believe deucrictibant has the potential to provide a safe, effective and easy-to-administer option for both acute and prophylactic treatments of HAE, in the form of our PHVS416 (deucrictibant immediate-release (IR)) on-demand rapid exposure product candidate, and for prophylaxis of HAE, in the form of our PHVS719 (deucrictibant extended-release (ER)) small daily dose extended-release product candidate. We believe that our product candidates may address a broader range of angioedema attacks than other available treatments since deucrictibant blocks the actual signal that leads to angioedema (the interaction of bradykinin (“BK”) with the bradykinin B2 receptor), rather than an upstream signal. By blocking the action of bradykinin, we can prevent its aberrant signaling regardless of the pathway that generates it.</w:t>
      </w:r>
    </w:p>
    <w:p>
      <w:pPr>
        <w:spacing w:after="0" w:line="1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our completed Phase 1 trials to date, we have observed that deucrictibant was orally bioavailable and well tolerated at all doses studied, with approximately dose-proportional exposure. We also have successfully demonstrated proof-of-mechanism through a clinical pharmacodynamics (“PD”) assessment with the bradykinin challenge, which had been utilized as a validated surrogate assessment for dose selection in the icatibant development program.</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also commenced the CHAPTER-1 Phase 2 clinical trial for prophylaxis in 2021 using twice-daily dosing of the PHVS416 soft capsules. Our primary objective with this trial is to assess the efficacy and safety profile of PHVS416 dose regimens for prophylactic treatments in HAE patients. We expect to have Phase 2 data from CHAPTER-1 by the end of 2023.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 xml:space="preserve">The offices of Pharvaris N.V. are located at Emmy Noetherweg 2, 2333 BK Leiden, The Netherlands. Our telephone number is +31 (0)71 203 6410. Investors should contact us for any inquiries at the address and telephone number of our principal executive office. Our principal website is </w:t>
      </w:r>
      <w:r>
        <w:rPr>
          <w:rFonts w:ascii="Arial" w:cs="Arial" w:eastAsia="Arial" w:hAnsi="Arial"/>
          <w:sz w:val="18"/>
          <w:szCs w:val="18"/>
          <w:i w:val="1"/>
          <w:iCs w:val="1"/>
          <w:color w:val="auto"/>
        </w:rPr>
        <w:t>www.pharvaris.com</w:t>
      </w:r>
      <w:r>
        <w:rPr>
          <w:rFonts w:ascii="Arial" w:cs="Arial" w:eastAsia="Arial" w:hAnsi="Arial"/>
          <w:sz w:val="18"/>
          <w:szCs w:val="18"/>
          <w:color w:val="auto"/>
        </w:rPr>
        <w:t>. The information contained on our website is not a part of this prospectus.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60" w:top="526" w:right="5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5996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996305"/>
                    </a:xfrm>
                    <a:prstGeom prst="rect">
                      <a:avLst/>
                    </a:prstGeom>
                    <a:noFill/>
                  </pic:spPr>
                </pic:pic>
              </a:graphicData>
            </a:graphic>
          </wp:anchor>
        </w:drawing>
        <w:t>Implications of Being an “Emerging Growth Company” and a Foreign Private Issuer</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qualify as an “emerging growth company” as defined in the JOBS Act. An emerging growth company may take advantage of relief from certain reporting requirements and other burdens that are otherwise applicable generally to public companies. These provisions include an exception from compliance with the auditor attestation requirements of Section 404 of the Sarbanes Oxley Act of 2002, as amended.</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may take advantage of these provisions until such time that we cease to qualify as an emerging growth company. We would cease to qualify as an emerging growth company upon the earliest of: (i) the last day of the fiscal year (A) in which we had more than $1.235 billion in annual revenue, (B) we are deemed to be a “large accelerated filer” under the rules of the SEC, or (C) following the fifth anniversary of the date of the completion of our initial public offering (ii) the date on which we issue more than $1.0 billion of non-convertible debt over a three-year period. We may choose to take advantage of some but not all of these reduced reporting requirements. To the extent that we take advantage of these reduced reporting requirements, the information that we provide shareholders may be different than the information you might obtain from other public companies in which you hold equity interests.</w:t>
      </w:r>
    </w:p>
    <w:p>
      <w:pPr>
        <w:spacing w:after="0" w:line="195"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We also report under the Exchange Act, as a non-U.S. company with foreign private issuer status. Even after we no longer qualify as an emerging growth company, as long as we qualify as a foreign private issuer under the Exchange Act we will continue to be exempt from certain provisions of the Exchange Act that are applicable to U.S. domestic public companies, including, but not limited to:</w:t>
      </w:r>
    </w:p>
    <w:p>
      <w:pPr>
        <w:spacing w:after="0" w:line="165" w:lineRule="exact"/>
        <w:rPr>
          <w:sz w:val="20"/>
          <w:szCs w:val="20"/>
          <w:color w:val="auto"/>
        </w:rPr>
      </w:pPr>
    </w:p>
    <w:p>
      <w:pPr>
        <w:ind w:left="1020" w:hanging="37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rules under the Exchange Act requiring domestic filers to issue financial statements prepared under U.S. GAAP;</w:t>
      </w:r>
    </w:p>
    <w:p>
      <w:pPr>
        <w:spacing w:after="0" w:line="225" w:lineRule="exact"/>
        <w:rPr>
          <w:rFonts w:ascii="Arial" w:cs="Arial" w:eastAsia="Arial" w:hAnsi="Arial"/>
          <w:sz w:val="18"/>
          <w:szCs w:val="18"/>
          <w:color w:val="auto"/>
        </w:rPr>
      </w:pPr>
    </w:p>
    <w:p>
      <w:pPr>
        <w:ind w:left="1020" w:right="340" w:hanging="370"/>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1020" w:right="60" w:hanging="370"/>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70" w:lineRule="exact"/>
        <w:rPr>
          <w:rFonts w:ascii="Arial" w:cs="Arial" w:eastAsia="Arial" w:hAnsi="Arial"/>
          <w:sz w:val="18"/>
          <w:szCs w:val="18"/>
          <w:color w:val="auto"/>
        </w:rPr>
      </w:pPr>
    </w:p>
    <w:p>
      <w:pPr>
        <w:ind w:left="1020" w:right="200" w:hanging="370"/>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146"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would cease to be a foreign private issuer at such time as (i) more than 50% of our outstanding voting securities are held by U.S. residents and (ii) any of the following three circumstances applies: (A) the majority of our executive officers or directors are U.S. citizens or residents, (B) more than 50% of our assets are located in the United States or (C) our business is administered principally in the United States.</w:t>
      </w:r>
    </w:p>
    <w:p>
      <w:pPr>
        <w:spacing w:after="0" w:line="17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560" w:top="526" w:right="579" w:bottom="1440" w:gutter="0" w:footer="0" w:header="0"/>
        </w:sectPr>
      </w:pPr>
    </w:p>
    <w:bookmarkStart w:id="8" w:name="page9"/>
    <w:bookmarkEnd w:id="8"/>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Ordinary Shares that may be offered and sold from time to time by the selling securityholders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ind w:left="138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-241300</wp:posOffset>
            </wp:positionV>
            <wp:extent cx="7136130" cy="3613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6131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6,951,340 Ordinary Shares that were issued to the selling securityholders in a private placement pursuant to the Subscription Agreement.</w:t>
      </w:r>
    </w:p>
    <w:p>
      <w:pPr>
        <w:spacing w:after="0" w:line="200" w:lineRule="exact"/>
        <w:rPr>
          <w:sz w:val="20"/>
          <w:szCs w:val="20"/>
          <w:color w:val="auto"/>
        </w:rPr>
      </w:pPr>
    </w:p>
    <w:p>
      <w:pPr>
        <w:spacing w:after="0" w:line="21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All of the Ordinary Shares offered by the selling securityholders pursuant to this prospectus will be sold by the selling securityholders for their respective accounts. We will not receive any of the proceeds from such sales.</w:t>
      </w:r>
    </w:p>
    <w:p>
      <w:pPr>
        <w:spacing w:after="0" w:line="200" w:lineRule="exact"/>
        <w:rPr>
          <w:sz w:val="20"/>
          <w:szCs w:val="20"/>
          <w:color w:val="auto"/>
        </w:rPr>
      </w:pPr>
    </w:p>
    <w:p>
      <w:pPr>
        <w:sectPr>
          <w:pgSz w:w="11900" w:h="16838" w:orient="portrait"/>
          <w:cols w:equalWidth="0" w:num="2">
            <w:col w:w="2920" w:space="300"/>
            <w:col w:w="7300"/>
          </w:cols>
          <w:pgMar w:left="660" w:top="526" w:right="719" w:bottom="1440" w:gutter="0" w:footer="0" w:header="0"/>
        </w:sectPr>
      </w:pPr>
    </w:p>
    <w:p>
      <w:pPr>
        <w:spacing w:after="0" w:line="11" w:lineRule="exact"/>
        <w:rPr>
          <w:sz w:val="20"/>
          <w:szCs w:val="20"/>
          <w:color w:val="auto"/>
        </w:rPr>
      </w:pPr>
    </w:p>
    <w:p>
      <w:pPr>
        <w:spacing w:after="0"/>
        <w:tabs>
          <w:tab w:leader="none" w:pos="320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read the “Risk Factors” section of this prospectus, as well as those risks and uncertainties</w:t>
      </w:r>
    </w:p>
    <w:p>
      <w:pPr>
        <w:spacing w:after="0" w:line="23" w:lineRule="exact"/>
        <w:rPr>
          <w:sz w:val="20"/>
          <w:szCs w:val="20"/>
          <w:color w:val="auto"/>
        </w:rPr>
      </w:pPr>
    </w:p>
    <w:p>
      <w:pPr>
        <w:ind w:left="3220"/>
        <w:spacing w:after="0" w:line="255" w:lineRule="auto"/>
        <w:rPr>
          <w:sz w:val="20"/>
          <w:szCs w:val="20"/>
          <w:color w:val="auto"/>
        </w:rPr>
      </w:pPr>
      <w:r>
        <w:rPr>
          <w:rFonts w:ascii="Arial" w:cs="Arial" w:eastAsia="Arial" w:hAnsi="Arial"/>
          <w:sz w:val="18"/>
          <w:szCs w:val="18"/>
          <w:color w:val="auto"/>
        </w:rPr>
        <w:t>identified in the documents incorporated by reference herein, including our most recent Annual Report on Form 20-F, for a discussion of factors to consider carefully before deciding to purchase our Ordinary Shares.</w:t>
      </w:r>
    </w:p>
    <w:p>
      <w:pPr>
        <w:spacing w:after="0" w:line="217" w:lineRule="exact"/>
        <w:rPr>
          <w:sz w:val="20"/>
          <w:szCs w:val="20"/>
          <w:color w:val="auto"/>
        </w:rPr>
      </w:pPr>
    </w:p>
    <w:p>
      <w:pPr>
        <w:spacing w:after="0"/>
        <w:tabs>
          <w:tab w:leader="none" w:pos="3200" w:val="left"/>
        </w:tabs>
        <w:rPr>
          <w:sz w:val="20"/>
          <w:szCs w:val="20"/>
          <w:color w:val="auto"/>
        </w:rPr>
      </w:pPr>
      <w:r>
        <w:rPr>
          <w:rFonts w:ascii="Arial" w:cs="Arial" w:eastAsia="Arial" w:hAnsi="Arial"/>
          <w:sz w:val="18"/>
          <w:szCs w:val="18"/>
          <w:color w:val="auto"/>
        </w:rPr>
        <w:t>The Nasdaq Global Select Market</w:t>
      </w:r>
      <w:r>
        <w:rPr>
          <w:sz w:val="20"/>
          <w:szCs w:val="20"/>
          <w:color w:val="auto"/>
        </w:rPr>
        <w:tab/>
      </w:r>
      <w:r>
        <w:rPr>
          <w:rFonts w:ascii="Arial" w:cs="Arial" w:eastAsia="Arial" w:hAnsi="Arial"/>
          <w:sz w:val="17"/>
          <w:szCs w:val="17"/>
          <w:color w:val="auto"/>
        </w:rPr>
        <w:t>“PHVS.”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Symbol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60" w:top="526" w:right="71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Investing in our securities involves risks. Before making a decision to invest in our securities, you should carefully consider the risks described under “Risk Factors” in the applicable prospectus supplement, as well as those risks and uncertainties identified in the documents incorporated by reference herein, including our most recent Annual Report on Form 20-F, and in any updates to those risk factors in our reports on Form 6-K incorporated herein, together with all of the other information appearing or incorporated by reference in this prospectus and any applicable prospectus supplement, before making an investment in our securities in light of your particular investment objectives and financial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All of the Ordinary Shares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“Plan of Distribution.” The selling securityholders will bear all commissions and discounts, if any, attributable to their sales of Ordinary Shares.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This prospectus relates to the possible offer and sale from time to time of up to 6,951,340 Ordinary Shares. The selling securityholders acquired the Ordinary Shares pursuant to the Subscription Agreement.</w:t>
      </w:r>
    </w:p>
    <w:p>
      <w:pPr>
        <w:spacing w:after="0" w:line="170"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The selling securityholders may from time to time offer and sell any or all of the Ordinary Shares set forth below pursuant to this prospectus. When we refer to the “selling securityholders” in this prospectus, we mean the entities listed in the tables below, and the permitted transferees of such entities who later come to hold any of the selling securityholders’ interest in our securities after the date of this prospectus in accordance with the terms of the Subscription Agreement.</w:t>
      </w:r>
    </w:p>
    <w:p>
      <w:pPr>
        <w:spacing w:after="0" w:line="18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 following table is prepared based on information provided to us by the selling securityholders. It sets forth the name and address of the selling securityholders, the aggregate number of Ordinary Shares that the selling securityholders may offer pursuant to this prospectus, and the beneficial ownership of the selling securityholders both before and after the offering. We have based percentage ownership in the following table on 40,856,824 of the Company’s Ordinary Shares outstanding as of August 1, 2023.</w:t>
      </w:r>
    </w:p>
    <w:p>
      <w:pPr>
        <w:spacing w:after="0" w:line="187" w:lineRule="exact"/>
        <w:rPr>
          <w:sz w:val="20"/>
          <w:szCs w:val="20"/>
          <w:color w:val="auto"/>
        </w:rPr>
      </w:pPr>
    </w:p>
    <w:p>
      <w:pPr>
        <w:ind w:right="160" w:firstLine="749"/>
        <w:spacing w:after="0" w:line="273" w:lineRule="auto"/>
        <w:rPr>
          <w:sz w:val="20"/>
          <w:szCs w:val="20"/>
          <w:color w:val="auto"/>
        </w:rPr>
      </w:pPr>
      <w:r>
        <w:rPr>
          <w:rFonts w:ascii="Arial" w:cs="Arial" w:eastAsia="Arial" w:hAnsi="Arial"/>
          <w:sz w:val="17"/>
          <w:szCs w:val="17"/>
          <w:color w:val="auto"/>
        </w:rPr>
        <w:t>The entities listed below have beneficial ownership over their respective securities. The number of Ordinary Shares beneficially owned by each entity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August 1, 2023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78" w:lineRule="exact"/>
        <w:rPr>
          <w:sz w:val="20"/>
          <w:szCs w:val="20"/>
          <w:color w:val="auto"/>
        </w:rPr>
      </w:pPr>
    </w:p>
    <w:p>
      <w:pPr>
        <w:ind w:right="620" w:firstLine="749"/>
        <w:spacing w:after="0" w:line="286" w:lineRule="auto"/>
        <w:rPr>
          <w:sz w:val="20"/>
          <w:szCs w:val="20"/>
          <w:color w:val="auto"/>
        </w:rPr>
      </w:pPr>
      <w:r>
        <w:rPr>
          <w:rFonts w:ascii="Arial" w:cs="Arial" w:eastAsia="Arial" w:hAnsi="Arial"/>
          <w:sz w:val="17"/>
          <w:szCs w:val="17"/>
          <w:color w:val="auto"/>
        </w:rPr>
        <w:t>We cannot advise you as to whether the selling securityholders will in fact sell any or all of such Ordinary Shares. In addition, the selling securityholders may sell, transfer or otherwise dispose of, at any time and from time to time, the Ordinary Shares in transactions exempt from the registration requirements of the Securities Act after the date of this prospectus, subject to applicable law.</w:t>
      </w:r>
    </w:p>
    <w:p>
      <w:pPr>
        <w:spacing w:after="0" w:line="165"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Selling securityholder information for each additional selling securityholder, if any, will be set forth by prospectus supplement to the extent required prior to the time of any offer or sale of the selling securityholders’ securities pursuant to this prospectus. Any prospectus supplement may add, update, substitute, or change the information contained in this prospectus, including the identity of the selling securityholders and the number of Ordinary Shares registered on their behalf. The selling securityholders may sell all, some or none of such securities in this offering. See the section titled “Plan of Distribution.”</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Ordinary Shares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gridSpan w:val="3"/>
          </w:tcPr>
          <w:p>
            <w:pPr>
              <w:jc w:val="right"/>
              <w:ind w:right="308"/>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Ordinary Shares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 Ordinary</w:t>
            </w:r>
          </w:p>
        </w:tc>
        <w:tc>
          <w:tcPr>
            <w:tcW w:w="140" w:type="dxa"/>
            <w:vAlign w:val="bottom"/>
          </w:tcPr>
          <w:p>
            <w:pPr>
              <w:spacing w:after="0"/>
              <w:rPr>
                <w:sz w:val="19"/>
                <w:szCs w:val="19"/>
                <w:color w:val="auto"/>
              </w:rPr>
            </w:pPr>
          </w:p>
        </w:tc>
        <w:tc>
          <w:tcPr>
            <w:tcW w:w="196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Owned After the</w:t>
            </w:r>
          </w:p>
        </w:tc>
        <w:tc>
          <w:tcPr>
            <w:tcW w:w="520" w:type="dxa"/>
            <w:vAlign w:val="bottom"/>
          </w:tcPr>
          <w:p>
            <w:pPr>
              <w:jc w:val="right"/>
              <w:ind w:right="332"/>
              <w:spacing w:after="0"/>
              <w:rPr>
                <w:sz w:val="20"/>
                <w:szCs w:val="20"/>
                <w:color w:val="auto"/>
              </w:rPr>
            </w:pPr>
            <w:r>
              <w:rPr>
                <w:rFonts w:ascii="Arial" w:cs="Arial" w:eastAsia="Arial" w:hAnsi="Arial"/>
                <w:sz w:val="10"/>
                <w:szCs w:val="10"/>
                <w:color w:val="auto"/>
                <w:w w:val="97"/>
              </w:rPr>
              <w:t>(7)</w:t>
            </w: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140" w:type="dxa"/>
            <w:vAlign w:val="bottom"/>
          </w:tcPr>
          <w:p>
            <w:pPr>
              <w:spacing w:after="0"/>
              <w:rPr>
                <w:sz w:val="8"/>
                <w:szCs w:val="8"/>
                <w:color w:val="auto"/>
              </w:rPr>
            </w:pPr>
          </w:p>
        </w:tc>
        <w:tc>
          <w:tcPr>
            <w:tcW w:w="130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97"/>
              </w:rPr>
              <w:t>As a % of Ordinary</w:t>
            </w:r>
          </w:p>
        </w:tc>
        <w:tc>
          <w:tcPr>
            <w:tcW w:w="120" w:type="dxa"/>
            <w:vAlign w:val="bottom"/>
          </w:tcPr>
          <w:p>
            <w:pPr>
              <w:spacing w:after="0"/>
              <w:rPr>
                <w:sz w:val="8"/>
                <w:szCs w:val="8"/>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Shares Being Offered</w:t>
            </w:r>
          </w:p>
        </w:tc>
        <w:tc>
          <w:tcPr>
            <w:tcW w:w="140" w:type="dxa"/>
            <w:vAlign w:val="bottom"/>
          </w:tcPr>
          <w:p>
            <w:pPr>
              <w:spacing w:after="0"/>
              <w:rPr>
                <w:sz w:val="8"/>
                <w:szCs w:val="8"/>
                <w:color w:val="auto"/>
              </w:rPr>
            </w:pPr>
          </w:p>
        </w:tc>
        <w:tc>
          <w:tcPr>
            <w:tcW w:w="1960" w:type="dxa"/>
            <w:vAlign w:val="bottom"/>
            <w:tcBorders>
              <w:bottom w:val="single" w:sz="8" w:color="auto"/>
            </w:tcBorders>
            <w:gridSpan w:val="4"/>
          </w:tcPr>
          <w:p>
            <w:pPr>
              <w:jc w:val="right"/>
              <w:spacing w:after="0" w:line="75" w:lineRule="exact"/>
              <w:rPr>
                <w:sz w:val="20"/>
                <w:szCs w:val="20"/>
                <w:color w:val="auto"/>
              </w:rPr>
            </w:pPr>
            <w:r>
              <w:rPr>
                <w:rFonts w:ascii="Arial" w:cs="Arial" w:eastAsia="Arial" w:hAnsi="Arial"/>
                <w:sz w:val="8"/>
                <w:szCs w:val="8"/>
                <w:b w:val="1"/>
                <w:bCs w:val="1"/>
                <w:color w:val="auto"/>
              </w:rPr>
              <w:t>Ordinary Shares are Sold</w:t>
            </w: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980" w:type="dxa"/>
            <w:vAlign w:val="bottom"/>
            <w:vMerge w:val="restart"/>
          </w:tcPr>
          <w:p>
            <w:pPr>
              <w:spacing w:after="0" w:line="135" w:lineRule="exact"/>
              <w:rPr>
                <w:sz w:val="20"/>
                <w:szCs w:val="20"/>
                <w:color w:val="auto"/>
              </w:rPr>
            </w:pPr>
            <w:r>
              <w:rPr>
                <w:rFonts w:ascii="Arial" w:cs="Arial" w:eastAsia="Arial" w:hAnsi="Arial"/>
                <w:sz w:val="14"/>
                <w:szCs w:val="14"/>
                <w:b w:val="1"/>
                <w:bCs w:val="1"/>
                <w:color w:val="auto"/>
              </w:rPr>
              <w:t>Name of Selling Securityholder</w:t>
            </w:r>
          </w:p>
        </w:tc>
        <w:tc>
          <w:tcPr>
            <w:tcW w:w="140" w:type="dxa"/>
            <w:vAlign w:val="bottom"/>
          </w:tcPr>
          <w:p>
            <w:pPr>
              <w:spacing w:after="0"/>
              <w:rPr>
                <w:sz w:val="9"/>
                <w:szCs w:val="9"/>
                <w:color w:val="auto"/>
              </w:rPr>
            </w:pPr>
          </w:p>
        </w:tc>
        <w:tc>
          <w:tcPr>
            <w:tcW w:w="14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4"/>
              </w:rPr>
              <w:t>Prior to the Offering</w:t>
            </w:r>
          </w:p>
        </w:tc>
        <w:tc>
          <w:tcPr>
            <w:tcW w:w="140" w:type="dxa"/>
            <w:vAlign w:val="bottom"/>
          </w:tcPr>
          <w:p>
            <w:pPr>
              <w:spacing w:after="0"/>
              <w:rPr>
                <w:sz w:val="9"/>
                <w:szCs w:val="9"/>
                <w:color w:val="auto"/>
              </w:rPr>
            </w:pPr>
          </w:p>
        </w:tc>
        <w:tc>
          <w:tcPr>
            <w:tcW w:w="130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w w:val="93"/>
              </w:rPr>
              <w:t>Shares outstanding</w:t>
            </w:r>
          </w:p>
        </w:tc>
        <w:tc>
          <w:tcPr>
            <w:tcW w:w="1500" w:type="dxa"/>
            <w:vAlign w:val="bottom"/>
            <w:gridSpan w:val="2"/>
          </w:tcPr>
          <w:p>
            <w:pPr>
              <w:jc w:val="center"/>
              <w:ind w:left="57"/>
              <w:spacing w:after="0" w:line="108" w:lineRule="exact"/>
              <w:rPr>
                <w:sz w:val="20"/>
                <w:szCs w:val="20"/>
                <w:color w:val="auto"/>
              </w:rPr>
            </w:pPr>
            <w:r>
              <w:rPr>
                <w:rFonts w:ascii="Arial" w:cs="Arial" w:eastAsia="Arial" w:hAnsi="Arial"/>
                <w:sz w:val="10"/>
                <w:szCs w:val="10"/>
                <w:color w:val="auto"/>
                <w:w w:val="97"/>
              </w:rPr>
              <w:t>(6)</w:t>
            </w:r>
          </w:p>
        </w:tc>
        <w:tc>
          <w:tcPr>
            <w:tcW w:w="140" w:type="dxa"/>
            <w:vAlign w:val="bottom"/>
          </w:tcPr>
          <w:p>
            <w:pPr>
              <w:spacing w:after="0"/>
              <w:rPr>
                <w:sz w:val="9"/>
                <w:szCs w:val="9"/>
                <w:color w:val="auto"/>
              </w:rPr>
            </w:pPr>
          </w:p>
        </w:tc>
        <w:tc>
          <w:tcPr>
            <w:tcW w:w="860" w:type="dxa"/>
            <w:vAlign w:val="bottom"/>
            <w:vMerge w:val="restart"/>
          </w:tcPr>
          <w:p>
            <w:pPr>
              <w:ind w:left="440"/>
              <w:spacing w:after="0" w:line="135" w:lineRule="exact"/>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vMerge w:val="restart"/>
          </w:tcPr>
          <w:p>
            <w:pPr>
              <w:jc w:val="right"/>
              <w:ind w:right="252"/>
              <w:spacing w:after="0" w:line="135"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vMerge w:val="continue"/>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980" w:type="dxa"/>
            <w:vAlign w:val="bottom"/>
          </w:tcPr>
          <w:p>
            <w:pPr>
              <w:spacing w:after="0" w:line="227" w:lineRule="exact"/>
              <w:rPr>
                <w:sz w:val="20"/>
                <w:szCs w:val="20"/>
                <w:color w:val="auto"/>
              </w:rPr>
            </w:pPr>
            <w:r>
              <w:rPr>
                <w:rFonts w:ascii="Arial" w:cs="Arial" w:eastAsia="Arial" w:hAnsi="Arial"/>
                <w:sz w:val="18"/>
                <w:szCs w:val="18"/>
                <w:color w:val="auto"/>
              </w:rPr>
              <w:t xml:space="preserve">General Atlantic PH B.V. </w:t>
            </w:r>
            <w:r>
              <w:rPr>
                <w:rFonts w:ascii="Arial" w:cs="Arial" w:eastAsia="Arial" w:hAnsi="Arial"/>
                <w:sz w:val="24"/>
                <w:szCs w:val="24"/>
                <w:color w:val="auto"/>
                <w:vertAlign w:val="superscript"/>
              </w:rPr>
              <w:t>(1)</w:t>
            </w:r>
          </w:p>
        </w:tc>
        <w:tc>
          <w:tcPr>
            <w:tcW w:w="1560" w:type="dxa"/>
            <w:vAlign w:val="bottom"/>
            <w:gridSpan w:val="2"/>
          </w:tcPr>
          <w:p>
            <w:pPr>
              <w:jc w:val="right"/>
              <w:ind w:right="628"/>
              <w:spacing w:after="0"/>
              <w:rPr>
                <w:sz w:val="20"/>
                <w:szCs w:val="20"/>
                <w:color w:val="auto"/>
              </w:rPr>
            </w:pPr>
            <w:r>
              <w:rPr>
                <w:rFonts w:ascii="Arial" w:cs="Arial" w:eastAsia="Arial" w:hAnsi="Arial"/>
                <w:sz w:val="18"/>
                <w:szCs w:val="18"/>
                <w:color w:val="auto"/>
              </w:rPr>
              <w:t>4,406,252</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10.78%</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1,986,097</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2,420,155</w:t>
            </w:r>
          </w:p>
        </w:tc>
        <w:tc>
          <w:tcPr>
            <w:tcW w:w="1100" w:type="dxa"/>
            <w:vAlign w:val="bottom"/>
            <w:gridSpan w:val="3"/>
          </w:tcPr>
          <w:p>
            <w:pPr>
              <w:jc w:val="right"/>
              <w:ind w:right="148"/>
              <w:spacing w:after="0"/>
              <w:rPr>
                <w:sz w:val="20"/>
                <w:szCs w:val="20"/>
                <w:color w:val="auto"/>
              </w:rPr>
            </w:pPr>
            <w:r>
              <w:rPr>
                <w:rFonts w:ascii="Arial" w:cs="Arial" w:eastAsia="Arial" w:hAnsi="Arial"/>
                <w:sz w:val="18"/>
                <w:szCs w:val="18"/>
                <w:color w:val="auto"/>
              </w:rPr>
              <w:t>5.92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980" w:type="dxa"/>
            <w:vAlign w:val="bottom"/>
          </w:tcPr>
          <w:p>
            <w:pPr>
              <w:spacing w:after="0" w:line="265" w:lineRule="exact"/>
              <w:rPr>
                <w:sz w:val="20"/>
                <w:szCs w:val="20"/>
                <w:color w:val="auto"/>
              </w:rPr>
            </w:pPr>
            <w:r>
              <w:rPr>
                <w:rFonts w:ascii="Arial" w:cs="Arial" w:eastAsia="Arial" w:hAnsi="Arial"/>
                <w:sz w:val="18"/>
                <w:szCs w:val="18"/>
                <w:color w:val="auto"/>
              </w:rPr>
              <w:t xml:space="preserve">venBio Global Strategic Fund III, L.P. </w:t>
            </w:r>
            <w:r>
              <w:rPr>
                <w:rFonts w:ascii="Arial" w:cs="Arial" w:eastAsia="Arial" w:hAnsi="Arial"/>
                <w:sz w:val="24"/>
                <w:szCs w:val="24"/>
                <w:color w:val="auto"/>
                <w:vertAlign w:val="superscript"/>
              </w:rPr>
              <w:t>(2)</w:t>
            </w:r>
          </w:p>
        </w:tc>
        <w:tc>
          <w:tcPr>
            <w:tcW w:w="1560" w:type="dxa"/>
            <w:vAlign w:val="bottom"/>
            <w:gridSpan w:val="2"/>
          </w:tcPr>
          <w:p>
            <w:pPr>
              <w:jc w:val="right"/>
              <w:ind w:right="628"/>
              <w:spacing w:after="0"/>
              <w:rPr>
                <w:sz w:val="20"/>
                <w:szCs w:val="20"/>
                <w:color w:val="auto"/>
              </w:rPr>
            </w:pPr>
            <w:r>
              <w:rPr>
                <w:rFonts w:ascii="Arial" w:cs="Arial" w:eastAsia="Arial" w:hAnsi="Arial"/>
                <w:sz w:val="18"/>
                <w:szCs w:val="18"/>
                <w:color w:val="auto"/>
              </w:rPr>
              <w:t>4,264,672</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10.44%</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1,986,097</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2,278,575</w:t>
            </w:r>
          </w:p>
        </w:tc>
        <w:tc>
          <w:tcPr>
            <w:tcW w:w="1100" w:type="dxa"/>
            <w:vAlign w:val="bottom"/>
            <w:gridSpan w:val="3"/>
          </w:tcPr>
          <w:p>
            <w:pPr>
              <w:jc w:val="right"/>
              <w:ind w:right="148"/>
              <w:spacing w:after="0"/>
              <w:rPr>
                <w:sz w:val="20"/>
                <w:szCs w:val="20"/>
                <w:color w:val="auto"/>
              </w:rPr>
            </w:pPr>
            <w:r>
              <w:rPr>
                <w:rFonts w:ascii="Arial" w:cs="Arial" w:eastAsia="Arial" w:hAnsi="Arial"/>
                <w:sz w:val="18"/>
                <w:szCs w:val="18"/>
                <w:color w:val="auto"/>
              </w:rPr>
              <w:t>5.58</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980" w:type="dxa"/>
            <w:vAlign w:val="bottom"/>
          </w:tcPr>
          <w:p>
            <w:pPr>
              <w:spacing w:after="0" w:line="194" w:lineRule="exact"/>
              <w:rPr>
                <w:sz w:val="20"/>
                <w:szCs w:val="20"/>
                <w:color w:val="auto"/>
              </w:rPr>
            </w:pPr>
            <w:r>
              <w:rPr>
                <w:rFonts w:ascii="Arial" w:cs="Arial" w:eastAsia="Arial" w:hAnsi="Arial"/>
                <w:sz w:val="18"/>
                <w:szCs w:val="18"/>
                <w:color w:val="auto"/>
              </w:rPr>
              <w:t>Entities affiliated with Bain Capital Life Sciences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120"/>
              <w:spacing w:after="0" w:line="243" w:lineRule="exact"/>
              <w:rPr>
                <w:sz w:val="20"/>
                <w:szCs w:val="20"/>
                <w:color w:val="auto"/>
              </w:rPr>
            </w:pPr>
            <w:r>
              <w:rPr>
                <w:rFonts w:ascii="Arial" w:cs="Arial" w:eastAsia="Arial" w:hAnsi="Arial"/>
                <w:sz w:val="18"/>
                <w:szCs w:val="18"/>
                <w:color w:val="auto"/>
              </w:rPr>
              <w:t xml:space="preserve">Investors, LLC </w:t>
            </w:r>
            <w:r>
              <w:rPr>
                <w:rFonts w:ascii="Arial" w:cs="Arial" w:eastAsia="Arial" w:hAnsi="Arial"/>
                <w:sz w:val="24"/>
                <w:szCs w:val="24"/>
                <w:color w:val="auto"/>
                <w:vertAlign w:val="superscript"/>
              </w:rPr>
              <w:t>(3)</w:t>
            </w:r>
          </w:p>
        </w:tc>
        <w:tc>
          <w:tcPr>
            <w:tcW w:w="1560" w:type="dxa"/>
            <w:vAlign w:val="bottom"/>
            <w:gridSpan w:val="2"/>
          </w:tcPr>
          <w:p>
            <w:pPr>
              <w:jc w:val="right"/>
              <w:ind w:right="628"/>
              <w:spacing w:after="0"/>
              <w:rPr>
                <w:sz w:val="20"/>
                <w:szCs w:val="20"/>
                <w:color w:val="auto"/>
              </w:rPr>
            </w:pPr>
            <w:r>
              <w:rPr>
                <w:rFonts w:ascii="Arial" w:cs="Arial" w:eastAsia="Arial" w:hAnsi="Arial"/>
                <w:sz w:val="18"/>
                <w:szCs w:val="18"/>
                <w:color w:val="auto"/>
              </w:rPr>
              <w:t>4,868,784</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11.92%</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1,688,183</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3,180,601</w:t>
            </w:r>
          </w:p>
        </w:tc>
        <w:tc>
          <w:tcPr>
            <w:tcW w:w="1100" w:type="dxa"/>
            <w:vAlign w:val="bottom"/>
            <w:gridSpan w:val="3"/>
          </w:tcPr>
          <w:p>
            <w:pPr>
              <w:jc w:val="right"/>
              <w:ind w:right="148"/>
              <w:spacing w:after="0"/>
              <w:rPr>
                <w:sz w:val="20"/>
                <w:szCs w:val="20"/>
                <w:color w:val="auto"/>
              </w:rPr>
            </w:pPr>
            <w:r>
              <w:rPr>
                <w:rFonts w:ascii="Arial" w:cs="Arial" w:eastAsia="Arial" w:hAnsi="Arial"/>
                <w:sz w:val="18"/>
                <w:szCs w:val="18"/>
                <w:color w:val="auto"/>
              </w:rPr>
              <w:t>7.78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980" w:type="dxa"/>
            <w:vAlign w:val="bottom"/>
          </w:tcPr>
          <w:p>
            <w:pPr>
              <w:spacing w:after="0" w:line="265" w:lineRule="exact"/>
              <w:rPr>
                <w:sz w:val="20"/>
                <w:szCs w:val="20"/>
                <w:color w:val="auto"/>
              </w:rPr>
            </w:pPr>
            <w:r>
              <w:rPr>
                <w:rFonts w:ascii="Arial" w:cs="Arial" w:eastAsia="Arial" w:hAnsi="Arial"/>
                <w:sz w:val="18"/>
                <w:szCs w:val="18"/>
                <w:color w:val="auto"/>
              </w:rPr>
              <w:t xml:space="preserve">Entities affiliated with Foresite Capital </w:t>
            </w:r>
            <w:r>
              <w:rPr>
                <w:rFonts w:ascii="Arial" w:cs="Arial" w:eastAsia="Arial" w:hAnsi="Arial"/>
                <w:sz w:val="24"/>
                <w:szCs w:val="24"/>
                <w:color w:val="auto"/>
                <w:vertAlign w:val="superscript"/>
              </w:rPr>
              <w:t>(4)</w:t>
            </w:r>
          </w:p>
        </w:tc>
        <w:tc>
          <w:tcPr>
            <w:tcW w:w="1560" w:type="dxa"/>
            <w:vAlign w:val="bottom"/>
            <w:gridSpan w:val="2"/>
          </w:tcPr>
          <w:p>
            <w:pPr>
              <w:jc w:val="right"/>
              <w:ind w:right="628"/>
              <w:spacing w:after="0"/>
              <w:rPr>
                <w:sz w:val="20"/>
                <w:szCs w:val="20"/>
                <w:color w:val="auto"/>
              </w:rPr>
            </w:pPr>
            <w:r>
              <w:rPr>
                <w:rFonts w:ascii="Arial" w:cs="Arial" w:eastAsia="Arial" w:hAnsi="Arial"/>
                <w:sz w:val="18"/>
                <w:szCs w:val="18"/>
                <w:color w:val="auto"/>
              </w:rPr>
              <w:t>3,777,592</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9.25%</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496,524</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3,281,068</w:t>
            </w:r>
          </w:p>
        </w:tc>
        <w:tc>
          <w:tcPr>
            <w:tcW w:w="1100" w:type="dxa"/>
            <w:vAlign w:val="bottom"/>
            <w:gridSpan w:val="3"/>
          </w:tcPr>
          <w:p>
            <w:pPr>
              <w:jc w:val="right"/>
              <w:ind w:right="148"/>
              <w:spacing w:after="0"/>
              <w:rPr>
                <w:sz w:val="20"/>
                <w:szCs w:val="20"/>
                <w:color w:val="auto"/>
              </w:rPr>
            </w:pPr>
            <w:r>
              <w:rPr>
                <w:rFonts w:ascii="Arial" w:cs="Arial" w:eastAsia="Arial" w:hAnsi="Arial"/>
                <w:sz w:val="18"/>
                <w:szCs w:val="18"/>
                <w:color w:val="auto"/>
              </w:rPr>
              <w:t>8.03</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980" w:type="dxa"/>
            <w:vAlign w:val="bottom"/>
          </w:tcPr>
          <w:p>
            <w:pPr>
              <w:spacing w:after="0" w:line="194" w:lineRule="exact"/>
              <w:rPr>
                <w:sz w:val="20"/>
                <w:szCs w:val="20"/>
                <w:color w:val="auto"/>
              </w:rPr>
            </w:pPr>
            <w:r>
              <w:rPr>
                <w:rFonts w:ascii="Arial" w:cs="Arial" w:eastAsia="Arial" w:hAnsi="Arial"/>
                <w:sz w:val="18"/>
                <w:szCs w:val="18"/>
                <w:color w:val="auto"/>
              </w:rPr>
              <w:t>Entities affiliated with Venrock Healthcare Capital</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3980" w:type="dxa"/>
            <w:vAlign w:val="bottom"/>
          </w:tcPr>
          <w:p>
            <w:pPr>
              <w:ind w:left="120"/>
              <w:spacing w:after="0"/>
              <w:rPr>
                <w:sz w:val="20"/>
                <w:szCs w:val="20"/>
                <w:color w:val="auto"/>
              </w:rPr>
            </w:pPr>
            <w:r>
              <w:rPr>
                <w:rFonts w:ascii="Arial" w:cs="Arial" w:eastAsia="Arial" w:hAnsi="Arial"/>
                <w:sz w:val="18"/>
                <w:szCs w:val="18"/>
                <w:color w:val="auto"/>
              </w:rPr>
              <w:t xml:space="preserve">Partners. </w:t>
            </w:r>
            <w:r>
              <w:rPr>
                <w:rFonts w:ascii="Arial" w:cs="Arial" w:eastAsia="Arial" w:hAnsi="Arial"/>
                <w:sz w:val="24"/>
                <w:szCs w:val="24"/>
                <w:color w:val="auto"/>
                <w:vertAlign w:val="superscript"/>
              </w:rPr>
              <w:t>(5)</w:t>
            </w:r>
          </w:p>
        </w:tc>
        <w:tc>
          <w:tcPr>
            <w:tcW w:w="1560" w:type="dxa"/>
            <w:vAlign w:val="bottom"/>
            <w:gridSpan w:val="2"/>
          </w:tcPr>
          <w:p>
            <w:pPr>
              <w:jc w:val="right"/>
              <w:ind w:right="628"/>
              <w:spacing w:after="0"/>
              <w:rPr>
                <w:sz w:val="20"/>
                <w:szCs w:val="20"/>
                <w:color w:val="auto"/>
              </w:rPr>
            </w:pPr>
            <w:r>
              <w:rPr>
                <w:rFonts w:ascii="Arial" w:cs="Arial" w:eastAsia="Arial" w:hAnsi="Arial"/>
                <w:sz w:val="18"/>
                <w:szCs w:val="18"/>
                <w:color w:val="auto"/>
              </w:rPr>
              <w:t>1,483,606</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3.63%</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794,439</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689,167</w:t>
            </w:r>
          </w:p>
        </w:tc>
        <w:tc>
          <w:tcPr>
            <w:tcW w:w="1100" w:type="dxa"/>
            <w:vAlign w:val="bottom"/>
            <w:gridSpan w:val="3"/>
          </w:tcPr>
          <w:p>
            <w:pPr>
              <w:jc w:val="right"/>
              <w:ind w:right="148"/>
              <w:spacing w:after="0"/>
              <w:rPr>
                <w:sz w:val="20"/>
                <w:szCs w:val="20"/>
                <w:color w:val="auto"/>
              </w:rPr>
            </w:pPr>
            <w:r>
              <w:rPr>
                <w:rFonts w:ascii="Arial" w:cs="Arial" w:eastAsia="Arial" w:hAnsi="Arial"/>
                <w:sz w:val="18"/>
                <w:szCs w:val="18"/>
                <w:color w:val="auto"/>
              </w:rPr>
              <w:t>1.69</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60" w:right="300" w:hanging="352"/>
        <w:spacing w:after="0" w:line="238" w:lineRule="auto"/>
        <w:tabs>
          <w:tab w:leader="none" w:pos="303"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4,406,252 Ordinary Shares held by General Atlantic PH B.V. General Atlantic PH B.V. (“GA PH”), is a wholly owned subsidiary of General Atlantic Coöperatief U.A. (“GA Coop UA”). The members that share beneficial ownership of the shares held by GA PH through GA Coop UA are the following General Atlantic investment funds (the “GA Funds”): General Atlantic Partners (Bermuda)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828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left="352" w:right="40"/>
        <w:spacing w:after="0" w:line="226" w:lineRule="auto"/>
        <w:rPr>
          <w:sz w:val="20"/>
          <w:szCs w:val="20"/>
          <w:color w:val="auto"/>
        </w:rPr>
      </w:pPr>
      <w:r>
        <w:rPr>
          <w:rFonts w:ascii="Arial" w:cs="Arial" w:eastAsia="Arial" w:hAnsi="Arial"/>
          <w:sz w:val="14"/>
          <w:szCs w:val="14"/>
          <w:color w:val="auto"/>
        </w:rPr>
        <w:t>L.P. (“GAP Bermuda IV”), General Atlantic Partners (Bermuda) EU, L.P. (“GAP Bermuda EU”), General Atlantic Partners (Lux) SCSp (“GAP Lux”), and General Atlantic Cooperatief, L.P. (“GA Coop LP”). The general partner of GAP Lux is General Atlantic GenPar, (Lux) SCSp (“GA GenPar Lux”), and the general partner of GA GenPar Lux is General Atlantic (Lux) S.à r.l. (“GA Lux”). The general partner of GAP Bermuda IV and GAP Bermuda EU and the sole shareholder of GA Lux is General Atlantic GenPar (Bermuda), L.P. (“GenPar Bermuda”). GAP (Bermuda) L.P. (“GAP (Bermuda)”) is the general partner of GenPar Bermuda and GA Coop LP. There are eleven members of the Management Committee of GAP (Bermuda) (the “GA Management Committee”). GAP (Bermuda), GenPar Bermuda, GA Lux, GA GenPar Lux, and the GA Funds, (collectively, the “GA Group”) are a “group” within the meaning of Rule 13d-5 of the Securities Exchange Act of 1934, as amended. The address of GA Coop LP, GAP Bermuda IV, GAP Bermuda EU, GenPar Bermuda, and GAP (Bermuda) is Clarendon House, 2 Church Street, Hamilton HM 11, Bermuda. The address of GA Coop UA is Prinsengracht 769, 1017 JZ, Amsterdam, The Netherlands. The address of GAP Lux, GA GenPar Lux and GA Lux is Luxembourg is 412F, Route d’Esch, L-1471 Luxembourg. Each of the members of the GA Management Committee disclaims ownership of the shares except to the extent that he has a pecuniary interest therein.</w:t>
      </w:r>
    </w:p>
    <w:p>
      <w:pPr>
        <w:spacing w:after="0" w:line="148" w:lineRule="exact"/>
        <w:rPr>
          <w:sz w:val="20"/>
          <w:szCs w:val="20"/>
          <w:color w:val="auto"/>
        </w:rPr>
      </w:pPr>
    </w:p>
    <w:p>
      <w:pPr>
        <w:ind w:left="352" w:right="120" w:hanging="352"/>
        <w:spacing w:after="0" w:line="231" w:lineRule="auto"/>
        <w:tabs>
          <w:tab w:leader="none" w:pos="283"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4,264,672 Ordinary Shares held by venBio Global Strategic Fund III, L.P (the “Fund”). venBio Global Strategic GP III, L.P. (the “GP”), as the sole general partner of the Fund, may be deemed to indirectly beneficially own the shares held by the Fund. venBio Global Strategic GP III, Ltd, as the sole general partner of the GP, may be deemed to indirectly beneficially own the shares held by the Fund. Corey Goodman and Robert Adelman, as the directors of venBio Global Strategic GP III, Ltd, may be deemed to indirectly beneficially own the shares held by the Fund. The address of each of the Fund, the GP, Robert Adelman and Corey Goodman is c/o venBio Partners, LLC, 1700 Owens Street Suite 595 San Francisco, CA 94158.</w:t>
      </w:r>
    </w:p>
    <w:p>
      <w:pPr>
        <w:spacing w:after="0" w:line="156" w:lineRule="exact"/>
        <w:rPr>
          <w:rFonts w:ascii="Arial" w:cs="Arial" w:eastAsia="Arial" w:hAnsi="Arial"/>
          <w:sz w:val="14"/>
          <w:szCs w:val="14"/>
          <w:color w:val="auto"/>
        </w:rPr>
      </w:pPr>
    </w:p>
    <w:p>
      <w:pPr>
        <w:ind w:left="352" w:right="20" w:hanging="352"/>
        <w:spacing w:after="0" w:line="226" w:lineRule="auto"/>
        <w:tabs>
          <w:tab w:leader="none" w:pos="295" w:val="left"/>
        </w:tabs>
        <w:numPr>
          <w:ilvl w:val="0"/>
          <w:numId w:val="5"/>
        </w:numPr>
        <w:rPr>
          <w:rFonts w:ascii="Arial" w:cs="Arial" w:eastAsia="Arial" w:hAnsi="Arial"/>
          <w:sz w:val="14"/>
          <w:szCs w:val="14"/>
          <w:color w:val="auto"/>
        </w:rPr>
      </w:pPr>
      <w:r>
        <w:rPr>
          <w:rFonts w:ascii="Arial" w:cs="Arial" w:eastAsia="Arial" w:hAnsi="Arial"/>
          <w:sz w:val="14"/>
          <w:szCs w:val="14"/>
          <w:color w:val="auto"/>
        </w:rPr>
        <w:t>“Ordinary Shares Beneficially Owned Prior to the Offering” includes (i) 1,688,183 Ordinary Shares held by Bain Capital Life Sciences Opportunities III, LP (“BCLS Fund III Opportunities”), (ii) 2,885,266 Ordinary Shares held by Bain Capital Life Sciences Fund, L.P. (“BCLS Fund I”); and (iii) 295,335 Ordinary Shares held by BCIP Life Sciences Associates, LP (“BCIPLS” and, together with BCLS Fund I and BCLS Fund III Opportunities, the “Bain Capital Life Sciences Entities”). “Number of Ordinary Shares Being Offered” includes 1,688,183 Ordinary Shares held by BCLS Fund III Opportunities. Bain Capital Life Sciences Investors, LLC, (“BCLSI”) is the general partner of Bain Capital Life Sciences, LP, which is the general partner of BCLS Fund I. BCLSI is also the manager of Bain Capital Life Sciences III General Partner, LLC, which is the general partner of Bain Capital Life Sciences Fund III, L.P., which is the sole member of Bain Capital Life Sciences Opportunities III GP, LLC (“BCLS Fund III Opportunities GP”), which is the general partner of BCLS Fund III Opportunities. BCLSI governs the investment strategy and decision-making process with respect to investments held by BCIPLS. As a result, BCLSI, may be deemed to share voting and dispositive power with respect to the shares held by the Bain Capital Life Sciences Entities. The address of the Bain Capital Life Sciences Entities and BCLSI is c/o Bain Capital Life Sciences, LP 200 Clarendon Street, Boston, MA 02116.</w:t>
      </w:r>
    </w:p>
    <w:p>
      <w:pPr>
        <w:spacing w:after="0" w:line="147" w:lineRule="exact"/>
        <w:rPr>
          <w:rFonts w:ascii="Arial" w:cs="Arial" w:eastAsia="Arial" w:hAnsi="Arial"/>
          <w:sz w:val="14"/>
          <w:szCs w:val="14"/>
          <w:color w:val="auto"/>
        </w:rPr>
      </w:pPr>
    </w:p>
    <w:p>
      <w:pPr>
        <w:ind w:left="352" w:hanging="352"/>
        <w:spacing w:after="0" w:line="228" w:lineRule="auto"/>
        <w:tabs>
          <w:tab w:leader="none" w:pos="283" w:val="left"/>
        </w:tabs>
        <w:numPr>
          <w:ilvl w:val="0"/>
          <w:numId w:val="5"/>
        </w:numPr>
        <w:rPr>
          <w:rFonts w:ascii="Arial" w:cs="Arial" w:eastAsia="Arial" w:hAnsi="Arial"/>
          <w:sz w:val="14"/>
          <w:szCs w:val="14"/>
          <w:color w:val="auto"/>
        </w:rPr>
      </w:pPr>
      <w:r>
        <w:rPr>
          <w:rFonts w:ascii="Arial" w:cs="Arial" w:eastAsia="Arial" w:hAnsi="Arial"/>
          <w:sz w:val="14"/>
          <w:szCs w:val="14"/>
          <w:color w:val="auto"/>
        </w:rPr>
        <w:t>“Ordinary Shares Beneficially Owned Prior to the Offering” includes (i) 34,142 Ordinary Shares held by Foresite Capital Fund V, L.P. (“Fund V”) and (ii) 3,743,450 Ordinary Shares held by Foresite Capital Fund IV, L.P. (“Fund IV” and, together with Fund V, "Foresite"). “Number of Ordinary Shares Being Offered” includes 496,524 Ordinary Shares held by Fund IV. Foresite Capital Management V, LLC (“FCM V”) is the general partner of Fund V. Foresite Capital Management IV, LLC (“FCM IV”) is the general partner of Fund IV. FCM IV and FCM V may be deemed to have sole voting and dispositive power over these shares. James B. Tananbaum (“Dr. Tananbaum”) is the sole managing member of FCM V and FCM IV and may be deemed to have sole voting and dispositive power over these shares. Each of FCM V, FCM IV and Dr. Tananbaum disclaims (a) the existence of a “group” and (b) beneficial ownership of the shares held by Foresite for purposes of Section 16 of the Exchange Act or otherwise except to the extent of any pecuniary interest therein. The address of Foresite, FCM IV, FCM V and Dr. Tananbaum is 900 Larkspur Landing Circle, Suite 150 Larkspur, CA 94939.</w:t>
      </w:r>
    </w:p>
    <w:p>
      <w:pPr>
        <w:spacing w:after="0" w:line="144" w:lineRule="exact"/>
        <w:rPr>
          <w:rFonts w:ascii="Arial" w:cs="Arial" w:eastAsia="Arial" w:hAnsi="Arial"/>
          <w:sz w:val="14"/>
          <w:szCs w:val="14"/>
          <w:color w:val="auto"/>
        </w:rPr>
      </w:pPr>
    </w:p>
    <w:p>
      <w:pPr>
        <w:ind w:left="352" w:right="40" w:hanging="352"/>
        <w:spacing w:after="0" w:line="229" w:lineRule="auto"/>
        <w:tabs>
          <w:tab w:leader="none" w:pos="295" w:val="left"/>
        </w:tabs>
        <w:numPr>
          <w:ilvl w:val="0"/>
          <w:numId w:val="5"/>
        </w:numPr>
        <w:rPr>
          <w:rFonts w:ascii="Arial" w:cs="Arial" w:eastAsia="Arial" w:hAnsi="Arial"/>
          <w:sz w:val="14"/>
          <w:szCs w:val="14"/>
          <w:color w:val="auto"/>
        </w:rPr>
      </w:pPr>
      <w:r>
        <w:rPr>
          <w:rFonts w:ascii="Arial" w:cs="Arial" w:eastAsia="Arial" w:hAnsi="Arial"/>
          <w:sz w:val="14"/>
          <w:szCs w:val="14"/>
          <w:color w:val="auto"/>
        </w:rPr>
        <w:t>“Ordinary Shares Beneficially Owned Prior to the Offering” includes (i) 390,041 Ordinary Shares held by Venrock Healthcare Capital Partners III, L.P. (“VHCP III”), (ii) 39,017 Ordinary Shares held by VHCP Co-Investment Holdings III, LLC (“VHCP III Co”) and (iii) 1,054,548 Ordinary Shares held by Venrock Healthcare Capital Partners EG, L.P. (“VHCP EG”). “Number of Ordinary Shares Being Offered” includes 208,858 Ordinary Shares held by VCHP III, (ii) 20,894 Ordinary Shares held by VHCP III Co and (iii) 564,687 Ordinary Shares held by VHCP EG. VHCP Management III, LLC (“VHCPM”) is the sole general partner of VHCP III and the sole manager of VHCP III Co. VHCP Management EG, LLC (“VHCPM EG”) is the sole general partner of VHCP EG. Dr. Bong Koh and Nimish Shah are the voting members of VHCPM and VHCPM EG. The address of each of VHCP III, VHCP III Co, VHCP EG, VHCPM, VHCPM EG, Dr. Bong Koh and Nimish Shah is 7 Bryant Park, 23rd Floor, New York, NY 10018.</w:t>
      </w:r>
    </w:p>
    <w:p>
      <w:pPr>
        <w:spacing w:after="0" w:line="158" w:lineRule="exact"/>
        <w:rPr>
          <w:rFonts w:ascii="Arial" w:cs="Arial" w:eastAsia="Arial" w:hAnsi="Arial"/>
          <w:sz w:val="14"/>
          <w:szCs w:val="14"/>
          <w:color w:val="auto"/>
        </w:rPr>
      </w:pPr>
    </w:p>
    <w:p>
      <w:pPr>
        <w:ind w:left="352" w:right="40" w:hanging="352"/>
        <w:spacing w:after="0" w:line="253" w:lineRule="auto"/>
        <w:tabs>
          <w:tab w:leader="none" w:pos="295"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number of Ordinary Shares in the column “Number of Ordinary Shares Being Offered” represents all of the Ordinary Shares that a selling securityholder may offer and sell from time to time under this prospectus.</w:t>
      </w:r>
    </w:p>
    <w:p>
      <w:pPr>
        <w:spacing w:after="0" w:line="133" w:lineRule="exact"/>
        <w:rPr>
          <w:rFonts w:ascii="Arial" w:cs="Arial" w:eastAsia="Arial" w:hAnsi="Arial"/>
          <w:sz w:val="14"/>
          <w:szCs w:val="14"/>
          <w:color w:val="auto"/>
        </w:rPr>
      </w:pPr>
    </w:p>
    <w:p>
      <w:pPr>
        <w:ind w:left="352" w:right="280" w:hanging="352"/>
        <w:spacing w:after="0" w:line="255" w:lineRule="auto"/>
        <w:tabs>
          <w:tab w:leader="none" w:pos="295"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do not know when or in what amounts a selling securityholder may offer shares for sale. The selling securityholders might not sell any or might sell all of the shares offered by this prospectus. Because the selling securityholders may offer all or some of the shares pursuant to this prospectus, and because there are currently no agreements, arrangements or understandings with respect to the sale of any of the shares, we cannot estimate the number of the shares that will be held by the selling securityholders after completion of the offering. However, for purposes of this table, we have assumed that, after completion of the offering, none of the shares covered by this prospectus will be held by the selling securityholders.</w:t>
      </w:r>
    </w:p>
    <w:p>
      <w:pPr>
        <w:spacing w:after="0" w:line="35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AND DUTCH TAX CONSIDERATIONS</w:t>
      </w:r>
    </w:p>
    <w:p>
      <w:pPr>
        <w:spacing w:after="0" w:line="229"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w:t>
      </w:r>
    </w:p>
    <w:p>
      <w:pPr>
        <w:spacing w:after="0" w:line="187"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You should consult your tax adviser regarding the applicable tax consequences to you of investing in our ordinary shares under the laws of the United States (federal, state and local), the Netherlands, and any other applicable jurisdiction.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to U.S. Holders</w:t>
      </w:r>
    </w:p>
    <w:p>
      <w:pPr>
        <w:spacing w:after="0" w:line="229"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This discussion applies only to a U.S. Holder that holds our ordinary shares as capital assets within the meaning of Section 1221 of the United States Internal Revenue Code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166" w:lineRule="exact"/>
        <w:rPr>
          <w:sz w:val="20"/>
          <w:szCs w:val="20"/>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3" w:lineRule="exact"/>
        <w:rPr>
          <w:rFonts w:ascii="Arial" w:cs="Arial" w:eastAsia="Arial" w:hAnsi="Arial"/>
          <w:sz w:val="18"/>
          <w:szCs w:val="18"/>
          <w:color w:val="auto"/>
        </w:rPr>
      </w:pPr>
    </w:p>
    <w:p>
      <w:pPr>
        <w:ind w:left="1140" w:hanging="383"/>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 or expatriated entities subject to Section 7874 of the Code;</w:t>
      </w:r>
    </w:p>
    <w:p>
      <w:pPr>
        <w:spacing w:after="0" w:line="20" w:lineRule="exact"/>
        <w:rPr>
          <w:rFonts w:ascii="Arial" w:cs="Arial" w:eastAsia="Arial" w:hAnsi="Arial"/>
          <w:sz w:val="17"/>
          <w:szCs w:val="17"/>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9" w:lineRule="exact"/>
        <w:rPr>
          <w:rFonts w:ascii="Arial" w:cs="Arial" w:eastAsia="Arial" w:hAnsi="Arial"/>
          <w:sz w:val="18"/>
          <w:szCs w:val="18"/>
          <w:color w:val="auto"/>
        </w:rPr>
      </w:pPr>
    </w:p>
    <w:p>
      <w:pPr>
        <w:ind w:left="1140" w:right="160" w:hanging="383"/>
        <w:spacing w:after="0" w:line="250"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holding ordinary shares as part of a hedging transaction, straddle, wash sale, conversion transaction or other integrated transaction or persons entering into a constructive sale with respect to the ordinary shares;</w:t>
      </w: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9" w:lineRule="exact"/>
        <w:rPr>
          <w:rFonts w:ascii="Arial" w:cs="Arial" w:eastAsia="Arial" w:hAnsi="Arial"/>
          <w:sz w:val="18"/>
          <w:szCs w:val="18"/>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for U.S. federal income tax purposes;</w:t>
      </w:r>
    </w:p>
    <w:p>
      <w:pPr>
        <w:spacing w:after="0" w:line="9" w:lineRule="exact"/>
        <w:rPr>
          <w:rFonts w:ascii="Arial" w:cs="Arial" w:eastAsia="Arial" w:hAnsi="Arial"/>
          <w:sz w:val="18"/>
          <w:szCs w:val="18"/>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9" w:lineRule="exact"/>
        <w:rPr>
          <w:rFonts w:ascii="Arial" w:cs="Arial" w:eastAsia="Arial" w:hAnsi="Arial"/>
          <w:sz w:val="18"/>
          <w:szCs w:val="18"/>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“individual retirement accounts” or “Roth IRAs” or other tax-deferred accounts;</w:t>
      </w:r>
    </w:p>
    <w:p>
      <w:pPr>
        <w:spacing w:after="0" w:line="9" w:lineRule="exact"/>
        <w:rPr>
          <w:rFonts w:ascii="Arial" w:cs="Arial" w:eastAsia="Arial" w:hAnsi="Arial"/>
          <w:sz w:val="18"/>
          <w:szCs w:val="18"/>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persons that acquire ordinary shares directly or indirectly in connection with the performance of services;</w:t>
      </w:r>
    </w:p>
    <w:p>
      <w:pPr>
        <w:spacing w:after="0" w:line="9" w:lineRule="exact"/>
        <w:rPr>
          <w:rFonts w:ascii="Arial" w:cs="Arial" w:eastAsia="Arial" w:hAnsi="Arial"/>
          <w:sz w:val="18"/>
          <w:szCs w:val="18"/>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who are subject to Section 451(b) of the Code;</w:t>
      </w:r>
    </w:p>
    <w:p>
      <w:pPr>
        <w:spacing w:after="0" w:line="9" w:lineRule="exact"/>
        <w:rPr>
          <w:rFonts w:ascii="Arial" w:cs="Arial" w:eastAsia="Arial" w:hAnsi="Arial"/>
          <w:sz w:val="18"/>
          <w:szCs w:val="18"/>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w:t>
      </w:r>
    </w:p>
    <w:p>
      <w:pPr>
        <w:spacing w:after="0" w:line="9" w:lineRule="exact"/>
        <w:rPr>
          <w:rFonts w:ascii="Arial" w:cs="Arial" w:eastAsia="Arial" w:hAnsi="Arial"/>
          <w:sz w:val="18"/>
          <w:szCs w:val="18"/>
          <w:color w:val="auto"/>
        </w:rPr>
      </w:pPr>
    </w:p>
    <w:p>
      <w:pPr>
        <w:ind w:left="1140" w:right="360" w:hanging="383"/>
        <w:spacing w:after="0" w:line="250"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 corporations and any investors therein, regulated investment companies, real estate investment trusts, real estate mortgage investment conduits; or</w:t>
      </w: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holding ordinary shares in connection with a trade or business conducted outside of the United States.</w:t>
      </w:r>
    </w:p>
    <w:p>
      <w:pPr>
        <w:spacing w:after="0" w:line="211"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the U.S. federal income tax treatment of a partner will generally depend on the status of the partner and the activities of the partner and the partnership. Partnerships holding ordinary shares and partners in such partnerships should consult their tax advisers as to the particular U.S. federal income tax consequences of owning and disposing of ordinary shares.</w:t>
      </w:r>
    </w:p>
    <w:p>
      <w:pPr>
        <w:spacing w:after="0" w:line="187"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This discussion is based on the Code, administrative pronouncements, judicial decisions, final, temporary and proposed Treasury regulations, and the income tax treaty between the Netherlands and the United States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(the “Service”) with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line="308" w:lineRule="auto"/>
        <w:rPr>
          <w:sz w:val="20"/>
          <w:szCs w:val="20"/>
          <w:color w:val="auto"/>
        </w:rPr>
      </w:pPr>
      <w:r>
        <w:rPr>
          <w:rFonts w:ascii="Arial" w:cs="Arial" w:eastAsia="Arial" w:hAnsi="Arial"/>
          <w:sz w:val="17"/>
          <w:szCs w:val="17"/>
          <w:color w:val="auto"/>
        </w:rPr>
        <w:t>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46"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who is eligible for the benefits of the Treaty and who is:</w:t>
      </w:r>
    </w:p>
    <w:p>
      <w:pPr>
        <w:spacing w:after="0" w:line="170" w:lineRule="exact"/>
        <w:rPr>
          <w:sz w:val="20"/>
          <w:szCs w:val="20"/>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individual who is a citizen or resident in the US;</w:t>
      </w:r>
    </w:p>
    <w:p>
      <w:pPr>
        <w:spacing w:after="0" w:line="23" w:lineRule="exact"/>
        <w:rPr>
          <w:rFonts w:ascii="Arial" w:cs="Arial" w:eastAsia="Arial" w:hAnsi="Arial"/>
          <w:sz w:val="18"/>
          <w:szCs w:val="18"/>
          <w:color w:val="auto"/>
        </w:rPr>
      </w:pPr>
    </w:p>
    <w:p>
      <w:pPr>
        <w:ind w:left="1140" w:right="160" w:hanging="383"/>
        <w:spacing w:after="0" w:line="25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therein or the District of Columbia;</w:t>
      </w: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 w:lineRule="exact"/>
        <w:rPr>
          <w:rFonts w:ascii="Arial" w:cs="Arial" w:eastAsia="Arial" w:hAnsi="Arial"/>
          <w:sz w:val="18"/>
          <w:szCs w:val="18"/>
          <w:color w:val="auto"/>
        </w:rPr>
      </w:pPr>
    </w:p>
    <w:p>
      <w:pPr>
        <w:ind w:left="1140" w:right="200" w:hanging="383"/>
        <w:spacing w:after="0" w:line="255"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90" w:lineRule="exact"/>
        <w:rPr>
          <w:sz w:val="20"/>
          <w:szCs w:val="20"/>
          <w:color w:val="auto"/>
        </w:rPr>
      </w:pPr>
    </w:p>
    <w:p>
      <w:pPr>
        <w:ind w:right="200" w:firstLine="749"/>
        <w:spacing w:after="0" w:line="257" w:lineRule="auto"/>
        <w:rPr>
          <w:sz w:val="20"/>
          <w:szCs w:val="20"/>
          <w:color w:val="auto"/>
        </w:rPr>
      </w:pPr>
      <w:r>
        <w:rPr>
          <w:rFonts w:ascii="Arial" w:cs="Arial" w:eastAsia="Arial" w:hAnsi="Arial"/>
          <w:sz w:val="18"/>
          <w:szCs w:val="18"/>
          <w:color w:val="auto"/>
        </w:rPr>
        <w:t>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We do not expect to make distributions on our ordinary shares in the near future. In the event that we do make distributions of cash or other property, subject to the passive foreign investment company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generally not be eligible for the dividends-received deduction generally available to U.S. corporations under the Code.</w:t>
      </w:r>
    </w:p>
    <w:p>
      <w:pPr>
        <w:spacing w:after="0" w:line="186"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76" w:lineRule="exact"/>
        <w:rPr>
          <w:sz w:val="20"/>
          <w:szCs w:val="20"/>
          <w:color w:val="auto"/>
        </w:rPr>
      </w:pPr>
    </w:p>
    <w:p>
      <w:pPr>
        <w:ind w:right="160" w:firstLine="749"/>
        <w:spacing w:after="0" w:line="311" w:lineRule="auto"/>
        <w:rPr>
          <w:sz w:val="20"/>
          <w:szCs w:val="20"/>
          <w:color w:val="auto"/>
        </w:rPr>
      </w:pPr>
      <w:r>
        <w:rPr>
          <w:rFonts w:ascii="Arial" w:cs="Arial" w:eastAsia="Arial" w:hAnsi="Arial"/>
          <w:sz w:val="16"/>
          <w:szCs w:val="16"/>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right="60"/>
        <w:spacing w:after="0" w:line="279" w:lineRule="auto"/>
        <w:rPr>
          <w:sz w:val="20"/>
          <w:szCs w:val="20"/>
          <w:color w:val="auto"/>
        </w:rPr>
      </w:pPr>
      <w:r>
        <w:rPr>
          <w:rFonts w:ascii="Arial" w:cs="Arial" w:eastAsia="Arial" w:hAnsi="Arial"/>
          <w:sz w:val="17"/>
          <w:szCs w:val="17"/>
          <w:color w:val="auto"/>
        </w:rPr>
        <w:t>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Disposition of Ordinary Shares</w:t>
      </w:r>
    </w:p>
    <w:p>
      <w:pPr>
        <w:spacing w:after="0" w:line="225"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Under the Code, we will be a PFIC for any taxable year in which, after the application of certain “look- 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and our expectations about the nature and amount of our income, assets and activities we do not believe we were a PFIC in 2022 and we do not expect to be a PFIC for our current taxable year or in the foreseeable future. In addition, we may, directly or indirectly, hold equity interests in other PFICs, or Lower-tier PFICs. Whether we or any of our subsidiaries will be a PFIC in 2023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2023 or any 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76"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87"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U.S. Holder’s holding period, whichever is shorter, that distribution would be subject to taxation in the same manner as gain, described immediately above.</w:t>
      </w:r>
    </w:p>
    <w:p>
      <w:pPr>
        <w:spacing w:after="0" w:line="248" w:lineRule="exact"/>
        <w:rPr>
          <w:sz w:val="20"/>
          <w:szCs w:val="20"/>
          <w:color w:val="auto"/>
        </w:rPr>
      </w:pPr>
    </w:p>
    <w:p>
      <w:pPr>
        <w:ind w:right="140" w:firstLine="749"/>
        <w:spacing w:after="0" w:line="268"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ordinary shares, provided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qualifying electing fund election (“QEF Election”) with respect to such Lower-tier PFIC, as discussed below. U.S. Holders should consult their tax advisers regarding the availability and advisability of making a mark-to-market election in their particular circumstances.</w:t>
      </w:r>
    </w:p>
    <w:p>
      <w:pPr>
        <w:spacing w:after="0" w:line="184"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 subject to an interest charge.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69"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84"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firstLine="749"/>
        <w:spacing w:after="0" w:line="257" w:lineRule="auto"/>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With respect to Foreign Financial Assets</w:t>
      </w:r>
    </w:p>
    <w:p>
      <w:pPr>
        <w:spacing w:after="0" w:line="225" w:lineRule="exact"/>
        <w:rPr>
          <w:sz w:val="20"/>
          <w:szCs w:val="20"/>
          <w:color w:val="auto"/>
        </w:rPr>
      </w:pPr>
    </w:p>
    <w:p>
      <w:pPr>
        <w:ind w:right="280" w:firstLine="749"/>
        <w:spacing w:after="0" w:line="259"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87"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Dutch Tax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Scope of Discussion</w:t>
      </w:r>
    </w:p>
    <w:p>
      <w:pPr>
        <w:spacing w:after="0" w:line="225"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This section only outlines certain material Dutch tax consequences of the acquisition, holding and disposal of our ordinary shares. This section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71"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This section is based on the tax laws of the Netherlands, published regulations thereunder and published authoritative case law, all as in effect on the date hereof, including, for the avoidance of doubt, the tax rates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171"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THIS SECTION IS INTENDED AS GENERAL INFORMATION ONLY AND IS NOT DUTCH TAX ADVICE OR A COMPLETE DESCRIPTION OF ALL DUTCH TAX CONSEQUENCES RELATING TO THE ACQUISITION, HOLDING AND DISPOSAL OF OUR ORDINARY SHARES. HOLDERS OR PROSPECTIVE HOLDERS OF OUR ORDINARY SHARES SHOULD CONSULT THEIR OWN TAX ADVISERS REGARDING THE DUTCH TAX CONSEQUENCES RELATING TO THE ACQUISITION, HOLDING AND DISPOSAL OF THE ORDINARY SHARES IN LIGHT OF THEIR PARTICULAR CIRCUMSTANCES.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Please note that this section does not describe the Dutch tax consequences for:</w:t>
      </w:r>
    </w:p>
    <w:p>
      <w:pPr>
        <w:spacing w:after="0" w:line="225" w:lineRule="exact"/>
        <w:rPr>
          <w:sz w:val="20"/>
          <w:szCs w:val="20"/>
          <w:color w:val="auto"/>
        </w:rPr>
      </w:pPr>
    </w:p>
    <w:p>
      <w:pPr>
        <w:ind w:left="1500" w:right="40" w:hanging="743"/>
        <w:spacing w:after="0" w:line="263"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holder of our ordinary shares if such holder has a substantial interest (</w:t>
      </w:r>
      <w:r>
        <w:rPr>
          <w:rFonts w:ascii="Arial" w:cs="Arial" w:eastAsia="Arial" w:hAnsi="Arial"/>
          <w:sz w:val="18"/>
          <w:szCs w:val="18"/>
          <w:i w:val="1"/>
          <w:iCs w:val="1"/>
          <w:color w:val="auto"/>
        </w:rPr>
        <w:t>aanmerkelijk belang</w:t>
      </w:r>
      <w:r>
        <w:rPr>
          <w:rFonts w:ascii="Arial" w:cs="Arial" w:eastAsia="Arial" w:hAnsi="Arial"/>
          <w:sz w:val="18"/>
          <w:szCs w:val="18"/>
          <w:color w:val="auto"/>
        </w:rPr>
        <w:t>) or deemed substantial interest (</w:t>
      </w:r>
      <w:r>
        <w:rPr>
          <w:rFonts w:ascii="Arial" w:cs="Arial" w:eastAsia="Arial" w:hAnsi="Arial"/>
          <w:sz w:val="18"/>
          <w:szCs w:val="18"/>
          <w:i w:val="1"/>
          <w:iCs w:val="1"/>
          <w:color w:val="auto"/>
        </w:rPr>
        <w:t>fictief</w:t>
      </w:r>
      <w:r>
        <w:rPr>
          <w:rFonts w:ascii="Arial" w:cs="Arial" w:eastAsia="Arial" w:hAnsi="Arial"/>
          <w:sz w:val="18"/>
          <w:szCs w:val="18"/>
          <w:color w:val="auto"/>
        </w:rPr>
        <w:t xml:space="preserve"> </w:t>
      </w:r>
      <w:r>
        <w:rPr>
          <w:rFonts w:ascii="Arial" w:cs="Arial" w:eastAsia="Arial" w:hAnsi="Arial"/>
          <w:sz w:val="18"/>
          <w:szCs w:val="18"/>
          <w:i w:val="1"/>
          <w:iCs w:val="1"/>
          <w:color w:val="auto"/>
        </w:rPr>
        <w:t>aanmerkelijk belang</w:t>
      </w:r>
      <w:r>
        <w:rPr>
          <w:rFonts w:ascii="Arial" w:cs="Arial" w:eastAsia="Arial" w:hAnsi="Arial"/>
          <w:sz w:val="18"/>
          <w:szCs w:val="18"/>
          <w:color w:val="auto"/>
        </w:rPr>
        <w:t>) in us under the Dutch Income Tax Act 2001 (</w:t>
      </w:r>
      <w:r>
        <w:rPr>
          <w:rFonts w:ascii="Arial" w:cs="Arial" w:eastAsia="Arial" w:hAnsi="Arial"/>
          <w:sz w:val="18"/>
          <w:szCs w:val="18"/>
          <w:i w:val="1"/>
          <w:iCs w:val="1"/>
          <w:color w:val="auto"/>
        </w:rPr>
        <w:t>Wet inkomstenbelasting 2001</w:t>
      </w:r>
      <w:r>
        <w:rPr>
          <w:rFonts w:ascii="Arial" w:cs="Arial" w:eastAsia="Arial" w:hAnsi="Arial"/>
          <w:sz w:val="18"/>
          <w:szCs w:val="18"/>
          <w:color w:val="auto"/>
        </w:rPr>
        <w:t>). Generally, a holder of securities in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considered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left="1500"/>
        <w:spacing w:after="0" w:line="272" w:lineRule="auto"/>
        <w:rPr>
          <w:sz w:val="20"/>
          <w:szCs w:val="20"/>
          <w:color w:val="auto"/>
        </w:rPr>
      </w:pPr>
      <w:r>
        <w:rPr>
          <w:rFonts w:ascii="Arial" w:cs="Arial" w:eastAsia="Arial" w:hAnsi="Arial"/>
          <w:sz w:val="17"/>
          <w:szCs w:val="17"/>
          <w:color w:val="auto"/>
        </w:rPr>
        <w:t>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177" w:lineRule="exact"/>
        <w:rPr>
          <w:sz w:val="20"/>
          <w:szCs w:val="20"/>
          <w:color w:val="auto"/>
        </w:rPr>
      </w:pPr>
    </w:p>
    <w:p>
      <w:pPr>
        <w:ind w:left="1500" w:right="40" w:hanging="743"/>
        <w:spacing w:after="0" w:line="275" w:lineRule="auto"/>
        <w:tabs>
          <w:tab w:leader="none" w:pos="1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holder of our ordinary shares, if the ordinary shares held by such holder qualify or qualified as a participation (</w:t>
      </w:r>
      <w:r>
        <w:rPr>
          <w:rFonts w:ascii="Arial" w:cs="Arial" w:eastAsia="Arial" w:hAnsi="Arial"/>
          <w:sz w:val="17"/>
          <w:szCs w:val="17"/>
          <w:i w:val="1"/>
          <w:iCs w:val="1"/>
          <w:color w:val="auto"/>
        </w:rPr>
        <w:t>deelneming</w:t>
      </w:r>
      <w:r>
        <w:rPr>
          <w:rFonts w:ascii="Arial" w:cs="Arial" w:eastAsia="Arial" w:hAnsi="Arial"/>
          <w:sz w:val="17"/>
          <w:szCs w:val="17"/>
          <w:color w:val="auto"/>
        </w:rPr>
        <w:t>) for purposes of the Dutch Corporate Income Tax Act 1969 (</w:t>
      </w:r>
      <w:r>
        <w:rPr>
          <w:rFonts w:ascii="Arial" w:cs="Arial" w:eastAsia="Arial" w:hAnsi="Arial"/>
          <w:sz w:val="17"/>
          <w:szCs w:val="17"/>
          <w:i w:val="1"/>
          <w:iCs w:val="1"/>
          <w:color w:val="auto"/>
        </w:rPr>
        <w:t>Wet op de vennootschapsbelasting 1969</w:t>
      </w:r>
      <w:r>
        <w:rPr>
          <w:rFonts w:ascii="Arial" w:cs="Arial" w:eastAsia="Arial" w:hAnsi="Arial"/>
          <w:sz w:val="17"/>
          <w:szCs w:val="17"/>
          <w:color w:val="auto"/>
        </w:rPr>
        <w:t>). Generally, a holder’s shareholding of 5% or more in a 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w:t>
      </w:r>
    </w:p>
    <w:p>
      <w:pPr>
        <w:spacing w:after="0" w:line="176" w:lineRule="exact"/>
        <w:rPr>
          <w:rFonts w:ascii="Arial" w:cs="Arial" w:eastAsia="Arial" w:hAnsi="Arial"/>
          <w:sz w:val="17"/>
          <w:szCs w:val="17"/>
          <w:color w:val="auto"/>
        </w:rPr>
      </w:pPr>
    </w:p>
    <w:p>
      <w:pPr>
        <w:ind w:left="1500" w:right="20" w:hanging="743"/>
        <w:spacing w:after="0" w:line="257"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holder of our ordinary shares which is or who is entitled to the dividend withholding tax exemption (</w:t>
      </w:r>
      <w:r>
        <w:rPr>
          <w:rFonts w:ascii="Arial" w:cs="Arial" w:eastAsia="Arial" w:hAnsi="Arial"/>
          <w:sz w:val="18"/>
          <w:szCs w:val="18"/>
          <w:i w:val="1"/>
          <w:iCs w:val="1"/>
          <w:color w:val="auto"/>
        </w:rPr>
        <w:t>inhoudingsvrijstelling</w:t>
      </w:r>
      <w:r>
        <w:rPr>
          <w:rFonts w:ascii="Arial" w:cs="Arial" w:eastAsia="Arial" w:hAnsi="Arial"/>
          <w:sz w:val="18"/>
          <w:szCs w:val="18"/>
          <w:color w:val="auto"/>
        </w:rPr>
        <w:t>) with respect to any income (</w:t>
      </w:r>
      <w:r>
        <w:rPr>
          <w:rFonts w:ascii="Arial" w:cs="Arial" w:eastAsia="Arial" w:hAnsi="Arial"/>
          <w:sz w:val="18"/>
          <w:szCs w:val="18"/>
          <w:i w:val="1"/>
          <w:iCs w:val="1"/>
          <w:color w:val="auto"/>
        </w:rPr>
        <w:t>opbrengst</w:t>
      </w:r>
      <w:r>
        <w:rPr>
          <w:rFonts w:ascii="Arial" w:cs="Arial" w:eastAsia="Arial" w:hAnsi="Arial"/>
          <w:sz w:val="18"/>
          <w:szCs w:val="18"/>
          <w:color w:val="auto"/>
        </w:rPr>
        <w:t>) derived from the ordinary shares (as defined in Article 4 of the Dutch Dividend Withholding Tax Act 1965 (</w:t>
      </w:r>
      <w:r>
        <w:rPr>
          <w:rFonts w:ascii="Arial" w:cs="Arial" w:eastAsia="Arial" w:hAnsi="Arial"/>
          <w:sz w:val="18"/>
          <w:szCs w:val="18"/>
          <w:i w:val="1"/>
          <w:iCs w:val="1"/>
          <w:color w:val="auto"/>
        </w:rPr>
        <w:t>Wet op de dividendbelasting</w:t>
      </w:r>
      <w:r>
        <w:rPr>
          <w:rFonts w:ascii="Arial" w:cs="Arial" w:eastAsia="Arial" w:hAnsi="Arial"/>
          <w:sz w:val="18"/>
          <w:szCs w:val="18"/>
          <w:color w:val="auto"/>
        </w:rPr>
        <w:t>). Generally, a holder of our ordinary shares may be entitled or required to apply, subject to certain other requirements, the dividend withholding tax exemption if it is an entity and holds an interest of 5% or more in our nominal paid-up shares capital;</w:t>
      </w:r>
    </w:p>
    <w:p>
      <w:pPr>
        <w:spacing w:after="0" w:line="187" w:lineRule="exact"/>
        <w:rPr>
          <w:rFonts w:ascii="Arial" w:cs="Arial" w:eastAsia="Arial" w:hAnsi="Arial"/>
          <w:sz w:val="18"/>
          <w:szCs w:val="18"/>
          <w:color w:val="auto"/>
        </w:rPr>
      </w:pPr>
    </w:p>
    <w:p>
      <w:pPr>
        <w:ind w:left="1500" w:right="40" w:hanging="743"/>
        <w:spacing w:after="0" w:line="273" w:lineRule="auto"/>
        <w:tabs>
          <w:tab w:leader="none" w:pos="1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pension funds, investment institutions (</w:t>
      </w:r>
      <w:r>
        <w:rPr>
          <w:rFonts w:ascii="Arial" w:cs="Arial" w:eastAsia="Arial" w:hAnsi="Arial"/>
          <w:sz w:val="17"/>
          <w:szCs w:val="17"/>
          <w:i w:val="1"/>
          <w:iCs w:val="1"/>
          <w:color w:val="auto"/>
        </w:rPr>
        <w:t>fiscale beleggingsinstellingen</w:t>
      </w:r>
      <w:r>
        <w:rPr>
          <w:rFonts w:ascii="Arial" w:cs="Arial" w:eastAsia="Arial" w:hAnsi="Arial"/>
          <w:sz w:val="17"/>
          <w:szCs w:val="17"/>
          <w:color w:val="auto"/>
        </w:rPr>
        <w:t>), tax exempt investment institutions (</w:t>
      </w:r>
      <w:r>
        <w:rPr>
          <w:rFonts w:ascii="Arial" w:cs="Arial" w:eastAsia="Arial" w:hAnsi="Arial"/>
          <w:sz w:val="17"/>
          <w:szCs w:val="17"/>
          <w:i w:val="1"/>
          <w:iCs w:val="1"/>
          <w:color w:val="auto"/>
        </w:rPr>
        <w:t>vrijgestelde</w:t>
      </w:r>
      <w:r>
        <w:rPr>
          <w:rFonts w:ascii="Arial" w:cs="Arial" w:eastAsia="Arial" w:hAnsi="Arial"/>
          <w:sz w:val="17"/>
          <w:szCs w:val="17"/>
          <w:color w:val="auto"/>
        </w:rPr>
        <w:t xml:space="preserve"> </w:t>
      </w:r>
      <w:r>
        <w:rPr>
          <w:rFonts w:ascii="Arial" w:cs="Arial" w:eastAsia="Arial" w:hAnsi="Arial"/>
          <w:sz w:val="17"/>
          <w:szCs w:val="17"/>
          <w:i w:val="1"/>
          <w:iCs w:val="1"/>
          <w:color w:val="auto"/>
        </w:rPr>
        <w:t>beleggingsinstellingen</w:t>
      </w:r>
      <w:r>
        <w:rPr>
          <w:rFonts w:ascii="Arial" w:cs="Arial" w:eastAsia="Arial" w:hAnsi="Arial"/>
          <w:sz w:val="17"/>
          <w:szCs w:val="17"/>
          <w:color w:val="auto"/>
        </w:rPr>
        <w:t>) (each as defined in the Dutch Corporate Income Tax Act 1969) and other entities that are, in whole or in part,</w:t>
      </w:r>
      <w:r>
        <w:rPr>
          <w:rFonts w:ascii="Arial" w:cs="Arial" w:eastAsia="Arial" w:hAnsi="Arial"/>
          <w:sz w:val="17"/>
          <w:szCs w:val="17"/>
          <w:i w:val="1"/>
          <w:iCs w:val="1"/>
          <w:color w:val="auto"/>
        </w:rPr>
        <w:t xml:space="preserve"> </w:t>
      </w:r>
      <w:r>
        <w:rPr>
          <w:rFonts w:ascii="Arial" w:cs="Arial" w:eastAsia="Arial" w:hAnsi="Arial"/>
          <w:sz w:val="17"/>
          <w:szCs w:val="17"/>
          <w:color w:val="auto"/>
        </w:rPr>
        <w:t>not subject to or 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and</w:t>
      </w:r>
    </w:p>
    <w:p>
      <w:pPr>
        <w:spacing w:after="0" w:line="177" w:lineRule="exact"/>
        <w:rPr>
          <w:rFonts w:ascii="Arial" w:cs="Arial" w:eastAsia="Arial" w:hAnsi="Arial"/>
          <w:sz w:val="17"/>
          <w:szCs w:val="17"/>
          <w:color w:val="auto"/>
        </w:rPr>
      </w:pPr>
    </w:p>
    <w:p>
      <w:pPr>
        <w:ind w:left="1500" w:right="80" w:hanging="743"/>
        <w:spacing w:after="0" w:line="263"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holder of our ordinary shares if such holder is an individual for whom the ordinary shares or any benefit derived from the ordinary shares are a remuneration or deemed to be a remuneration for (employment) activities performed by such holder or certain individuals related to such holders (as defined in the Dutch Income Tax Act 2001).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520" w:firstLine="749"/>
        <w:spacing w:after="0" w:line="342" w:lineRule="auto"/>
        <w:rPr>
          <w:sz w:val="20"/>
          <w:szCs w:val="20"/>
          <w:color w:val="auto"/>
        </w:rPr>
      </w:pPr>
      <w:r>
        <w:rPr>
          <w:rFonts w:ascii="Arial" w:cs="Arial" w:eastAsia="Arial" w:hAnsi="Arial"/>
          <w:sz w:val="16"/>
          <w:szCs w:val="16"/>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expression “dividends distributed” includes, among other things:</w:t>
      </w:r>
    </w:p>
    <w:p>
      <w:pPr>
        <w:spacing w:after="0" w:line="225" w:lineRule="exact"/>
        <w:rPr>
          <w:sz w:val="20"/>
          <w:szCs w:val="20"/>
          <w:color w:val="auto"/>
        </w:rPr>
      </w:pPr>
    </w:p>
    <w:p>
      <w:pPr>
        <w:ind w:left="1140" w:right="120" w:hanging="383"/>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distributions in cash or in kind, deemed and constructive distributions and repayments of paid-in capital not recognized for Dutch dividend withholding tax purposes;</w:t>
      </w:r>
    </w:p>
    <w:p>
      <w:pPr>
        <w:spacing w:after="0" w:line="170" w:lineRule="exact"/>
        <w:rPr>
          <w:rFonts w:ascii="Arial" w:cs="Arial" w:eastAsia="Arial" w:hAnsi="Arial"/>
          <w:sz w:val="18"/>
          <w:szCs w:val="18"/>
          <w:color w:val="auto"/>
        </w:rPr>
      </w:pPr>
    </w:p>
    <w:p>
      <w:pPr>
        <w:ind w:left="1140" w:right="660" w:hanging="383"/>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liquidation proceeds, proceeds of redemption of our ordinary shares, or proceeds of the repurchase of ordinary shares (other than as temporary portfolio investment; </w:t>
      </w:r>
      <w:r>
        <w:rPr>
          <w:rFonts w:ascii="Arial" w:cs="Arial" w:eastAsia="Arial" w:hAnsi="Arial"/>
          <w:sz w:val="18"/>
          <w:szCs w:val="18"/>
          <w:i w:val="1"/>
          <w:iCs w:val="1"/>
          <w:color w:val="auto"/>
        </w:rPr>
        <w:t>tijdelijke belegging</w:t>
      </w:r>
      <w:r>
        <w:rPr>
          <w:rFonts w:ascii="Arial" w:cs="Arial" w:eastAsia="Arial" w:hAnsi="Arial"/>
          <w:sz w:val="18"/>
          <w:szCs w:val="18"/>
          <w:color w:val="auto"/>
        </w:rPr>
        <w:t>) by us or one of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left="1140" w:right="180"/>
        <w:spacing w:after="0" w:line="277" w:lineRule="auto"/>
        <w:rPr>
          <w:sz w:val="20"/>
          <w:szCs w:val="20"/>
          <w:color w:val="auto"/>
        </w:rPr>
      </w:pPr>
      <w:r>
        <w:rPr>
          <w:rFonts w:ascii="Arial" w:cs="Arial" w:eastAsia="Arial" w:hAnsi="Arial"/>
          <w:sz w:val="18"/>
          <w:szCs w:val="18"/>
          <w:color w:val="auto"/>
        </w:rPr>
        <w:t>subsidiaries or other affiliated entities, in each case to the extent such proceeds exceed the average paid-in capital of those ordinary shares as recognized for Dutch dividend withholding tax purposes;</w:t>
      </w:r>
    </w:p>
    <w:p>
      <w:pPr>
        <w:spacing w:after="0" w:line="170" w:lineRule="exact"/>
        <w:rPr>
          <w:sz w:val="20"/>
          <w:szCs w:val="20"/>
          <w:color w:val="auto"/>
        </w:rPr>
      </w:pPr>
    </w:p>
    <w:p>
      <w:pPr>
        <w:ind w:left="1140" w:right="260" w:hanging="383"/>
        <w:spacing w:after="0" w:line="342" w:lineRule="auto"/>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amount equal to the par value of our ordinary shares issued or an increase of the par value of ordinary shares, to the extent that it does not appear that a contribution, recognized for Dutch dividend withholding tax purposes, has been made or will be made; and</w:t>
      </w:r>
    </w:p>
    <w:p>
      <w:pPr>
        <w:spacing w:after="0" w:line="123" w:lineRule="exact"/>
        <w:rPr>
          <w:rFonts w:ascii="Arial" w:cs="Arial" w:eastAsia="Arial" w:hAnsi="Arial"/>
          <w:sz w:val="16"/>
          <w:szCs w:val="16"/>
          <w:color w:val="auto"/>
        </w:rPr>
      </w:pPr>
    </w:p>
    <w:p>
      <w:pPr>
        <w:ind w:left="1140" w:right="100" w:hanging="383"/>
        <w:spacing w:after="0" w:line="259"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 repayment of the paid-in capital, recognized for Dutch dividend withholding tax purposes, if and to the extent that we have net profits (</w:t>
      </w:r>
      <w:r>
        <w:rPr>
          <w:rFonts w:ascii="Arial" w:cs="Arial" w:eastAsia="Arial" w:hAnsi="Arial"/>
          <w:sz w:val="18"/>
          <w:szCs w:val="18"/>
          <w:i w:val="1"/>
          <w:iCs w:val="1"/>
          <w:color w:val="auto"/>
        </w:rPr>
        <w:t>zuivere winst</w:t>
      </w:r>
      <w:r>
        <w:rPr>
          <w:rFonts w:ascii="Arial" w:cs="Arial" w:eastAsia="Arial" w:hAnsi="Arial"/>
          <w:sz w:val="18"/>
          <w:szCs w:val="18"/>
          <w:color w:val="auto"/>
        </w:rPr>
        <w:t>),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w:t>
      </w:r>
    </w:p>
    <w:p>
      <w:pPr>
        <w:spacing w:after="0" w:line="187"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our ordinary shares that are neither resident nor deemed to be resident of the Netherlands (“Non-Resident Holders”) if the ordinary shares are attributable to a Dutch permanent establishment of such Non-Resident Holder.</w:t>
      </w:r>
    </w:p>
    <w:p>
      <w:pPr>
        <w:spacing w:after="0" w:line="192" w:lineRule="exact"/>
        <w:rPr>
          <w:sz w:val="20"/>
          <w:szCs w:val="20"/>
          <w:color w:val="auto"/>
        </w:rPr>
      </w:pPr>
    </w:p>
    <w:p>
      <w:pPr>
        <w:jc w:val="both"/>
        <w:ind w:right="320" w:firstLine="749"/>
        <w:spacing w:after="0" w:line="263" w:lineRule="auto"/>
        <w:rPr>
          <w:sz w:val="20"/>
          <w:szCs w:val="20"/>
          <w:color w:val="auto"/>
        </w:rPr>
      </w:pPr>
      <w:r>
        <w:rPr>
          <w:rFonts w:ascii="Arial" w:cs="Arial" w:eastAsia="Arial" w:hAnsi="Arial"/>
          <w:sz w:val="18"/>
          <w:szCs w:val="18"/>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 law, or treaties for the avoidance of double taxation in effect between the Netherlands and such other country.</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Dividend stripping</w:t>
      </w:r>
    </w:p>
    <w:p>
      <w:pPr>
        <w:spacing w:after="0" w:line="225"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Arial" w:cs="Arial" w:eastAsia="Arial" w:hAnsi="Arial"/>
          <w:sz w:val="16"/>
          <w:szCs w:val="16"/>
          <w:i w:val="1"/>
          <w:iCs w:val="1"/>
          <w:color w:val="auto"/>
        </w:rPr>
        <w:t>uiteindelijk gerechtigde</w:t>
      </w:r>
      <w:r>
        <w:rPr>
          <w:rFonts w:ascii="Arial" w:cs="Arial" w:eastAsia="Arial" w:hAnsi="Arial"/>
          <w:sz w:val="16"/>
          <w:szCs w:val="16"/>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Conditional withholding tax on dividends (as of January 1, 2024)</w:t>
      </w:r>
    </w:p>
    <w:p>
      <w:pPr>
        <w:spacing w:after="0" w:line="225"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As of January 1, 2024, a Dutch conditional withholding tax will be imposed on dividends distributed by us to entities related (</w:t>
      </w:r>
      <w:r>
        <w:rPr>
          <w:rFonts w:ascii="Arial" w:cs="Arial" w:eastAsia="Arial" w:hAnsi="Arial"/>
          <w:sz w:val="18"/>
          <w:szCs w:val="18"/>
          <w:i w:val="1"/>
          <w:iCs w:val="1"/>
          <w:color w:val="auto"/>
        </w:rPr>
        <w:t>gelieerd</w:t>
      </w:r>
      <w:r>
        <w:rPr>
          <w:rFonts w:ascii="Arial" w:cs="Arial" w:eastAsia="Arial" w:hAnsi="Arial"/>
          <w:sz w:val="18"/>
          <w:szCs w:val="18"/>
          <w:color w:val="auto"/>
        </w:rPr>
        <w:t xml:space="preserve">) to us (within the meaning of the Dutch Withholding Tax Act 2021; </w:t>
      </w:r>
      <w:r>
        <w:rPr>
          <w:rFonts w:ascii="Arial" w:cs="Arial" w:eastAsia="Arial" w:hAnsi="Arial"/>
          <w:sz w:val="18"/>
          <w:szCs w:val="18"/>
          <w:i w:val="1"/>
          <w:iCs w:val="1"/>
          <w:color w:val="auto"/>
        </w:rPr>
        <w:t>Wet bronbelasting 2021</w:t>
      </w:r>
      <w:r>
        <w:rPr>
          <w:rFonts w:ascii="Arial" w:cs="Arial" w:eastAsia="Arial" w:hAnsi="Arial"/>
          <w:sz w:val="18"/>
          <w:szCs w:val="18"/>
          <w:color w:val="auto"/>
        </w:rPr>
        <w:t>), if such related entity:</w:t>
      </w:r>
    </w:p>
    <w:p>
      <w:pPr>
        <w:spacing w:after="0" w:line="170" w:lineRule="exact"/>
        <w:rPr>
          <w:sz w:val="20"/>
          <w:szCs w:val="20"/>
          <w:color w:val="auto"/>
        </w:rPr>
      </w:pPr>
    </w:p>
    <w:p>
      <w:pPr>
        <w:ind w:left="1500" w:right="160" w:hanging="743"/>
        <w:spacing w:after="0" w:line="263" w:lineRule="auto"/>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considered to be resident (</w:t>
      </w:r>
      <w:r>
        <w:rPr>
          <w:rFonts w:ascii="Arial" w:cs="Arial" w:eastAsia="Arial" w:hAnsi="Arial"/>
          <w:sz w:val="18"/>
          <w:szCs w:val="18"/>
          <w:i w:val="1"/>
          <w:iCs w:val="1"/>
          <w:color w:val="auto"/>
        </w:rPr>
        <w:t>gevestigd</w:t>
      </w:r>
      <w:r>
        <w:rPr>
          <w:rFonts w:ascii="Arial" w:cs="Arial" w:eastAsia="Arial" w:hAnsi="Arial"/>
          <w:sz w:val="18"/>
          <w:szCs w:val="18"/>
          <w:color w:val="auto"/>
        </w:rPr>
        <w:t>) in a jurisdiction that is listed in the yearly updated Dutch Regulation on low-taxing states and non-cooperative jurisdictions for tax purposes (</w:t>
      </w:r>
      <w:r>
        <w:rPr>
          <w:rFonts w:ascii="Arial" w:cs="Arial" w:eastAsia="Arial" w:hAnsi="Arial"/>
          <w:sz w:val="18"/>
          <w:szCs w:val="18"/>
          <w:i w:val="1"/>
          <w:iCs w:val="1"/>
          <w:color w:val="auto"/>
        </w:rPr>
        <w:t>Regeling laagbelastende staten en niet-coöperatieve rechtsgebieden voor</w:t>
      </w:r>
      <w:r>
        <w:rPr>
          <w:rFonts w:ascii="Arial" w:cs="Arial" w:eastAsia="Arial" w:hAnsi="Arial"/>
          <w:sz w:val="18"/>
          <w:szCs w:val="18"/>
          <w:color w:val="auto"/>
        </w:rPr>
        <w:t xml:space="preserve"> </w:t>
      </w:r>
      <w:r>
        <w:rPr>
          <w:rFonts w:ascii="Arial" w:cs="Arial" w:eastAsia="Arial" w:hAnsi="Arial"/>
          <w:sz w:val="18"/>
          <w:szCs w:val="18"/>
          <w:i w:val="1"/>
          <w:iCs w:val="1"/>
          <w:color w:val="auto"/>
        </w:rPr>
        <w:t>belastingdoeleinden</w:t>
      </w:r>
      <w:r>
        <w:rPr>
          <w:rFonts w:ascii="Arial" w:cs="Arial" w:eastAsia="Arial" w:hAnsi="Arial"/>
          <w:sz w:val="18"/>
          <w:szCs w:val="18"/>
          <w:color w:val="auto"/>
        </w:rPr>
        <w:t>) (a “Listed Jurisdiction”); or</w:t>
      </w:r>
    </w:p>
    <w:p>
      <w:pPr>
        <w:spacing w:after="0" w:line="183" w:lineRule="exact"/>
        <w:rPr>
          <w:rFonts w:ascii="Arial" w:cs="Arial" w:eastAsia="Arial" w:hAnsi="Arial"/>
          <w:sz w:val="18"/>
          <w:szCs w:val="18"/>
          <w:color w:val="auto"/>
        </w:rPr>
      </w:pPr>
    </w:p>
    <w:p>
      <w:pPr>
        <w:ind w:left="1500" w:hanging="743"/>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has a permanent establishment located in a Listed Jurisdiction to which the ordinary shares are attributable;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left="1500" w:right="20" w:hanging="743"/>
        <w:spacing w:after="0" w:line="277" w:lineRule="auto"/>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holds the ordinary shares with the main purpose or one of the main purposes of avoiding taxation for another person or entity and there is an artificial arrangement or transaction or a series of artificial arrangements or transactions; or</w:t>
      </w:r>
    </w:p>
    <w:p>
      <w:pPr>
        <w:spacing w:after="0" w:line="170" w:lineRule="exact"/>
        <w:rPr>
          <w:rFonts w:ascii="Arial" w:cs="Arial" w:eastAsia="Arial" w:hAnsi="Arial"/>
          <w:sz w:val="18"/>
          <w:szCs w:val="18"/>
          <w:color w:val="auto"/>
        </w:rPr>
      </w:pPr>
    </w:p>
    <w:p>
      <w:pPr>
        <w:ind w:left="1500" w:right="520" w:hanging="743"/>
        <w:spacing w:after="0" w:line="277" w:lineRule="auto"/>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not considered to be the beneficial owner of the ordinary shares in its jurisdiction of residence because such jurisdiction treats another entity as the beneficial owner of the ordinary shares (a hybrid mismatch); or</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not resident in any jurisdiction (also a hybrid mismatch); or</w:t>
      </w:r>
    </w:p>
    <w:p>
      <w:pPr>
        <w:spacing w:after="0" w:line="225" w:lineRule="exact"/>
        <w:rPr>
          <w:rFonts w:ascii="Arial" w:cs="Arial" w:eastAsia="Arial" w:hAnsi="Arial"/>
          <w:sz w:val="18"/>
          <w:szCs w:val="18"/>
          <w:color w:val="auto"/>
        </w:rPr>
      </w:pPr>
    </w:p>
    <w:p>
      <w:pPr>
        <w:ind w:left="1500" w:right="100" w:hanging="743"/>
        <w:spacing w:after="0" w:line="257" w:lineRule="auto"/>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a reverse hybrid (within the meaning of Article 2(12) of the Dutch Corporate Income Tax Act 1969), if and to the extent (x) there is a participant in the reverse hybrid which is related (</w:t>
      </w:r>
      <w:r>
        <w:rPr>
          <w:rFonts w:ascii="Arial" w:cs="Arial" w:eastAsia="Arial" w:hAnsi="Arial"/>
          <w:sz w:val="18"/>
          <w:szCs w:val="18"/>
          <w:i w:val="1"/>
          <w:iCs w:val="1"/>
          <w:color w:val="auto"/>
        </w:rPr>
        <w:t>gelieerd</w:t>
      </w:r>
      <w:r>
        <w:rPr>
          <w:rFonts w:ascii="Arial" w:cs="Arial" w:eastAsia="Arial" w:hAnsi="Arial"/>
          <w:sz w:val="18"/>
          <w:szCs w:val="18"/>
          <w:color w:val="auto"/>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all within the meaning of the Dutch Withholding Tax Act 2021.</w:t>
      </w:r>
    </w:p>
    <w:p>
      <w:pPr>
        <w:spacing w:after="0" w:line="188" w:lineRule="exact"/>
        <w:rPr>
          <w:sz w:val="20"/>
          <w:szCs w:val="20"/>
          <w:color w:val="auto"/>
        </w:rPr>
      </w:pPr>
    </w:p>
    <w:p>
      <w:pPr>
        <w:ind w:right="220" w:firstLine="749"/>
        <w:spacing w:after="0" w:line="275" w:lineRule="auto"/>
        <w:rPr>
          <w:sz w:val="20"/>
          <w:szCs w:val="20"/>
          <w:color w:val="auto"/>
        </w:rPr>
      </w:pPr>
      <w:r>
        <w:rPr>
          <w:rFonts w:ascii="Arial" w:cs="Arial" w:eastAsia="Arial" w:hAnsi="Arial"/>
          <w:sz w:val="17"/>
          <w:szCs w:val="17"/>
          <w:color w:val="auto"/>
        </w:rPr>
        <w:t>The Dutch conditional withholding tax on dividends will be imposed at the highest Dutch corporate income tax rate in effect at the time of the distribution (currently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(currently 25.8%).</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Taxes on Income and Capital Gains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Dutch Resident Entities</w:t>
      </w:r>
    </w:p>
    <w:p>
      <w:pPr>
        <w:spacing w:after="0" w:line="225"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Generally,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2023).</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Dutch Resident Individuals</w:t>
      </w:r>
    </w:p>
    <w:p>
      <w:pPr>
        <w:spacing w:after="0" w:line="225"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If the holder of our ordinary shares is a Dutch Resident Individual, any income derived or deemed to be derived from the ordinary shares or any capital gains realized on the disposal or deemed disposal of the ordinary shares is subject to Dutch personal income tax at the progressive rates (with a maximum of 49.50% in 2023), if:</w:t>
      </w:r>
    </w:p>
    <w:p>
      <w:pPr>
        <w:spacing w:after="0" w:line="184" w:lineRule="exact"/>
        <w:rPr>
          <w:sz w:val="20"/>
          <w:szCs w:val="20"/>
          <w:color w:val="auto"/>
        </w:rPr>
      </w:pPr>
    </w:p>
    <w:p>
      <w:pPr>
        <w:ind w:left="1500" w:right="200" w:hanging="743"/>
        <w:spacing w:after="0" w:line="286" w:lineRule="auto"/>
        <w:tabs>
          <w:tab w:leader="none" w:pos="1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ordinary shares are attributable to an enterprise from which the holder of ordinary shares derives a share of the profit, whether as an entrepreneur (</w:t>
      </w:r>
      <w:r>
        <w:rPr>
          <w:rFonts w:ascii="Arial" w:cs="Arial" w:eastAsia="Arial" w:hAnsi="Arial"/>
          <w:sz w:val="17"/>
          <w:szCs w:val="17"/>
          <w:i w:val="1"/>
          <w:iCs w:val="1"/>
          <w:color w:val="auto"/>
        </w:rPr>
        <w:t>ondernemer</w:t>
      </w:r>
      <w:r>
        <w:rPr>
          <w:rFonts w:ascii="Arial" w:cs="Arial" w:eastAsia="Arial" w:hAnsi="Arial"/>
          <w:sz w:val="17"/>
          <w:szCs w:val="17"/>
          <w:color w:val="auto"/>
        </w:rPr>
        <w:t>) or as a person who has a co-entitlement to the net worth (</w:t>
      </w:r>
      <w:r>
        <w:rPr>
          <w:rFonts w:ascii="Arial" w:cs="Arial" w:eastAsia="Arial" w:hAnsi="Arial"/>
          <w:sz w:val="17"/>
          <w:szCs w:val="17"/>
          <w:i w:val="1"/>
          <w:iCs w:val="1"/>
          <w:color w:val="auto"/>
        </w:rPr>
        <w:t>medegerechtigd tot het vermogen</w:t>
      </w:r>
      <w:r>
        <w:rPr>
          <w:rFonts w:ascii="Arial" w:cs="Arial" w:eastAsia="Arial" w:hAnsi="Arial"/>
          <w:sz w:val="17"/>
          <w:szCs w:val="17"/>
          <w:color w:val="auto"/>
        </w:rPr>
        <w:t>) of such enterprise without being a shareholder (as defined in the Dutch Income Tax Act 2001); or</w:t>
      </w:r>
    </w:p>
    <w:p>
      <w:pPr>
        <w:spacing w:after="0" w:line="165" w:lineRule="exact"/>
        <w:rPr>
          <w:rFonts w:ascii="Arial" w:cs="Arial" w:eastAsia="Arial" w:hAnsi="Arial"/>
          <w:sz w:val="17"/>
          <w:szCs w:val="17"/>
          <w:color w:val="auto"/>
        </w:rPr>
      </w:pPr>
    </w:p>
    <w:p>
      <w:pPr>
        <w:ind w:left="1500" w:right="360" w:hanging="743"/>
        <w:spacing w:after="0" w:line="263" w:lineRule="auto"/>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of ordinary shares is considered to perform activities with respect to the ordinary shares that go beyond ordinary asset management (</w:t>
      </w:r>
      <w:r>
        <w:rPr>
          <w:rFonts w:ascii="Arial" w:cs="Arial" w:eastAsia="Arial" w:hAnsi="Arial"/>
          <w:sz w:val="18"/>
          <w:szCs w:val="18"/>
          <w:i w:val="1"/>
          <w:iCs w:val="1"/>
          <w:color w:val="auto"/>
        </w:rPr>
        <w:t>normaal, actief vermogensbeheer</w:t>
      </w:r>
      <w:r>
        <w:rPr>
          <w:rFonts w:ascii="Arial" w:cs="Arial" w:eastAsia="Arial" w:hAnsi="Arial"/>
          <w:sz w:val="18"/>
          <w:szCs w:val="18"/>
          <w:color w:val="auto"/>
        </w:rPr>
        <w:t>) or otherwise derives benefits from the ordinary shares that are taxable as benefits from miscellaneous activities (</w:t>
      </w:r>
      <w:r>
        <w:rPr>
          <w:rFonts w:ascii="Arial" w:cs="Arial" w:eastAsia="Arial" w:hAnsi="Arial"/>
          <w:sz w:val="18"/>
          <w:szCs w:val="18"/>
          <w:i w:val="1"/>
          <w:iCs w:val="1"/>
          <w:color w:val="auto"/>
        </w:rPr>
        <w:t>resultaat uit overige werkzaamheden</w:t>
      </w:r>
      <w:r>
        <w:rPr>
          <w:rFonts w:ascii="Arial" w:cs="Arial" w:eastAsia="Arial" w:hAnsi="Arial"/>
          <w:sz w:val="18"/>
          <w:szCs w:val="18"/>
          <w:color w:val="auto"/>
        </w:rPr>
        <w: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Taxation of savings and investments</w:t>
      </w:r>
    </w:p>
    <w:p>
      <w:pPr>
        <w:spacing w:after="0" w:line="225"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If the above-mentioned conditions (i) and (ii) do not apply to the Dutch Resident Individual, the ordinary shares will be subject to an annual Dutch income tax under the regime for savings and investments (</w:t>
      </w:r>
      <w:r>
        <w:rPr>
          <w:rFonts w:ascii="Arial" w:cs="Arial" w:eastAsia="Arial" w:hAnsi="Arial"/>
          <w:sz w:val="18"/>
          <w:szCs w:val="18"/>
          <w:i w:val="1"/>
          <w:iCs w:val="1"/>
          <w:color w:val="auto"/>
        </w:rPr>
        <w:t>inkomen uit sparen en beleggen</w:t>
      </w:r>
      <w:r>
        <w:rPr>
          <w:rFonts w:ascii="Arial" w:cs="Arial" w:eastAsia="Arial" w:hAnsi="Arial"/>
          <w:sz w:val="18"/>
          <w:szCs w:val="18"/>
          <w:color w:val="auto"/>
        </w:rPr>
        <w:t>). Taxation only occurs insofar the Dutch Resident Individual’s net investment assets for the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ind w:right="240"/>
        <w:spacing w:after="0" w:line="263" w:lineRule="auto"/>
        <w:rPr>
          <w:sz w:val="20"/>
          <w:szCs w:val="20"/>
          <w:color w:val="auto"/>
        </w:rPr>
      </w:pPr>
      <w:r>
        <w:rPr>
          <w:rFonts w:ascii="Arial" w:cs="Arial" w:eastAsia="Arial" w:hAnsi="Arial"/>
          <w:sz w:val="18"/>
          <w:szCs w:val="18"/>
          <w:color w:val="auto"/>
        </w:rPr>
        <w:t>exceed a statutory threshold (</w:t>
      </w:r>
      <w:r>
        <w:rPr>
          <w:rFonts w:ascii="Arial" w:cs="Arial" w:eastAsia="Arial" w:hAnsi="Arial"/>
          <w:sz w:val="18"/>
          <w:szCs w:val="18"/>
          <w:i w:val="1"/>
          <w:iCs w:val="1"/>
          <w:color w:val="auto"/>
        </w:rPr>
        <w:t>heffingvrij vermogen</w:t>
      </w:r>
      <w:r>
        <w:rPr>
          <w:rFonts w:ascii="Arial" w:cs="Arial" w:eastAsia="Arial" w:hAnsi="Arial"/>
          <w:sz w:val="18"/>
          <w:szCs w:val="18"/>
          <w:color w:val="auto"/>
        </w:rPr>
        <w:t xml:space="preserve">). The net investment assets for the year are the fair market value of the investment assets less the fair market value of the liabilities on January 1 of the relevant calendar year (reference date; </w:t>
      </w:r>
      <w:r>
        <w:rPr>
          <w:rFonts w:ascii="Arial" w:cs="Arial" w:eastAsia="Arial" w:hAnsi="Arial"/>
          <w:sz w:val="18"/>
          <w:szCs w:val="18"/>
          <w:i w:val="1"/>
          <w:iCs w:val="1"/>
          <w:color w:val="auto"/>
        </w:rPr>
        <w:t>peildatum</w:t>
      </w:r>
      <w:r>
        <w:rPr>
          <w:rFonts w:ascii="Arial" w:cs="Arial" w:eastAsia="Arial" w:hAnsi="Arial"/>
          <w:sz w:val="18"/>
          <w:szCs w:val="18"/>
          <w:color w:val="auto"/>
        </w:rPr>
        <w:t>). Actual income or capital gains realized in respect of the ordinary shares are as such not subject to Dutch income tax.</w:t>
      </w:r>
    </w:p>
    <w:p>
      <w:pPr>
        <w:spacing w:after="0" w:line="184"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The Dutch Resident Individual’s assets and liabilities taxed under this regime, including the ordinary shares, are allocated over the following three categories: (a) bank savings (</w:t>
      </w:r>
      <w:r>
        <w:rPr>
          <w:rFonts w:ascii="Arial" w:cs="Arial" w:eastAsia="Arial" w:hAnsi="Arial"/>
          <w:sz w:val="18"/>
          <w:szCs w:val="18"/>
          <w:i w:val="1"/>
          <w:iCs w:val="1"/>
          <w:color w:val="auto"/>
        </w:rPr>
        <w:t>banktegoeden</w:t>
      </w:r>
      <w:r>
        <w:rPr>
          <w:rFonts w:ascii="Arial" w:cs="Arial" w:eastAsia="Arial" w:hAnsi="Arial"/>
          <w:sz w:val="18"/>
          <w:szCs w:val="18"/>
          <w:color w:val="auto"/>
        </w:rPr>
        <w:t>), (b) other investments (</w:t>
      </w:r>
      <w:r>
        <w:rPr>
          <w:rFonts w:ascii="Arial" w:cs="Arial" w:eastAsia="Arial" w:hAnsi="Arial"/>
          <w:sz w:val="18"/>
          <w:szCs w:val="18"/>
          <w:i w:val="1"/>
          <w:iCs w:val="1"/>
          <w:color w:val="auto"/>
        </w:rPr>
        <w:t>overige bezittingen</w:t>
      </w:r>
      <w:r>
        <w:rPr>
          <w:rFonts w:ascii="Arial" w:cs="Arial" w:eastAsia="Arial" w:hAnsi="Arial"/>
          <w:sz w:val="18"/>
          <w:szCs w:val="18"/>
          <w:color w:val="auto"/>
        </w:rPr>
        <w:t>), including the ordinary shares, and (c) liabilities (</w:t>
      </w:r>
      <w:r>
        <w:rPr>
          <w:rFonts w:ascii="Arial" w:cs="Arial" w:eastAsia="Arial" w:hAnsi="Arial"/>
          <w:sz w:val="18"/>
          <w:szCs w:val="18"/>
          <w:i w:val="1"/>
          <w:iCs w:val="1"/>
          <w:color w:val="auto"/>
        </w:rPr>
        <w:t>schulden</w:t>
      </w:r>
      <w:r>
        <w:rPr>
          <w:rFonts w:ascii="Arial" w:cs="Arial" w:eastAsia="Arial" w:hAnsi="Arial"/>
          <w:sz w:val="18"/>
          <w:szCs w:val="18"/>
          <w:color w:val="auto"/>
        </w:rPr>
        <w:t>). The taxable benefit for the year (</w:t>
      </w:r>
      <w:r>
        <w:rPr>
          <w:rFonts w:ascii="Arial" w:cs="Arial" w:eastAsia="Arial" w:hAnsi="Arial"/>
          <w:sz w:val="18"/>
          <w:szCs w:val="18"/>
          <w:i w:val="1"/>
          <w:iCs w:val="1"/>
          <w:color w:val="auto"/>
        </w:rPr>
        <w:t>voordeel uit sparen en beleggen</w:t>
      </w:r>
      <w:r>
        <w:rPr>
          <w:rFonts w:ascii="Arial" w:cs="Arial" w:eastAsia="Arial" w:hAnsi="Arial"/>
          <w:sz w:val="18"/>
          <w:szCs w:val="18"/>
          <w:color w:val="auto"/>
        </w:rPr>
        <w:t>) is equal to the product of (x) the total deemed return divided by the sum of bank savings, other investments and liabilities and (b) the sum of bank savings, other investments and liabilities minus the statutory threshold, and is taxed at a flat rate of 32% (rate for 2023).</w:t>
      </w:r>
    </w:p>
    <w:p>
      <w:pPr>
        <w:spacing w:after="0" w:line="188" w:lineRule="exact"/>
        <w:rPr>
          <w:sz w:val="20"/>
          <w:szCs w:val="20"/>
          <w:color w:val="auto"/>
        </w:rPr>
      </w:pPr>
    </w:p>
    <w:p>
      <w:pPr>
        <w:jc w:val="both"/>
        <w:ind w:right="80" w:firstLine="749"/>
        <w:spacing w:after="0" w:line="259" w:lineRule="auto"/>
        <w:rPr>
          <w:sz w:val="20"/>
          <w:szCs w:val="20"/>
          <w:color w:val="auto"/>
        </w:rPr>
      </w:pPr>
      <w:r>
        <w:rPr>
          <w:rFonts w:ascii="Arial" w:cs="Arial" w:eastAsia="Arial" w:hAnsi="Arial"/>
          <w:sz w:val="18"/>
          <w:szCs w:val="18"/>
          <w:color w:val="auto"/>
        </w:rPr>
        <w:t>The deemed return applicable to other investments, including the ordinary shares, is set at 6.17% for the calendar year 2023. Transactions in the three-month period before and after 1 January of the relevant calendar year implemented to arbitrate between the deemed return percentages applicable to bank savings, other investments and liabilities will for this purpose be ignored if the holder of the ordinary shares cannot sufficiently demonstrate that such transactions are implemented for other than tax reasons.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Non-residents of the Netherlands</w:t>
      </w:r>
    </w:p>
    <w:p>
      <w:pPr>
        <w:spacing w:after="0" w:line="2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 holder of our ordinary shares that is neither a Dutch Resident Entity nor a Dutch Resident Individual will not be subject to Dutch income tax in respect of income derived or deemed to be derived from our ordinary shares or in respect of capital gains realized on the disposal or deemed disposal of the ordinary shares, provided that:</w:t>
      </w:r>
    </w:p>
    <w:p>
      <w:pPr>
        <w:spacing w:after="0" w:line="184" w:lineRule="exact"/>
        <w:rPr>
          <w:sz w:val="20"/>
          <w:szCs w:val="20"/>
          <w:color w:val="auto"/>
        </w:rPr>
      </w:pPr>
    </w:p>
    <w:p>
      <w:pPr>
        <w:ind w:left="1500" w:right="60" w:hanging="743"/>
        <w:spacing w:after="0" w:line="259" w:lineRule="auto"/>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holder does not have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186" w:lineRule="exact"/>
        <w:rPr>
          <w:rFonts w:ascii="Arial" w:cs="Arial" w:eastAsia="Arial" w:hAnsi="Arial"/>
          <w:sz w:val="18"/>
          <w:szCs w:val="18"/>
          <w:color w:val="auto"/>
        </w:rPr>
      </w:pPr>
    </w:p>
    <w:p>
      <w:pPr>
        <w:jc w:val="both"/>
        <w:ind w:left="1500" w:right="320" w:hanging="743"/>
        <w:spacing w:after="0" w:line="263" w:lineRule="auto"/>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event the holder is an individual, such holder does not carry out any activities in the Netherlands with respect to the ordinary shares that go beyond ordinary asset management and does not derive benefits from the ordinary shares that are taxable as benefits from miscellaneous activities in the Netherlands.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Gift and Inheritance Taxes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Residents of the Netherlands</w:t>
      </w:r>
    </w:p>
    <w:p>
      <w:pPr>
        <w:spacing w:after="0" w:line="225"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Arial" w:cs="Arial" w:eastAsia="Arial" w:hAnsi="Arial"/>
          <w:sz w:val="18"/>
          <w:szCs w:val="18"/>
          <w:i w:val="1"/>
          <w:iCs w:val="1"/>
          <w:color w:val="auto"/>
        </w:rPr>
        <w:t>’</w:t>
      </w:r>
      <w:r>
        <w:rPr>
          <w:rFonts w:ascii="Arial" w:cs="Arial" w:eastAsia="Arial" w:hAnsi="Arial"/>
          <w:sz w:val="18"/>
          <w:szCs w:val="18"/>
          <w:color w:val="auto"/>
        </w:rPr>
        <w:t>s death.</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Non-residents of the Netherlands</w:t>
      </w:r>
    </w:p>
    <w:p>
      <w:pPr>
        <w:spacing w:after="0" w:line="225"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No gift or inheritance taxes will arise in the Netherlands with respect to a transfer of our ordinary shares by way of gift by, or on the death of, a holder of our ordinary shares who is neither resident nor deemed to be resident of the Netherlands, unless:</w:t>
      </w:r>
    </w:p>
    <w:p>
      <w:pPr>
        <w:spacing w:after="0" w:line="170" w:lineRule="exact"/>
        <w:rPr>
          <w:sz w:val="20"/>
          <w:szCs w:val="20"/>
          <w:color w:val="auto"/>
        </w:rPr>
      </w:pPr>
    </w:p>
    <w:p>
      <w:pPr>
        <w:ind w:left="1500" w:right="40" w:hanging="743"/>
        <w:spacing w:after="0" w:line="263" w:lineRule="auto"/>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left="1500" w:hanging="743"/>
        <w:spacing w:after="0" w:line="277" w:lineRule="auto"/>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a gift of our ordinary shares made under a condition precedent, the holder of ordinary shares is resident or deemed to be resident of the Netherlands at the time the condition is fulfilled; or</w:t>
      </w:r>
    </w:p>
    <w:p>
      <w:pPr>
        <w:spacing w:after="0" w:line="170" w:lineRule="exact"/>
        <w:rPr>
          <w:rFonts w:ascii="Arial" w:cs="Arial" w:eastAsia="Arial" w:hAnsi="Arial"/>
          <w:sz w:val="18"/>
          <w:szCs w:val="18"/>
          <w:color w:val="auto"/>
        </w:rPr>
      </w:pPr>
    </w:p>
    <w:p>
      <w:pPr>
        <w:ind w:left="1500" w:hanging="743"/>
        <w:spacing w:after="0" w:line="277" w:lineRule="auto"/>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transfer is otherwise construed as a gift or inheritance made by, or on behalf of, a person who, at the time of the gift or death, is or is deemed to be resident of the Netherlands.</w:t>
      </w:r>
    </w:p>
    <w:p>
      <w:pPr>
        <w:spacing w:after="0" w:line="170"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Value Added Tax (VAT)</w:t>
      </w:r>
    </w:p>
    <w:p>
      <w:pPr>
        <w:spacing w:after="0" w:line="225"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No Dutch value added tax will be payable by a holder of our ordinary shares in respect of any payment in consideration for the holding or disposal of our ordinary shares.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225"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No Dutch documentation taxes (commonly referred to as stamp duties) will be payable by a holder of our ordinary shares in respect of any payment in consideration for the holding or disposal of our ordinary shares.</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prospectus relates to the offer and sale from time to time by the selling securityholders or their permitted transferees of an aggregate of up to</w:t>
      </w:r>
    </w:p>
    <w:p>
      <w:pPr>
        <w:spacing w:after="0" w:line="4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6,951,340 Ordinary Shares pursuant to the Subscription Agreement. This prospectus also covers any additional securities that may become issuable by reason of share splits, share dividends or other similar transactions. All of the Ordinary Shares offered by the selling securityholders pursuant to this prospectus will be sold by the selling securityholders for their respective accounts. The aggregate proceeds to the selling securityholders from the sale of the Ordinary Shares offered by them will be the purchase price less discounts or commissions, if any. We will not receive any of the proceeds from such sales.</w:t>
      </w:r>
    </w:p>
    <w:p>
      <w:pPr>
        <w:spacing w:after="0" w:line="191"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selling securityholders will pay any discounts and commissions and expenses incurred by the selling securityholders for brokerage, accounting, tax or legal services or any other expenses incurred by the selling securityholders in disposing of the securities. Except as provided otherwise in the Subscription Agreement,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8"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color w:val="auto"/>
        </w:rPr>
        <w:t>The securities beneficially owned by the selling securityholders covered by this prospectus may be offered and sold from time to time by the selling securityholders. The selling securityholders may also transfer their Ordinary Shares in accordance with the provisions of the Subscription Agreement, in which case such transferees or other successors in interest will be the selling beneficial owners for purposes of this prospectus and may sell the Ordinary Shares from time to time under this prospectus after we have filed an update to this prospectus under Rule 424(b) or other applicable provision of the Securities Act amending the list of selling securityholders to include the permitted transferee or other successors in interest as a “selling security stockholder” under this prospectus. The term “selling securityholders” includes the permitted transferees or other successors in interest selling securities received after the date of this prospectus from the selling securityholders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our then current market price or in negotiated transactions. The selling securityholders reserve the right to accept and, together with their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w:t>
      </w:r>
    </w:p>
    <w:p>
      <w:pPr>
        <w:spacing w:after="0" w:line="168"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Subject to the limitations set forth in the Subscription Agreement, the selling securityholders may use any one or more of the following methods when selling the securities offered by this prospectus:</w:t>
      </w:r>
    </w:p>
    <w:p>
      <w:pPr>
        <w:spacing w:after="0" w:line="170" w:lineRule="exact"/>
        <w:rPr>
          <w:sz w:val="20"/>
          <w:szCs w:val="20"/>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225" w:lineRule="exact"/>
        <w:rPr>
          <w:rFonts w:ascii="Arial" w:cs="Arial" w:eastAsia="Arial" w:hAnsi="Arial"/>
          <w:sz w:val="18"/>
          <w:szCs w:val="18"/>
          <w:color w:val="auto"/>
        </w:rPr>
      </w:pPr>
    </w:p>
    <w:p>
      <w:pPr>
        <w:ind w:left="1140" w:right="2900" w:hanging="383"/>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225" w:lineRule="exact"/>
        <w:rPr>
          <w:rFonts w:ascii="Arial" w:cs="Arial" w:eastAsia="Arial" w:hAnsi="Arial"/>
          <w:sz w:val="18"/>
          <w:szCs w:val="18"/>
          <w:color w:val="auto"/>
        </w:rPr>
      </w:pPr>
    </w:p>
    <w:p>
      <w:pPr>
        <w:ind w:left="1140" w:right="160" w:hanging="383"/>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short sales effected after the date of the registration statement of which this prospectus is a part is declared effective by the SEC;</w:t>
      </w:r>
    </w:p>
    <w:p>
      <w:pPr>
        <w:spacing w:after="0" w:line="236" w:lineRule="exact"/>
        <w:rPr>
          <w:rFonts w:ascii="Arial" w:cs="Arial" w:eastAsia="Arial" w:hAnsi="Arial"/>
          <w:sz w:val="17"/>
          <w:szCs w:val="17"/>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delayed delivery arrangement;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or through broker-dealers;</w:t>
      </w:r>
    </w:p>
    <w:p>
      <w:pPr>
        <w:spacing w:after="0" w:line="225" w:lineRule="exact"/>
        <w:rPr>
          <w:rFonts w:ascii="Arial" w:cs="Arial" w:eastAsia="Arial" w:hAnsi="Arial"/>
          <w:sz w:val="18"/>
          <w:szCs w:val="18"/>
          <w:color w:val="auto"/>
        </w:rPr>
      </w:pPr>
    </w:p>
    <w:p>
      <w:pPr>
        <w:ind w:left="1140" w:right="500" w:hanging="383"/>
        <w:spacing w:after="0" w:line="342"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23"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options transactions; or</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225"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7" w:lineRule="exact"/>
        <w:rPr>
          <w:sz w:val="20"/>
          <w:szCs w:val="20"/>
          <w:color w:val="auto"/>
        </w:rPr>
      </w:pPr>
    </w:p>
    <w:p>
      <w:pPr>
        <w:ind w:right="240" w:firstLine="749"/>
        <w:spacing w:after="0" w:line="257" w:lineRule="auto"/>
        <w:rPr>
          <w:sz w:val="20"/>
          <w:szCs w:val="20"/>
          <w:color w:val="auto"/>
        </w:rPr>
      </w:pPr>
      <w:r>
        <w:rPr>
          <w:rFonts w:ascii="Arial" w:cs="Arial" w:eastAsia="Arial" w:hAnsi="Arial"/>
          <w:sz w:val="18"/>
          <w:szCs w:val="18"/>
          <w:color w:val="auto"/>
        </w:rPr>
        <w:t>The selling securityholders may also transfer the securities in other circumstances, including in connection with distributions to members, partners, stockholders or other equityholders of the selling securityholders, in which case the permitted transferees or other successors-in-interest will be the selling beneficial owners for purposes of this prospectus. Upon being notified by the selling securityholders that a permitted transferee or other successor-in-interest intends to sell our securities, we will, to the extent required, promptly file a supplement to this prospectus to name specifically such person as a selling securityholder.</w:t>
      </w:r>
    </w:p>
    <w:p>
      <w:pPr>
        <w:spacing w:after="0" w:line="188"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78" w:lineRule="exact"/>
        <w:rPr>
          <w:sz w:val="20"/>
          <w:szCs w:val="20"/>
          <w:color w:val="auto"/>
        </w:rPr>
      </w:pPr>
    </w:p>
    <w:p>
      <w:pPr>
        <w:ind w:right="200" w:firstLine="749"/>
        <w:spacing w:after="0" w:line="311" w:lineRule="auto"/>
        <w:rPr>
          <w:sz w:val="20"/>
          <w:szCs w:val="20"/>
          <w:color w:val="auto"/>
        </w:rPr>
      </w:pPr>
      <w:r>
        <w:rPr>
          <w:rFonts w:ascii="Arial" w:cs="Arial" w:eastAsia="Arial" w:hAnsi="Arial"/>
          <w:sz w:val="16"/>
          <w:szCs w:val="16"/>
          <w:color w:val="auto"/>
        </w:rPr>
        <w:t>To the extent required, our Ordinary Shares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49"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In order to facilitate the offering of the securities, any agents involved in the offering of such securities may engage in transactions that stabilize, maintain or otherwise affect the price of our securities. Specifically, the agents, as the case may be, may overallot in connection with the offering, creating a short position in our securities for their own account. In addition, to cover overallotments or to stabilize the price of our securities, the agents may bid for, and purchase, such securities in the open market. The agents are not required to engage in these activities, and may end any of these activities at any time.</w:t>
      </w:r>
    </w:p>
    <w:p>
      <w:pPr>
        <w:spacing w:after="0" w:line="157"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The selling securityholders may solicit offers to purchase the securities directly from, and they may sell such securities directly to, institutional investors or others. In this case, no agents would be involved. The terms of any of those sales, including the terms of any bidding or auction process, if utilized, will be described in the applicable prospectus supplement.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right="360" w:firstLine="749"/>
        <w:spacing w:after="0" w:line="277" w:lineRule="auto"/>
        <w:rPr>
          <w:sz w:val="20"/>
          <w:szCs w:val="20"/>
          <w:color w:val="auto"/>
        </w:rPr>
      </w:pPr>
      <w:r>
        <w:rPr>
          <w:rFonts w:ascii="Arial" w:cs="Arial" w:eastAsia="Arial" w:hAnsi="Arial"/>
          <w:sz w:val="18"/>
          <w:szCs w:val="18"/>
          <w:color w:val="auto"/>
        </w:rPr>
        <w:t>We cannot give any assurance as to the liquidity of the trading market for our securities. Our Ordinary Shares are listed on Nasdaq under the symbol “PHVS.”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selling securityholder may be deemed to be an “underwriter” within the meaning of the Securities Act with respect to the shares it is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resale.</w:t>
      </w:r>
    </w:p>
    <w:p>
      <w:pPr>
        <w:spacing w:after="0" w:line="211"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84"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We have agreed to indemnify the selling securityholders against certain liabilities, including certain liabilities under the Securities Act, the Exchange Act or other federal or state law. We may enter into agreements to indemnify dealers and agents against civil liabilities, including liabilities under the Securities Act, or to contribute to payments they may be required to make in respect thereof and to reimburse those persons for certain expenses.</w:t>
      </w:r>
    </w:p>
    <w:p>
      <w:pPr>
        <w:spacing w:after="0" w:line="149"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We have agreed with the selling securityholders pursuant to the Subscription Agreement to use commercially reasonable efforts to keep the registration statement of which this prospectus constitutes a part effective until the earlier of the following: (i) the date on which the Ordinary Shares subscribed for by the selling securityholders pursuant to the Subscription Agreement may be resold without volume or manner of sale limitations, and without the requirement that the Company be current in its public reporting, in each case pursuant to Rule 144 promulgated under the Securities Act, (ii) the date on which all Ordinary Shares subscribed for by the selling securityholders pursuant to the Subscription Agreement have actually been sold and (iii) the date which is three (3) years after this registration statement is declared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jc w:val="both"/>
        <w:ind w:right="140" w:firstLine="509"/>
        <w:spacing w:after="0" w:line="279" w:lineRule="auto"/>
        <w:rPr>
          <w:sz w:val="20"/>
          <w:szCs w:val="20"/>
          <w:color w:val="auto"/>
        </w:rPr>
      </w:pPr>
      <w:r>
        <w:rPr>
          <w:rFonts w:ascii="Arial" w:cs="Arial" w:eastAsia="Arial" w:hAnsi="Arial"/>
          <w:sz w:val="17"/>
          <w:szCs w:val="17"/>
          <w:i w:val="1"/>
          <w:iCs w:val="1"/>
          <w:color w:val="auto"/>
        </w:rPr>
        <w:t>This section of the registration statement includes a description of the material terms of Pharvaris’ articles of association and of applicable Dutch law. The following description is intended as a summary only and does not constitute legal advice regarding those matters and should not be regarded as such. The description is qualified in its entirety by reference to the complete text of Pharvaris’ articles of association, which are included as an exhibit to this registration statement. We urge you to read the full text of Pharvaris’ articles of association.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Ordinary Shares of the Registrant</w:t>
      </w:r>
    </w:p>
    <w:p>
      <w:pPr>
        <w:spacing w:after="0" w:line="229"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As of the date of this prospectus, we have only one class of securities registered under Section 12 of the Securities Exchange Act of 1934, as amended; our registered ordinary shares.</w:t>
      </w:r>
    </w:p>
    <w:p>
      <w:pPr>
        <w:spacing w:after="0" w:line="170"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We are registered with the Trade Register of the Chamber of Commerce (</w:t>
      </w:r>
      <w:r>
        <w:rPr>
          <w:rFonts w:ascii="Arial" w:cs="Arial" w:eastAsia="Arial" w:hAnsi="Arial"/>
          <w:sz w:val="18"/>
          <w:szCs w:val="18"/>
          <w:i w:val="1"/>
          <w:iCs w:val="1"/>
          <w:color w:val="auto"/>
        </w:rPr>
        <w:t>Kamer van Koophandel</w:t>
      </w:r>
      <w:r>
        <w:rPr>
          <w:rFonts w:ascii="Arial" w:cs="Arial" w:eastAsia="Arial" w:hAnsi="Arial"/>
          <w:sz w:val="18"/>
          <w:szCs w:val="18"/>
          <w:color w:val="auto"/>
        </w:rPr>
        <w:t>) under number 64239411. Our corporate seat is in Leiden, the Netherlands, and our registered office is also in Leiden, the Netherlands.</w:t>
      </w:r>
    </w:p>
    <w:p>
      <w:pPr>
        <w:spacing w:after="0" w:line="170"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The following description of our ordinary shares is a summary and does not purport to be complete. It is subject to and qualified in its entirety by reference to our Articles of Association, which are incorporated herein by reference to Exhibit 3.1 to the Company’s Registration Statement on Form S-8 filed with the SEC on February 9, 2021.</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 Ordinary Shares</w:t>
      </w:r>
    </w:p>
    <w:p>
      <w:pPr>
        <w:spacing w:after="0" w:line="229" w:lineRule="exact"/>
        <w:rPr>
          <w:sz w:val="20"/>
          <w:szCs w:val="20"/>
          <w:color w:val="auto"/>
        </w:rPr>
      </w:pPr>
    </w:p>
    <w:p>
      <w:pPr>
        <w:jc w:val="both"/>
        <w:ind w:right="40" w:firstLine="749"/>
        <w:spacing w:after="0" w:line="286" w:lineRule="auto"/>
        <w:rPr>
          <w:sz w:val="20"/>
          <w:szCs w:val="20"/>
          <w:color w:val="auto"/>
        </w:rPr>
      </w:pPr>
      <w:r>
        <w:rPr>
          <w:rFonts w:ascii="Arial" w:cs="Arial" w:eastAsia="Arial" w:hAnsi="Arial"/>
          <w:sz w:val="17"/>
          <w:szCs w:val="17"/>
          <w:color w:val="auto"/>
        </w:rPr>
        <w:t>Our ordinary shares and preferred shares shall be in registered form (</w:t>
      </w:r>
      <w:r>
        <w:rPr>
          <w:rFonts w:ascii="Arial" w:cs="Arial" w:eastAsia="Arial" w:hAnsi="Arial"/>
          <w:sz w:val="17"/>
          <w:szCs w:val="17"/>
          <w:i w:val="1"/>
          <w:iCs w:val="1"/>
          <w:color w:val="auto"/>
        </w:rPr>
        <w:t>op naam</w:t>
      </w:r>
      <w:r>
        <w:rPr>
          <w:rFonts w:ascii="Arial" w:cs="Arial" w:eastAsia="Arial" w:hAnsi="Arial"/>
          <w:sz w:val="17"/>
          <w:szCs w:val="17"/>
          <w:color w:val="auto"/>
        </w:rPr>
        <w:t>). We may issue share certificates (</w:t>
      </w:r>
      <w:r>
        <w:rPr>
          <w:rFonts w:ascii="Arial" w:cs="Arial" w:eastAsia="Arial" w:hAnsi="Arial"/>
          <w:sz w:val="17"/>
          <w:szCs w:val="17"/>
          <w:i w:val="1"/>
          <w:iCs w:val="1"/>
          <w:color w:val="auto"/>
        </w:rPr>
        <w:t>aandeelbewijzen</w:t>
      </w:r>
      <w:r>
        <w:rPr>
          <w:rFonts w:ascii="Arial" w:cs="Arial" w:eastAsia="Arial" w:hAnsi="Arial"/>
          <w:sz w:val="17"/>
          <w:szCs w:val="17"/>
          <w:color w:val="auto"/>
        </w:rPr>
        <w:t>) for registered shares in such form as may be approved by our Board. Our authorized share capital amounts to €14,100,000, divided into 58,750,000 ordinary shares, each with a nominal value of €0.12, and 58,750,000 preferred shares, each with a nominal value of €0.12.</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Under Dutch law, our authorized share capital is the maximum capital that we may issue without amending our Articles of Association.</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summarizes the main rights of holders of our ordinary shares:</w:t>
      </w:r>
    </w:p>
    <w:p>
      <w:pPr>
        <w:spacing w:after="0" w:line="225" w:lineRule="exact"/>
        <w:rPr>
          <w:sz w:val="20"/>
          <w:szCs w:val="20"/>
          <w:color w:val="auto"/>
        </w:rPr>
      </w:pPr>
    </w:p>
    <w:p>
      <w:pPr>
        <w:ind w:left="1500" w:right="560" w:hanging="690"/>
        <w:spacing w:after="0" w:line="277" w:lineRule="auto"/>
        <w:tabs>
          <w:tab w:leader="none" w:pos="11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holder of ordinary shares is entitled to one vote per share on all matters to be voted on by shareholders generally, including the appointment of directors;</w:t>
      </w:r>
    </w:p>
    <w:p>
      <w:pPr>
        <w:spacing w:after="0" w:line="170" w:lineRule="exact"/>
        <w:rPr>
          <w:sz w:val="20"/>
          <w:szCs w:val="20"/>
          <w:color w:val="auto"/>
        </w:rPr>
      </w:pPr>
    </w:p>
    <w:p>
      <w:pPr>
        <w:ind w:left="1180" w:hanging="370"/>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are no cumulative voting rights;</w:t>
      </w:r>
    </w:p>
    <w:p>
      <w:pPr>
        <w:spacing w:after="0" w:line="225" w:lineRule="exact"/>
        <w:rPr>
          <w:sz w:val="20"/>
          <w:szCs w:val="20"/>
          <w:color w:val="auto"/>
        </w:rPr>
      </w:pPr>
    </w:p>
    <w:p>
      <w:pPr>
        <w:ind w:left="1500" w:right="120" w:hanging="690"/>
        <w:spacing w:after="0" w:line="259" w:lineRule="auto"/>
        <w:tabs>
          <w:tab w:leader="none" w:pos="11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our ordinary shares are entitled to dividends and other distributions as may be declared from time to time by us out of funds legally available for that purpose, if any, following payment of the preferred dividend if any preferred shares are or have been outstanding (to the extent holders or former holders of preferred shares are entitled to such distribution under our Articles of Association);</w:t>
      </w:r>
    </w:p>
    <w:p>
      <w:pPr>
        <w:spacing w:after="0" w:line="187" w:lineRule="exact"/>
        <w:rPr>
          <w:sz w:val="20"/>
          <w:szCs w:val="20"/>
          <w:color w:val="auto"/>
        </w:rPr>
      </w:pPr>
    </w:p>
    <w:p>
      <w:pPr>
        <w:ind w:left="1180" w:right="40" w:hanging="694"/>
        <w:spacing w:after="0" w:line="259" w:lineRule="auto"/>
        <w:tabs>
          <w:tab w:leader="none" w:pos="1160" w:val="left"/>
        </w:tabs>
        <w:rPr>
          <w:sz w:val="20"/>
          <w:szCs w:val="20"/>
          <w:color w:val="auto"/>
        </w:rPr>
      </w:pPr>
      <w:r>
        <w:rPr>
          <w:rFonts w:ascii="Arial" w:cs="Arial" w:eastAsia="Arial" w:hAnsi="Arial"/>
          <w:sz w:val="18"/>
          <w:szCs w:val="18"/>
          <w:color w:val="auto"/>
        </w:rPr>
        <w:t>IV.</w:t>
        <w:tab/>
        <w:t>upon our liquidation or dissolution, the holders of ordinary shares will be entitled to share ratably in the distribution of all of our assets remaining available for distribution after satisfaction of all our liabilities, following payment of the preferred dividend if any preferred shares are or have been outstanding (to the extent holders or former holders of preferred shares are entitled to such distribution under our Articles of Association); and</w:t>
      </w:r>
    </w:p>
    <w:p>
      <w:pPr>
        <w:spacing w:after="0" w:line="187" w:lineRule="exact"/>
        <w:rPr>
          <w:sz w:val="20"/>
          <w:szCs w:val="20"/>
          <w:color w:val="auto"/>
        </w:rPr>
      </w:pPr>
    </w:p>
    <w:p>
      <w:pPr>
        <w:ind w:left="1500" w:right="60" w:hanging="690"/>
        <w:spacing w:after="0" w:line="277" w:lineRule="auto"/>
        <w:tabs>
          <w:tab w:leader="none" w:pos="11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ordinary shares have preemptive rights in case of share issuances or the grant of rights to subscribe for shares, except if such rights are limited or excluded by the corporate body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ind w:left="1500"/>
        <w:spacing w:after="0"/>
        <w:rPr>
          <w:sz w:val="20"/>
          <w:szCs w:val="20"/>
          <w:color w:val="auto"/>
        </w:rPr>
      </w:pPr>
      <w:r>
        <w:rPr>
          <w:rFonts w:ascii="Arial" w:cs="Arial" w:eastAsia="Arial" w:hAnsi="Arial"/>
          <w:sz w:val="18"/>
          <w:szCs w:val="18"/>
          <w:color w:val="auto"/>
        </w:rPr>
        <w:t>authorized to do so and except in such cases as provided by Dutch law and our Articles of Association.</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 Amendment to our Articles of Association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 amendment to our Articles of Association would require a resolution of the general meeting upon proposal by the Board.</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 Limitations on the Rights to Own Ordinary Shares</w:t>
      </w:r>
    </w:p>
    <w:p>
      <w:pPr>
        <w:spacing w:after="0" w:line="229" w:lineRule="exact"/>
        <w:rPr>
          <w:sz w:val="20"/>
          <w:szCs w:val="20"/>
          <w:color w:val="auto"/>
        </w:rPr>
      </w:pPr>
    </w:p>
    <w:p>
      <w:pPr>
        <w:ind w:right="620" w:firstLine="749"/>
        <w:spacing w:after="0" w:line="259" w:lineRule="auto"/>
        <w:rPr>
          <w:sz w:val="20"/>
          <w:szCs w:val="20"/>
          <w:color w:val="auto"/>
        </w:rPr>
      </w:pPr>
      <w:r>
        <w:rPr>
          <w:rFonts w:ascii="Arial" w:cs="Arial" w:eastAsia="Arial" w:hAnsi="Arial"/>
          <w:sz w:val="18"/>
          <w:szCs w:val="18"/>
          <w:color w:val="auto"/>
        </w:rPr>
        <w:t>Our ordinary shares may be issued to individuals, corporations, trusts, estates of deceased individuals, partnerships and unincorporated associations of persons. Our Articles of Association contain no limitation on the rights to own our ordinary shares and no limitation on the rights of nonresidents of the Netherlands or foreign shareholders to hold or exercise voting rights. Our preferred shares shall only be issued to the protective foundation, if and when incorporated.</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 Limitation on Liability and Indemnification Matters</w:t>
      </w:r>
    </w:p>
    <w:p>
      <w:pPr>
        <w:spacing w:after="0" w:line="229"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Under Dutch law,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 Subject to certain exceptions, our Articles of Association provide for indemnification of our current and former directors (and other current and former officers and employees as designated by our Board). No indemnification under our Articles of Association shall be given to an indemnified person:</w:t>
      </w:r>
    </w:p>
    <w:p>
      <w:pPr>
        <w:spacing w:after="0" w:line="188" w:lineRule="exact"/>
        <w:rPr>
          <w:sz w:val="20"/>
          <w:szCs w:val="20"/>
          <w:color w:val="auto"/>
        </w:rPr>
      </w:pPr>
    </w:p>
    <w:p>
      <w:pPr>
        <w:jc w:val="both"/>
        <w:ind w:left="1140" w:hanging="383"/>
        <w:spacing w:after="0" w:line="259"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186" w:lineRule="exact"/>
        <w:rPr>
          <w:rFonts w:ascii="Arial" w:cs="Arial" w:eastAsia="Arial" w:hAnsi="Arial"/>
          <w:sz w:val="18"/>
          <w:szCs w:val="18"/>
          <w:color w:val="auto"/>
        </w:rPr>
      </w:pPr>
    </w:p>
    <w:p>
      <w:pPr>
        <w:ind w:left="1140" w:hanging="383"/>
        <w:spacing w:after="0" w:line="308" w:lineRule="auto"/>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146" w:lineRule="exact"/>
        <w:rPr>
          <w:rFonts w:ascii="Arial" w:cs="Arial" w:eastAsia="Arial" w:hAnsi="Arial"/>
          <w:sz w:val="17"/>
          <w:szCs w:val="17"/>
          <w:color w:val="auto"/>
        </w:rPr>
      </w:pPr>
    </w:p>
    <w:p>
      <w:pPr>
        <w:jc w:val="both"/>
        <w:ind w:left="1140" w:hanging="383"/>
        <w:spacing w:after="0" w:line="259"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relation to proceedings brought by such indemnified person against the Company, except for proceedings brought to enforce indemnification to which he or she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186"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any financial losses, damages or expenses incurred in connection with a settlement of any proceedings effected without the Company’s prior consent.</w:t>
      </w:r>
    </w:p>
    <w:p>
      <w:pPr>
        <w:spacing w:after="0" w:line="170" w:lineRule="exact"/>
        <w:rPr>
          <w:sz w:val="20"/>
          <w:szCs w:val="20"/>
          <w:color w:val="auto"/>
        </w:rPr>
      </w:pPr>
    </w:p>
    <w:p>
      <w:pPr>
        <w:ind w:right="600" w:firstLine="749"/>
        <w:spacing w:after="0" w:line="277" w:lineRule="auto"/>
        <w:rPr>
          <w:sz w:val="20"/>
          <w:szCs w:val="20"/>
          <w:color w:val="auto"/>
        </w:rPr>
      </w:pPr>
      <w:r>
        <w:rPr>
          <w:rFonts w:ascii="Arial" w:cs="Arial" w:eastAsia="Arial" w:hAnsi="Arial"/>
          <w:sz w:val="18"/>
          <w:szCs w:val="18"/>
          <w:color w:val="auto"/>
        </w:rPr>
        <w:t>Under our Articles of Association, our Board may stipulate additional terms, conditions and restrictions in relation to the indemnification described above.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 Shareholders’ Meetings and Consents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General Meeting</w:t>
      </w:r>
    </w:p>
    <w:p>
      <w:pPr>
        <w:spacing w:after="0" w:line="225"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General meetings may be held in Amsterdam, Arnhem, Assen, The Hague, Haarlem, s-Hertogenbosch, Groningen, Leeuwarden, Lelystad, Leiden, Maastricht, Middelburg, Rotterdam, Schiphol (Haarlemmermeer), Utrecht or Zwolle, all in the Netherlands. The annual general meeting must be held within six months of the end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right="220"/>
        <w:spacing w:after="0" w:line="286" w:lineRule="auto"/>
        <w:rPr>
          <w:sz w:val="20"/>
          <w:szCs w:val="20"/>
          <w:color w:val="auto"/>
        </w:rPr>
      </w:pPr>
      <w:r>
        <w:rPr>
          <w:rFonts w:ascii="Arial" w:cs="Arial" w:eastAsia="Arial" w:hAnsi="Arial"/>
          <w:sz w:val="17"/>
          <w:szCs w:val="17"/>
          <w:color w:val="auto"/>
        </w:rPr>
        <w:t>each financial year. Additional extraordinary general meetings may also be held, whenever considered appropriate by the Board, and shall be held within three months after our Board has considered it to be likely that our shareholders’ equity (</w:t>
      </w:r>
      <w:r>
        <w:rPr>
          <w:rFonts w:ascii="Arial" w:cs="Arial" w:eastAsia="Arial" w:hAnsi="Arial"/>
          <w:sz w:val="17"/>
          <w:szCs w:val="17"/>
          <w:i w:val="1"/>
          <w:iCs w:val="1"/>
          <w:color w:val="auto"/>
        </w:rPr>
        <w:t>eigen vermogen</w:t>
      </w:r>
      <w:r>
        <w:rPr>
          <w:rFonts w:ascii="Arial" w:cs="Arial" w:eastAsia="Arial" w:hAnsi="Arial"/>
          <w:sz w:val="17"/>
          <w:szCs w:val="17"/>
          <w:color w:val="auto"/>
        </w:rPr>
        <w:t>) has decreased to an amount equal to or lower than half of our paid-up and called-up share capital, in order to discuss the measures to be taken if so required.</w:t>
      </w:r>
    </w:p>
    <w:p>
      <w:pPr>
        <w:spacing w:after="0" w:line="165"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77"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the statutory annual accounts, appropriation of our profits and proposals relating to the composition of the Board, including the filling of any vacancies in the Board. In addition, the agenda shall include such items as have been included therein by the Board.</w:t>
      </w:r>
    </w:p>
    <w:p>
      <w:pPr>
        <w:spacing w:after="0" w:line="192" w:lineRule="exact"/>
        <w:rPr>
          <w:sz w:val="20"/>
          <w:szCs w:val="20"/>
          <w:color w:val="auto"/>
        </w:rPr>
      </w:pPr>
    </w:p>
    <w:p>
      <w:pPr>
        <w:jc w:val="both"/>
        <w:ind w:right="160" w:firstLine="749"/>
        <w:spacing w:after="0" w:line="286" w:lineRule="auto"/>
        <w:rPr>
          <w:sz w:val="20"/>
          <w:szCs w:val="20"/>
          <w:color w:val="auto"/>
        </w:rPr>
      </w:pPr>
      <w:r>
        <w:rPr>
          <w:rFonts w:ascii="Arial" w:cs="Arial" w:eastAsia="Arial" w:hAnsi="Arial"/>
          <w:sz w:val="17"/>
          <w:szCs w:val="17"/>
          <w:color w:val="auto"/>
        </w:rPr>
        <w:t>The agenda shall also include such items requested by one or more shareholders, or others with meeting rights under Dutch law, representing at least 3% of our issued share capital. These requests must be made in writing or by electronic means and received by the Board at least 60 days before the day of the meeting. No resolutions shall be adopted on items other than those that have been included in the agenda.</w:t>
      </w:r>
    </w:p>
    <w:p>
      <w:pPr>
        <w:spacing w:after="0" w:line="165"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In accordance with the Dutch Corporate Governance Code, or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 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shall not apply: (a) in respect of a matter for which either a response period or a statutory cooling-off period (as discussed below) has been previously invoked; or (b) in situations where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82"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In addition,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78" w:lineRule="exact"/>
        <w:rPr>
          <w:sz w:val="20"/>
          <w:szCs w:val="20"/>
          <w:color w:val="auto"/>
        </w:rPr>
      </w:pPr>
    </w:p>
    <w:p>
      <w:pPr>
        <w:ind w:right="120" w:firstLine="749"/>
        <w:spacing w:after="0" w:line="311"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ind w:right="140"/>
        <w:spacing w:after="0" w:line="296" w:lineRule="auto"/>
        <w:rPr>
          <w:sz w:val="20"/>
          <w:szCs w:val="20"/>
          <w:color w:val="auto"/>
        </w:rPr>
      </w:pPr>
      <w:r>
        <w:rPr>
          <w:rFonts w:ascii="Arial" w:cs="Arial" w:eastAsia="Arial" w:hAnsi="Arial"/>
          <w:sz w:val="16"/>
          <w:szCs w:val="16"/>
          <w:color w:val="auto"/>
        </w:rPr>
        <w:t>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at our office for inspection by shareholders and others with meeting rights under Dutch law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61" w:lineRule="exact"/>
        <w:rPr>
          <w:sz w:val="20"/>
          <w:szCs w:val="20"/>
          <w:color w:val="auto"/>
        </w:rPr>
      </w:pPr>
    </w:p>
    <w:p>
      <w:pPr>
        <w:ind w:left="1140" w:hanging="383"/>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cannot reasonably believe that a continuation of the cooling-off period would contribute to careful policy-making; or</w:t>
      </w:r>
    </w:p>
    <w:p>
      <w:pPr>
        <w:spacing w:after="0" w:line="225" w:lineRule="exact"/>
        <w:rPr>
          <w:rFonts w:ascii="Arial" w:cs="Arial" w:eastAsia="Arial" w:hAnsi="Arial"/>
          <w:sz w:val="18"/>
          <w:szCs w:val="18"/>
          <w:color w:val="auto"/>
        </w:rPr>
      </w:pPr>
    </w:p>
    <w:p>
      <w:pPr>
        <w:jc w:val="both"/>
        <w:ind w:left="1140" w:hanging="383"/>
        <w:spacing w:after="0" w:line="263"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84"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The general meeting is presided over by the chair of the Board. If no chair has been elected or if he or she is not present at the meeting, the general meeting shall be presided over by the vice-Chair. If no vice-Chair has been elected or if he or she is not present at the meeting, the general meeting shall be presided over by the chief executive officer. If no chief executive officer has been elected or if he or she is not present at the meeting, the general meeting shall be presided over by another director present at the meeting. If no director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Directors may always attend a general meeting. In these meetings, they have an advisory vote. The chair of the meeting may decide at his or her discretion to admit other persons to the meeting.</w:t>
      </w:r>
    </w:p>
    <w:p>
      <w:pPr>
        <w:spacing w:after="0" w:line="166"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Quorum and voting requirements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Each ordinary share and each preferred share, if any are outstanding, confers the right on the holder to cast one vote at the general meeting.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Shareholders may vote by proxy. No votes may be cast at a general meeting on shares held by us or our subsidiaries or on shares for which we or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subsidiaries hold depository receipts. Nonetheless, the holders of a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and the holders of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 of shares held by us or our subsidiaries in our share capital are not excluded from the right to vote on such shares, if the right of usufruct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 nor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of our subsidiaries may cast votes in 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 pledge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pandrecht</w:t>
      </w:r>
      <w:r>
        <w:rPr>
          <w:rFonts w:ascii="Arial" w:cs="Arial" w:eastAsia="Arial" w:hAnsi="Arial"/>
          <w:sz w:val="16"/>
          <w:szCs w:val="16"/>
          <w:color w:val="auto"/>
        </w:rPr>
        <w:t>). Shares which are not entitled to voting rights pursuant to the preceding sentences will not be taken into account for the purpose of determining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shareholders that vote and that are present or represented, or the amount of the share capital that is provided or that is represented at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meeting.</w:t>
      </w:r>
    </w:p>
    <w:p>
      <w:pPr>
        <w:spacing w:after="0" w:line="211"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Decisions of the general meeting are taken by a simple majority of votes cast, except where Dutch law or our Articles of Association provide for a qualified majority or unanimity.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left="760"/>
        <w:spacing w:after="0"/>
        <w:rPr>
          <w:sz w:val="20"/>
          <w:szCs w:val="20"/>
          <w:color w:val="auto"/>
        </w:rPr>
      </w:pPr>
      <w:r>
        <w:rPr>
          <w:rFonts w:ascii="Arial" w:cs="Arial" w:eastAsia="Arial" w:hAnsi="Arial"/>
          <w:sz w:val="18"/>
          <w:szCs w:val="18"/>
          <w:b w:val="1"/>
          <w:bCs w:val="1"/>
          <w:color w:val="auto"/>
        </w:rPr>
        <w:t>F. Board</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Appointment of directors</w:t>
      </w:r>
    </w:p>
    <w:p>
      <w:pPr>
        <w:spacing w:after="0" w:line="225"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87"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Duties and liabilities of directors</w:t>
      </w:r>
    </w:p>
    <w:p>
      <w:pPr>
        <w:spacing w:after="0" w:line="225" w:lineRule="exact"/>
        <w:rPr>
          <w:sz w:val="20"/>
          <w:szCs w:val="20"/>
          <w:color w:val="auto"/>
        </w:rPr>
      </w:pPr>
    </w:p>
    <w:p>
      <w:pPr>
        <w:jc w:val="both"/>
        <w:ind w:right="180" w:firstLine="749"/>
        <w:spacing w:after="0" w:line="263" w:lineRule="auto"/>
        <w:rPr>
          <w:sz w:val="20"/>
          <w:szCs w:val="20"/>
          <w:color w:val="auto"/>
        </w:rPr>
      </w:pPr>
      <w:r>
        <w:rPr>
          <w:rFonts w:ascii="Arial" w:cs="Arial" w:eastAsia="Arial" w:hAnsi="Arial"/>
          <w:sz w:val="18"/>
          <w:szCs w:val="18"/>
          <w:color w:val="auto"/>
        </w:rPr>
        <w:t>Under Dutch law, the Board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w:t>
      </w:r>
    </w:p>
    <w:p>
      <w:pPr>
        <w:spacing w:after="0" w:line="184" w:lineRule="exact"/>
        <w:rPr>
          <w:sz w:val="20"/>
          <w:szCs w:val="20"/>
          <w:color w:val="auto"/>
        </w:rPr>
      </w:pPr>
    </w:p>
    <w:p>
      <w:pPr>
        <w:ind w:right="120" w:firstLine="749"/>
        <w:spacing w:after="0" w:line="273" w:lineRule="auto"/>
        <w:rPr>
          <w:sz w:val="20"/>
          <w:szCs w:val="20"/>
          <w:color w:val="auto"/>
        </w:rPr>
      </w:pPr>
      <w:r>
        <w:rPr>
          <w:rFonts w:ascii="Arial" w:cs="Arial" w:eastAsia="Arial" w:hAnsi="Arial"/>
          <w:sz w:val="17"/>
          <w:szCs w:val="17"/>
          <w:color w:val="auto"/>
        </w:rPr>
        <w:t>Subject to certain limitations under Dutch law, the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G. Dividends and Other Distributions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Amount available for distribution</w:t>
      </w:r>
    </w:p>
    <w:p>
      <w:pPr>
        <w:spacing w:after="0" w:line="225"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We may only make distributions, whether of profits or from our reserves, to our shareholders to the extent our shareholders’ equity (</w:t>
      </w:r>
      <w:r>
        <w:rPr>
          <w:rFonts w:ascii="Arial" w:cs="Arial" w:eastAsia="Arial" w:hAnsi="Arial"/>
          <w:sz w:val="16"/>
          <w:szCs w:val="16"/>
          <w:i w:val="1"/>
          <w:iCs w:val="1"/>
          <w:color w:val="auto"/>
        </w:rPr>
        <w:t>eigen</w:t>
      </w:r>
      <w:r>
        <w:rPr>
          <w:rFonts w:ascii="Arial" w:cs="Arial" w:eastAsia="Arial" w:hAnsi="Arial"/>
          <w:sz w:val="16"/>
          <w:szCs w:val="16"/>
          <w:color w:val="auto"/>
        </w:rPr>
        <w:t xml:space="preserve"> </w:t>
      </w:r>
      <w:r>
        <w:rPr>
          <w:rFonts w:ascii="Arial" w:cs="Arial" w:eastAsia="Arial" w:hAnsi="Arial"/>
          <w:sz w:val="16"/>
          <w:szCs w:val="16"/>
          <w:i w:val="1"/>
          <w:iCs w:val="1"/>
          <w:color w:val="auto"/>
        </w:rPr>
        <w:t>vermogen</w:t>
      </w:r>
      <w:r>
        <w:rPr>
          <w:rFonts w:ascii="Arial" w:cs="Arial" w:eastAsia="Arial" w:hAnsi="Arial"/>
          <w:sz w:val="16"/>
          <w:szCs w:val="16"/>
          <w:color w:val="auto"/>
        </w:rPr>
        <w:t>) exceeds the sum of the paid-up and called-up share capital plus any reserves required by Dutch law or by our Articles of Association. Under our</w:t>
      </w:r>
      <w:r>
        <w:rPr>
          <w:rFonts w:ascii="Arial" w:cs="Arial" w:eastAsia="Arial" w:hAnsi="Arial"/>
          <w:sz w:val="16"/>
          <w:szCs w:val="16"/>
          <w:i w:val="1"/>
          <w:iCs w:val="1"/>
          <w:color w:val="auto"/>
        </w:rPr>
        <w:t xml:space="preserve"> </w:t>
      </w:r>
      <w:r>
        <w:rPr>
          <w:rFonts w:ascii="Arial" w:cs="Arial" w:eastAsia="Arial" w:hAnsi="Arial"/>
          <w:sz w:val="16"/>
          <w:szCs w:val="16"/>
          <w:color w:val="auto"/>
        </w:rPr>
        <w:t>Articles of Association, if any preferred shares are or have been outstanding, the preferred dividend is first paid out of the profit, if available for distribution, to the holders or former holders, as applicable, of those preferred shares to the extent they are entitled to such distribution under our Articles of Association. Our Board may decide that all or part of our remaining profits are carried to reserves. After such reservation, any remaining profit will be at the disposal of the general meeting at the proposal of our Board for distribution on our ordinary shares, subject to the applicable restrictions of Dutch law.</w:t>
      </w:r>
    </w:p>
    <w:p>
      <w:pPr>
        <w:spacing w:after="0" w:line="164" w:lineRule="exact"/>
        <w:rPr>
          <w:sz w:val="20"/>
          <w:szCs w:val="20"/>
          <w:color w:val="auto"/>
        </w:rPr>
      </w:pPr>
    </w:p>
    <w:p>
      <w:pPr>
        <w:ind w:right="260" w:firstLine="749"/>
        <w:spacing w:after="0" w:line="342" w:lineRule="auto"/>
        <w:rPr>
          <w:sz w:val="20"/>
          <w:szCs w:val="20"/>
          <w:color w:val="auto"/>
        </w:rPr>
      </w:pPr>
      <w:r>
        <w:rPr>
          <w:rFonts w:ascii="Arial" w:cs="Arial" w:eastAsia="Arial" w:hAnsi="Arial"/>
          <w:sz w:val="16"/>
          <w:szCs w:val="16"/>
          <w:color w:val="auto"/>
        </w:rPr>
        <w:t>We only make a distribution of dividends to our shareholders after the adoption of our annual accounts demonstrating that such distribution is legally permitted. The Board is permitted, subject to certain requirements, to declare interim dividends without the approval of the general meeting.</w:t>
      </w:r>
    </w:p>
    <w:p>
      <w:pPr>
        <w:spacing w:after="0" w:line="124" w:lineRule="exact"/>
        <w:rPr>
          <w:sz w:val="20"/>
          <w:szCs w:val="20"/>
          <w:color w:val="auto"/>
        </w:rPr>
      </w:pPr>
    </w:p>
    <w:p>
      <w:pPr>
        <w:ind w:right="600" w:firstLine="749"/>
        <w:spacing w:after="0" w:line="263" w:lineRule="auto"/>
        <w:rPr>
          <w:sz w:val="20"/>
          <w:szCs w:val="20"/>
          <w:color w:val="auto"/>
        </w:rPr>
      </w:pPr>
      <w:r>
        <w:rPr>
          <w:rFonts w:ascii="Arial" w:cs="Arial" w:eastAsia="Arial" w:hAnsi="Arial"/>
          <w:sz w:val="18"/>
          <w:szCs w:val="18"/>
          <w:color w:val="auto"/>
        </w:rPr>
        <w:t>Dividends and other distributions shall be made payable not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8"/>
          <w:szCs w:val="18"/>
          <w:i w:val="1"/>
          <w:iCs w:val="1"/>
          <w:color w:val="auto"/>
        </w:rPr>
        <w:t>verjaring</w:t>
      </w:r>
      <w:r>
        <w:rPr>
          <w:rFonts w:ascii="Arial" w:cs="Arial" w:eastAsia="Arial" w:hAnsi="Arial"/>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ind w:left="760"/>
        <w:spacing w:after="0"/>
        <w:rPr>
          <w:sz w:val="20"/>
          <w:szCs w:val="20"/>
          <w:color w:val="auto"/>
        </w:rPr>
      </w:pPr>
      <w:r>
        <w:rPr>
          <w:rFonts w:ascii="Arial" w:cs="Arial" w:eastAsia="Arial" w:hAnsi="Arial"/>
          <w:sz w:val="18"/>
          <w:szCs w:val="18"/>
          <w:i w:val="1"/>
          <w:iCs w:val="1"/>
          <w:color w:val="auto"/>
        </w:rPr>
        <w:t>Exchange controls</w:t>
      </w:r>
    </w:p>
    <w:p>
      <w:pPr>
        <w:spacing w:after="0" w:line="225"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Arial" w:cs="Arial" w:eastAsia="Arial" w:hAnsi="Arial"/>
          <w:sz w:val="18"/>
          <w:szCs w:val="18"/>
          <w:i w:val="1"/>
          <w:iCs w:val="1"/>
          <w:color w:val="auto"/>
        </w:rPr>
        <w:t>Sanctiewet 1977</w:t>
      </w:r>
      <w:r>
        <w:rPr>
          <w:rFonts w:ascii="Arial" w:cs="Arial" w:eastAsia="Arial" w:hAnsi="Arial"/>
          <w:sz w:val="18"/>
          <w:szCs w:val="18"/>
          <w:color w:val="auto"/>
        </w:rPr>
        <w:t>)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the Articles of Association or Dutch law that limit the right of shareholders who are not citizens or residents of the Netherlands to hold or vote shares.</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Squeeze-out procedures</w:t>
      </w:r>
    </w:p>
    <w:p>
      <w:pPr>
        <w:spacing w:after="0" w:line="225"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A shareholder who alone or together with group companies holds at least 95% of our issued share capital for his or her own account may initiate proceedings against the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Arial" w:cs="Arial" w:eastAsia="Arial" w:hAnsi="Arial"/>
          <w:sz w:val="17"/>
          <w:szCs w:val="17"/>
          <w:i w:val="1"/>
          <w:iCs w:val="1"/>
          <w:color w:val="auto"/>
        </w:rPr>
        <w:t>Wetboek van Burgerlijke Rechtsvordering</w:t>
      </w:r>
      <w:r>
        <w:rPr>
          <w:rFonts w:ascii="Arial" w:cs="Arial" w:eastAsia="Arial" w:hAnsi="Arial"/>
          <w:sz w:val="17"/>
          <w:szCs w:val="17"/>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 Dissolution and Liquidation</w:t>
      </w:r>
    </w:p>
    <w:p>
      <w:pPr>
        <w:spacing w:after="0" w:line="229"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our liabilities, if any preferred shares are or have been outstanding, a liquidation distribution equal to the preferred dividend is first paid out to the holders or former holders of those preferred shares (to the extent they are entitled to such distribution under our Articles of Association). Thereafter, any remaining assets shall be distributed to the holders of ordinary shares in proportion to their ordinary shares.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 Exclusive Forum</w:t>
      </w:r>
    </w:p>
    <w:p>
      <w:pPr>
        <w:spacing w:after="0" w:line="229"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Our Articles of Association provide that the U.S. federal district courts shall be the sole and exclusive forum for any claim asserting a cause of action arising under the Securities Act. Section 22 of the Securities Act creates concurrent jurisdiction for federal and state courts over all such Securities Act actions. Accordingly, both state and federal courts have jurisdiction to entertain such claims.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Articles of Association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Articles of Association described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ind w:left="760"/>
        <w:spacing w:after="0"/>
        <w:rPr>
          <w:sz w:val="20"/>
          <w:szCs w:val="20"/>
          <w:color w:val="auto"/>
        </w:rPr>
      </w:pPr>
      <w:r>
        <w:rPr>
          <w:rFonts w:ascii="Arial" w:cs="Arial" w:eastAsia="Arial" w:hAnsi="Arial"/>
          <w:sz w:val="18"/>
          <w:szCs w:val="18"/>
          <w:b w:val="1"/>
          <w:bCs w:val="1"/>
          <w:color w:val="auto"/>
        </w:rPr>
        <w:t>J. Comparison of Dutch Corporate Law and U.S. Corporate Law</w:t>
      </w:r>
    </w:p>
    <w:p>
      <w:pPr>
        <w:spacing w:after="0" w:line="229"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Dutch Corporate Governance Code</w:t>
      </w:r>
    </w:p>
    <w:p>
      <w:pPr>
        <w:spacing w:after="0" w:line="225"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As a listed Dutch public company with limited liability (naamloze vennootschap),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statutory annual reports whether they comply with the provisions of the DCGC. If a company subject to the DCGC does not comply with those provisions, that company would be required to give the reasons for such non-compliance. We do not comply with all best practice provisions of the DCGC. As of the date of this prospectus, our main deviations from the DCGC are summarized below, but we cannot exclude the possibility of deviating from additional provisions of the DCGC after the date of this prospectus, including in order to follow market practice or governance practices in the United States.</w:t>
      </w:r>
    </w:p>
    <w:p>
      <w:pPr>
        <w:spacing w:after="0" w:line="192"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 least a two-thirds majority of the votes cast, representing more than half of the issued share capital. However, the DCGC recommends that the general meeting can pass such a resolution by simple majority, representing no more than one-third of the issued share capital.</w:t>
      </w:r>
    </w:p>
    <w:p>
      <w:pPr>
        <w:spacing w:after="0" w:line="161"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Under the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DCGC recommends against providing equity awards as part of the compensation of a non-executive director. However, consistent with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market practice, we have granted equity awards to our non-executive directors.</w:t>
      </w:r>
    </w:p>
    <w:p>
      <w:pPr>
        <w:spacing w:after="0" w:line="211" w:lineRule="exact"/>
        <w:rPr>
          <w:sz w:val="20"/>
          <w:szCs w:val="20"/>
          <w:color w:val="auto"/>
        </w:rPr>
      </w:pPr>
    </w:p>
    <w:p>
      <w:pPr>
        <w:ind w:right="20" w:firstLine="749"/>
        <w:spacing w:after="0" w:line="311" w:lineRule="auto"/>
        <w:rPr>
          <w:sz w:val="20"/>
          <w:szCs w:val="20"/>
          <w:color w:val="auto"/>
        </w:rPr>
      </w:pPr>
      <w:r>
        <w:rPr>
          <w:rFonts w:ascii="Arial" w:cs="Arial" w:eastAsia="Arial" w:hAnsi="Arial"/>
          <w:sz w:val="16"/>
          <w:szCs w:val="16"/>
          <w:color w:val="auto"/>
        </w:rPr>
        <w:t>Our equity incentive plan allows us to set the terms and conditions of equity awards granted thereunder. Under our equity incentive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Duties of Directors</w:t>
      </w:r>
    </w:p>
    <w:p>
      <w:pPr>
        <w:spacing w:after="0" w:line="225"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We have a one-tier board structure consisting of one or more executive directors and one or more non-executive directors. Under Dutch law, the board of directors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 Subject to certain limitations under Dutch law, the directors may divide their tasks among themselves in or pursuant to the internal rules applicable to the board of directors. Each director has a statutory duty to act in the corporate interest of the Company and its business. Under Dutch law,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right="40"/>
        <w:spacing w:after="0" w:line="279" w:lineRule="auto"/>
        <w:rPr>
          <w:sz w:val="20"/>
          <w:szCs w:val="20"/>
          <w:color w:val="auto"/>
        </w:rPr>
      </w:pPr>
      <w:r>
        <w:rPr>
          <w:rFonts w:ascii="Arial" w:cs="Arial" w:eastAsia="Arial" w:hAnsi="Arial"/>
          <w:sz w:val="17"/>
          <w:szCs w:val="17"/>
          <w:color w:val="auto"/>
        </w:rPr>
        <w:t>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of directors regarding a material change in our identity or character requires approval of the general meeting.</w:t>
      </w:r>
    </w:p>
    <w:p>
      <w:pPr>
        <w:spacing w:after="0" w:line="171" w:lineRule="exact"/>
        <w:rPr>
          <w:sz w:val="20"/>
          <w:szCs w:val="20"/>
          <w:color w:val="auto"/>
        </w:rPr>
      </w:pPr>
    </w:p>
    <w:p>
      <w:pPr>
        <w:ind w:right="100" w:firstLine="749"/>
        <w:spacing w:after="0" w:line="272" w:lineRule="auto"/>
        <w:rPr>
          <w:sz w:val="20"/>
          <w:szCs w:val="20"/>
          <w:color w:val="auto"/>
        </w:rPr>
      </w:pPr>
      <w:r>
        <w:rPr>
          <w:rFonts w:ascii="Arial" w:cs="Arial" w:eastAsia="Arial" w:hAnsi="Arial"/>
          <w:sz w:val="17"/>
          <w:szCs w:val="17"/>
          <w:u w:val="single" w:color="auto"/>
          <w:color w:val="auto"/>
        </w:rPr>
        <w:t>Delaware</w:t>
      </w:r>
      <w:r>
        <w:rPr>
          <w:rFonts w:ascii="Arial" w:cs="Arial" w:eastAsia="Arial" w:hAnsi="Arial"/>
          <w:sz w:val="17"/>
          <w:szCs w:val="17"/>
          <w:color w:val="auto"/>
        </w:rPr>
        <w:t>.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Director terms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The DCGC provides the following best practice recommendations on the terms for directors’ service:</w:t>
      </w:r>
    </w:p>
    <w:p>
      <w:pPr>
        <w:spacing w:after="0" w:line="225" w:lineRule="exact"/>
        <w:rPr>
          <w:sz w:val="20"/>
          <w:szCs w:val="20"/>
          <w:color w:val="auto"/>
        </w:rPr>
      </w:pPr>
    </w:p>
    <w:p>
      <w:pPr>
        <w:ind w:left="1140" w:right="20" w:hanging="383"/>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directors should be appointed for a maximum period of four years, without limiting the number of consecutive terms executive directors may serve.</w:t>
      </w:r>
    </w:p>
    <w:p>
      <w:pPr>
        <w:spacing w:after="0" w:line="170" w:lineRule="exact"/>
        <w:rPr>
          <w:rFonts w:ascii="Arial" w:cs="Arial" w:eastAsia="Arial" w:hAnsi="Arial"/>
          <w:sz w:val="18"/>
          <w:szCs w:val="18"/>
          <w:color w:val="auto"/>
        </w:rPr>
      </w:pPr>
    </w:p>
    <w:p>
      <w:pPr>
        <w:jc w:val="both"/>
        <w:ind w:left="1140" w:hanging="383"/>
        <w:spacing w:after="0" w:line="311" w:lineRule="auto"/>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Non-executive directors should be appointed for two consecutive periods of no more than four years. Thereafter, non-executive directors may be reappointed for a maximum of two consecutive periods of no more than two years, provided that in the event of reappointment after an eight-year term of office the reasons for such reappointment should be disclosed in the Company’s statutory annual Board report.</w:t>
      </w:r>
    </w:p>
    <w:p>
      <w:pPr>
        <w:spacing w:after="0" w:line="149"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The general meeting shall at all times be entitled to suspend or dismiss a director. Under our Articles of Association, the general meeting may only adopt a resolution to suspend or dismiss such director by at least a two-thirds majority of the votes cast, provided such majority represents more than half of the issued share capital, unless the resolution is passed at the proposal of the board of directors, in which case a simple majority of the votes cast is sufficient. If a director is suspended and the general meeting does not resolve to dismiss him or her within three months from the date of such suspension, the suspension shall lapse.</w:t>
      </w:r>
    </w:p>
    <w:p>
      <w:pPr>
        <w:spacing w:after="0" w:line="188"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Director vacancies</w:t>
      </w:r>
    </w:p>
    <w:p>
      <w:pPr>
        <w:spacing w:after="0" w:line="225"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Our Board can temporarily fill vacancies in its midst caused by temporary absence or incapacity of directors without requiring a shareholder vote. If all of our directors are absent or incapacitated, our management shall be attributed to the person who most recently ceased to hold office as the chair of our Board. If such former chair would be unwilling or unable to accept that position, our management would be attributed to the person who most recently ceased to hold office as our chief executive officer. If such former chief executive officer would also be unwilling or unable to accept that position, our management would be attributed to one or more persons whom the general meeting would designate for that purpose. The person(s) charged with our management in this manner, may designate one or more persons to be charged with our management instead of, or together with, such person(s).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right="60" w:firstLine="749"/>
        <w:spacing w:after="0" w:line="257" w:lineRule="auto"/>
        <w:rPr>
          <w:sz w:val="20"/>
          <w:szCs w:val="20"/>
          <w:color w:val="auto"/>
        </w:rPr>
      </w:pPr>
      <w:r>
        <w:rPr>
          <w:rFonts w:ascii="Arial" w:cs="Arial" w:eastAsia="Arial" w:hAnsi="Arial"/>
          <w:sz w:val="18"/>
          <w:szCs w:val="18"/>
          <w:color w:val="auto"/>
        </w:rPr>
        <w:t>Under Dutch law, directors are appointed and reappointed by the general meeting, on a recommendation of our nomination and corporate governance committee. Under our Articles of Association, directors are appointed by the general meeting upon the binding nomination by our Board.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88"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The Delaware General Corporation Law provides that vacancies and newly created directorships may be filled by a majority of the directors then in office (even though less than a quorum) unless (i) otherwise provided in the certificate of incorporation or bylaws of the corporation or (ii) the certificate of incorporation directs that a particular class of stock is to elect such director, in which case any other directors elected by such class, or a sole remaining director elected by such class, will fill such vacancy.</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Conflict-of-interest transactions</w:t>
      </w:r>
    </w:p>
    <w:p>
      <w:pPr>
        <w:spacing w:after="0" w:line="225"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u w:val="single" w:color="auto"/>
          <w:color w:val="auto"/>
        </w:rPr>
        <w:t>The Netherlands</w:t>
      </w:r>
      <w:r>
        <w:rPr>
          <w:rFonts w:ascii="Arial" w:cs="Arial" w:eastAsia="Arial" w:hAnsi="Arial"/>
          <w:sz w:val="17"/>
          <w:szCs w:val="17"/>
          <w:color w:val="auto"/>
        </w:rPr>
        <w:t>. Under Dutch law and our Articles of Association, our directors shall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latter case, each director is entitled to participate in the discussion and decision-making process and to cast a vote.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DCGC provides the following best practice recommendations in relation to conflicts of interests in respect of directors:</w:t>
      </w:r>
    </w:p>
    <w:p>
      <w:pPr>
        <w:spacing w:after="0" w:line="225" w:lineRule="exact"/>
        <w:rPr>
          <w:sz w:val="20"/>
          <w:szCs w:val="20"/>
          <w:color w:val="auto"/>
        </w:rPr>
      </w:pPr>
    </w:p>
    <w:p>
      <w:pPr>
        <w:jc w:val="both"/>
        <w:ind w:left="1140" w:hanging="383"/>
        <w:spacing w:after="0" w:line="275" w:lineRule="auto"/>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director should report any conflict of interest or potential conflict of interest in a transaction that is of material significance to the company and/or to such person to the chairperson of the board of directors without delay and should provide all relevant information in that regard, including the relevant information pertaining to his or her spouse, registered partner or other life companion, foster child and relatives by blood or marriage up to the second degree. If the chairperson of the board of directors has a conflict of interest or potential conflict of interest, he or she should report this to the vice-chairperson of the board of directors without delay;</w:t>
      </w:r>
    </w:p>
    <w:p>
      <w:pPr>
        <w:spacing w:after="0" w:line="176" w:lineRule="exact"/>
        <w:rPr>
          <w:rFonts w:ascii="Arial" w:cs="Arial" w:eastAsia="Arial" w:hAnsi="Arial"/>
          <w:sz w:val="17"/>
          <w:szCs w:val="17"/>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board of directors should decide, outside the presence of the director concerned, whether there is a conflict of interest;</w:t>
      </w:r>
    </w:p>
    <w:p>
      <w:pPr>
        <w:spacing w:after="0" w:line="225"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transactions in which there are conflicts of interest with directors should be agreed on terms that are customary in the market; and</w:t>
      </w:r>
    </w:p>
    <w:p>
      <w:pPr>
        <w:spacing w:after="0" w:line="236" w:lineRule="exact"/>
        <w:rPr>
          <w:rFonts w:ascii="Arial" w:cs="Arial" w:eastAsia="Arial" w:hAnsi="Arial"/>
          <w:sz w:val="17"/>
          <w:szCs w:val="17"/>
          <w:color w:val="auto"/>
        </w:rPr>
      </w:pPr>
    </w:p>
    <w:p>
      <w:pPr>
        <w:jc w:val="both"/>
        <w:ind w:left="1140" w:hanging="383"/>
        <w:spacing w:after="0" w:line="259"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decisions to enter into transactions in which there are conflicts of interest with directors that are of material significance to the Company and/or to the relevant directors should require the approval of the Board. Such transactions should be published in our statutory annual report, together with a description of the conflict of interest and a declaration that the relevant best practice provisions of the DCGC have been complied with.</w:t>
      </w:r>
    </w:p>
    <w:p>
      <w:pPr>
        <w:spacing w:after="0" w:line="187" w:lineRule="exact"/>
        <w:rPr>
          <w:sz w:val="20"/>
          <w:szCs w:val="20"/>
          <w:color w:val="auto"/>
        </w:rPr>
      </w:pPr>
    </w:p>
    <w:p>
      <w:pPr>
        <w:ind w:right="620" w:firstLine="749"/>
        <w:spacing w:after="0" w:line="27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transactions involving a Delaware corporation and an interested director of that corporation would not be voidable if:</w:t>
      </w:r>
    </w:p>
    <w:p>
      <w:pPr>
        <w:spacing w:after="0" w:line="170" w:lineRule="exact"/>
        <w:rPr>
          <w:sz w:val="20"/>
          <w:szCs w:val="20"/>
          <w:color w:val="auto"/>
        </w:rPr>
      </w:pPr>
    </w:p>
    <w:p>
      <w:pPr>
        <w:ind w:left="1140" w:hanging="383"/>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left="1140" w:hanging="383"/>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material facts are disclosed or known as to the director’s relationship or interest and the transaction is specifically approved in good faith by vote of the majority of shares entitled to vote thereon; or</w:t>
      </w:r>
    </w:p>
    <w:p>
      <w:pPr>
        <w:spacing w:after="0" w:line="170" w:lineRule="exact"/>
        <w:rPr>
          <w:rFonts w:ascii="Arial" w:cs="Arial" w:eastAsia="Arial" w:hAnsi="Arial"/>
          <w:sz w:val="18"/>
          <w:szCs w:val="18"/>
          <w:color w:val="auto"/>
        </w:rPr>
      </w:pPr>
    </w:p>
    <w:p>
      <w:pPr>
        <w:ind w:left="1140" w:right="20" w:hanging="383"/>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Proxy voting by directors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u w:val="single" w:color="auto"/>
          <w:color w:val="auto"/>
        </w:rPr>
        <w:t>The Netherlands</w:t>
      </w:r>
      <w:r>
        <w:rPr>
          <w:rFonts w:ascii="Arial" w:cs="Arial" w:eastAsia="Arial" w:hAnsi="Arial"/>
          <w:sz w:val="17"/>
          <w:szCs w:val="17"/>
          <w:color w:val="auto"/>
        </w:rPr>
        <w:t>. An absent director may issue a proxy for a specific board meeting but only to another director in writing or by electronic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A director of a Delaware corporation may not issue a proxy representing the director’s voting rights as a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Rights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120" w:firstLine="749"/>
        <w:spacing w:after="0" w:line="270" w:lineRule="auto"/>
        <w:rPr>
          <w:sz w:val="20"/>
          <w:szCs w:val="20"/>
          <w:color w:val="auto"/>
        </w:rPr>
      </w:pPr>
      <w:r>
        <w:rPr>
          <w:rFonts w:ascii="Arial" w:cs="Arial" w:eastAsia="Arial" w:hAnsi="Arial"/>
          <w:sz w:val="17"/>
          <w:szCs w:val="17"/>
          <w:u w:val="single" w:color="auto"/>
          <w:color w:val="auto"/>
        </w:rPr>
        <w:t>The Netherlands</w:t>
      </w:r>
      <w:r>
        <w:rPr>
          <w:rFonts w:ascii="Arial" w:cs="Arial" w:eastAsia="Arial" w:hAnsi="Arial"/>
          <w:sz w:val="17"/>
          <w:szCs w:val="17"/>
          <w:color w:val="auto"/>
        </w:rPr>
        <w:t>. In accordance with Dutch law and our Articles of Association, each issued ordinary share and each issued preferred share, if any are outstanding, confers the right to cast one vote at the general meeting. No votes may be cast at a general meeting on shares held by us or our subsidiaries or on shares for which we or our subsidiaries hold depository receipts. Nonetheless, the holders of a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and the holders of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in respect of shares held by us or our subsidiaries in our share capital are not excluded from the right to vote on such shares, if the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or the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or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81"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In accordance with our Articles of Association, 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77" w:lineRule="exact"/>
        <w:rPr>
          <w:sz w:val="20"/>
          <w:szCs w:val="20"/>
          <w:color w:val="auto"/>
        </w:rPr>
      </w:pPr>
    </w:p>
    <w:p>
      <w:pPr>
        <w:ind w:right="320" w:firstLine="749"/>
        <w:spacing w:after="0" w:line="25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each stockholder is entitled to one vote per share of stock, unless the 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88"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left="760"/>
        <w:spacing w:after="0"/>
        <w:rPr>
          <w:sz w:val="20"/>
          <w:szCs w:val="20"/>
          <w:color w:val="auto"/>
        </w:rPr>
      </w:pPr>
      <w:r>
        <w:rPr>
          <w:rFonts w:ascii="Arial" w:cs="Arial" w:eastAsia="Arial" w:hAnsi="Arial"/>
          <w:sz w:val="18"/>
          <w:szCs w:val="18"/>
          <w:i w:val="1"/>
          <w:iCs w:val="1"/>
          <w:color w:val="auto"/>
        </w:rPr>
        <w:t>Shareholder proposals</w:t>
      </w:r>
    </w:p>
    <w:p>
      <w:pPr>
        <w:spacing w:after="0" w:line="225"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Pursuant to our Articles of Association, extraordinary general meetings will be held whenever required under Dutch law or whenever our Board deems such to be appropriate or necessary. 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65" w:lineRule="exact"/>
        <w:rPr>
          <w:sz w:val="20"/>
          <w:szCs w:val="20"/>
          <w:color w:val="auto"/>
        </w:rPr>
      </w:pPr>
    </w:p>
    <w:p>
      <w:pPr>
        <w:ind w:right="140" w:firstLine="749"/>
        <w:spacing w:after="0" w:line="301" w:lineRule="auto"/>
        <w:rPr>
          <w:sz w:val="20"/>
          <w:szCs w:val="20"/>
          <w:color w:val="auto"/>
        </w:rPr>
      </w:pPr>
      <w:r>
        <w:rPr>
          <w:rFonts w:ascii="Arial" w:cs="Arial" w:eastAsia="Arial" w:hAnsi="Arial"/>
          <w:sz w:val="16"/>
          <w:szCs w:val="16"/>
          <w:color w:val="auto"/>
        </w:rPr>
        <w:t>Also, the agenda for a general meeting shall include such items requested by one or more shareholders, and others with meeting rights under Dutch law, representing at least 3% of our issued share capital, except where the Articles of Association state a lower percentage. Our Articles of Association do not state such lower percentage. These requests must be made in writing or by electronic means and received by the Board at least 60 days before the day of the meeting. No resolutions shall be adopted on items other than those that have been included in the agenda.</w:t>
      </w:r>
    </w:p>
    <w:p>
      <w:pPr>
        <w:spacing w:after="0" w:line="157"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In accordance with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 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shall not apply: (a) in respect of a matter for which either a response period has been previously invoked; or (b) in situations where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68"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In addition,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78"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at our office for inspection by shareholders and others with meeting rights under Dutch law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left="1140" w:hanging="383"/>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cannot reasonably believe that a continuation of the cooling-off period would contribute to careful policy-making; or</w:t>
      </w:r>
    </w:p>
    <w:p>
      <w:pPr>
        <w:spacing w:after="0" w:line="225" w:lineRule="exact"/>
        <w:rPr>
          <w:rFonts w:ascii="Arial" w:cs="Arial" w:eastAsia="Arial" w:hAnsi="Arial"/>
          <w:sz w:val="18"/>
          <w:szCs w:val="18"/>
          <w:color w:val="auto"/>
        </w:rPr>
      </w:pPr>
    </w:p>
    <w:p>
      <w:pPr>
        <w:jc w:val="both"/>
        <w:ind w:left="1140" w:hanging="383"/>
        <w:spacing w:after="0" w:line="263"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84"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u w:val="single" w:color="auto"/>
          <w:color w:val="auto"/>
        </w:rPr>
        <w:t>Delaware</w:t>
      </w:r>
      <w:r>
        <w:rPr>
          <w:rFonts w:ascii="Arial" w:cs="Arial" w:eastAsia="Arial" w:hAnsi="Arial"/>
          <w:sz w:val="17"/>
          <w:szCs w:val="17"/>
          <w:color w:val="auto"/>
        </w:rPr>
        <w:t>. Delaware law does not specifically grant stockholders the right to bring business before an annual or special meeting. Delaware law 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Action by written consent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Dutch law, shareholders’ resolutions may be adopted in writing without holding a meeting of shareholders, provided that</w:t>
      </w:r>
    </w:p>
    <w:p>
      <w:pPr>
        <w:spacing w:after="0" w:line="46" w:lineRule="exact"/>
        <w:rPr>
          <w:sz w:val="20"/>
          <w:szCs w:val="20"/>
          <w:color w:val="auto"/>
        </w:rPr>
      </w:pPr>
    </w:p>
    <w:p>
      <w:pPr>
        <w:ind w:right="440" w:firstLine="8"/>
        <w:spacing w:after="0" w:line="253" w:lineRule="auto"/>
        <w:tabs>
          <w:tab w:leader="none" w:pos="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93"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Although permitted by Delaware law, publicly listed companies do not typically permit stockholders of a corporation to take action by written consent.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Appraisal rights</w:t>
      </w:r>
    </w:p>
    <w:p>
      <w:pPr>
        <w:spacing w:after="0" w:line="225"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Subject to certain exceptions, Dutch law does not recognize the concept of appraisal or dissenters’ rights. However, Dutch law does provide for squeeze-out procedures as described under “—G.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92" w:lineRule="exact"/>
        <w:rPr>
          <w:sz w:val="20"/>
          <w:szCs w:val="20"/>
          <w:color w:val="auto"/>
        </w:rPr>
      </w:pPr>
    </w:p>
    <w:p>
      <w:pPr>
        <w:ind w:right="480" w:firstLine="749"/>
        <w:spacing w:after="0" w:line="27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The Delaware General Corporation Law provides for stockholder appraisal rights, or the right to demand payment in cash of the judicially determined fair value of the stockholder’s shares, in connection with certain mergers and consolidations.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Shareholder suits</w:t>
      </w:r>
    </w:p>
    <w:p>
      <w:pPr>
        <w:spacing w:after="0" w:line="225"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In the event a third-party is liable to a Dutch company, only the Company itself 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right="20"/>
        <w:spacing w:after="0" w:line="272" w:lineRule="auto"/>
        <w:rPr>
          <w:sz w:val="20"/>
          <w:szCs w:val="20"/>
          <w:color w:val="auto"/>
        </w:rPr>
      </w:pPr>
      <w:r>
        <w:rPr>
          <w:rFonts w:ascii="Arial" w:cs="Arial" w:eastAsia="Arial" w:hAnsi="Arial"/>
          <w:sz w:val="17"/>
          <w:szCs w:val="17"/>
          <w:color w:val="auto"/>
        </w:rPr>
        <w:t>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directors and officers can still be subject to liability under U.S. securities laws.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Our Articles of Association provide that the sole and exclusive forum for any complaint asserting a cause of action arising under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of 1933, as amended, to the fullest extent permitted by applicable law, shall be the U.S. federal district courts.</w:t>
      </w:r>
    </w:p>
    <w:p>
      <w:pPr>
        <w:spacing w:after="0" w:line="211"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Repurchase of shares</w:t>
      </w:r>
    </w:p>
    <w:p>
      <w:pPr>
        <w:spacing w:after="0" w:line="225"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u w:val="single" w:color="auto"/>
          <w:color w:val="auto"/>
        </w:rPr>
        <w:t>The Netherlands</w:t>
      </w:r>
      <w:r>
        <w:rPr>
          <w:rFonts w:ascii="Arial" w:cs="Arial" w:eastAsia="Arial" w:hAnsi="Arial"/>
          <w:sz w:val="17"/>
          <w:szCs w:val="17"/>
          <w:color w:val="auto"/>
        </w:rPr>
        <w:t>. Under Dutch law, when issuing shares, a public company with limited liability such as ours may not subscribe for newly issued shares in its own capital. Such company may, however, subject to certain restrictions of Dutch law and its Articles of Association, acquire shares in its own capital. A listed public company with limited liability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w:t>
      </w:r>
      <w:r>
        <w:rPr>
          <w:rFonts w:ascii="Arial" w:cs="Arial" w:eastAsia="Arial" w:hAnsi="Arial"/>
          <w:sz w:val="17"/>
          <w:szCs w:val="17"/>
          <w:i w:val="1"/>
          <w:iCs w:val="1"/>
          <w:color w:val="auto"/>
        </w:rPr>
        <w:t>eigen vermogen</w:t>
      </w:r>
      <w:r>
        <w:rPr>
          <w:rFonts w:ascii="Arial" w:cs="Arial" w:eastAsia="Arial" w:hAnsi="Arial"/>
          <w:sz w:val="17"/>
          <w:szCs w:val="17"/>
          <w:color w:val="auto"/>
        </w:rPr>
        <w:t>) less the payment required to make the acquisition does not fall below the sum of paid-up and called-up share capital plus any reserves required by Dutch law or its Articles of Association and (ii) the aggregate nominal value of shares of the company which the company acquires, holds or on which the company holds a pledge (</w:t>
      </w:r>
      <w:r>
        <w:rPr>
          <w:rFonts w:ascii="Arial" w:cs="Arial" w:eastAsia="Arial" w:hAnsi="Arial"/>
          <w:sz w:val="17"/>
          <w:szCs w:val="17"/>
          <w:i w:val="1"/>
          <w:iCs w:val="1"/>
          <w:color w:val="auto"/>
        </w:rPr>
        <w:t>pandrecht</w:t>
      </w:r>
      <w:r>
        <w:rPr>
          <w:rFonts w:ascii="Arial" w:cs="Arial" w:eastAsia="Arial" w:hAnsi="Arial"/>
          <w:sz w:val="17"/>
          <w:szCs w:val="17"/>
          <w:color w:val="auto"/>
        </w:rPr>
        <w:t>) or which are held by a subsidiary of the company, would not exceed 50% of its then current issued share capital. Such company may only acquire its own shares if its general meeting has granted the board of directors the authority to effect such acquisitions.</w:t>
      </w:r>
    </w:p>
    <w:p>
      <w:pPr>
        <w:spacing w:after="0" w:line="181" w:lineRule="exact"/>
        <w:rPr>
          <w:sz w:val="20"/>
          <w:szCs w:val="20"/>
          <w:color w:val="auto"/>
        </w:rPr>
      </w:pPr>
    </w:p>
    <w:p>
      <w:pPr>
        <w:ind w:right="20" w:firstLine="749"/>
        <w:spacing w:after="0" w:line="289" w:lineRule="auto"/>
        <w:rPr>
          <w:sz w:val="20"/>
          <w:szCs w:val="20"/>
          <w:color w:val="auto"/>
        </w:rPr>
      </w:pPr>
      <w:r>
        <w:rPr>
          <w:rFonts w:ascii="Arial" w:cs="Arial" w:eastAsia="Arial" w:hAnsi="Arial"/>
          <w:sz w:val="16"/>
          <w:szCs w:val="16"/>
          <w:color w:val="auto"/>
        </w:rPr>
        <w:t>An acquisition by us of ordinary shares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On June 23, 2023, our general meeting adopted a resolution pursuant to which our Board is authorized, for a period of 18 months following June 23, 2023 to cause the repurchase of ordinary shares (or depositary receipts for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 No authorization of the general meeting is required if ordinary shares are acquired by us with the intention of transferring such ordinary shares to our employees under an applicable employee stock purchase plan.</w:t>
      </w:r>
    </w:p>
    <w:p>
      <w:pPr>
        <w:spacing w:after="0" w:line="166" w:lineRule="exact"/>
        <w:rPr>
          <w:sz w:val="20"/>
          <w:szCs w:val="20"/>
          <w:color w:val="auto"/>
        </w:rPr>
      </w:pPr>
    </w:p>
    <w:p>
      <w:pPr>
        <w:ind w:right="240" w:firstLine="749"/>
        <w:spacing w:after="0" w:line="311"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a corporation may generally purchase or redeem its own shares unless the capital of the 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ind w:right="180"/>
        <w:spacing w:after="0" w:line="277" w:lineRule="auto"/>
        <w:rPr>
          <w:sz w:val="20"/>
          <w:szCs w:val="20"/>
          <w:color w:val="auto"/>
        </w:rPr>
      </w:pPr>
      <w:r>
        <w:rPr>
          <w:rFonts w:ascii="Arial" w:cs="Arial" w:eastAsia="Arial" w:hAnsi="Arial"/>
          <w:sz w:val="18"/>
          <w:szCs w:val="18"/>
          <w:color w:val="auto"/>
        </w:rPr>
        <w:t>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ind w:right="140" w:firstLine="749"/>
        <w:spacing w:after="0" w:line="342"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Dutch law, various protective measures are possible and permissible within the boundaries set by Dutch law and Dutch case law. We have adopted several provisions that may have the effect of making a takeover of our Company more difficult or less attractive, including:</w:t>
      </w:r>
    </w:p>
    <w:p>
      <w:pPr>
        <w:spacing w:after="0" w:line="124" w:lineRule="exact"/>
        <w:rPr>
          <w:sz w:val="20"/>
          <w:szCs w:val="20"/>
          <w:color w:val="auto"/>
        </w:rPr>
      </w:pPr>
    </w:p>
    <w:p>
      <w:pPr>
        <w:ind w:left="1140" w:hanging="383"/>
        <w:spacing w:after="0"/>
        <w:tabs>
          <w:tab w:leader="none" w:pos="1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authorization of a class of preferred shares that may be issued to a protective foundation pursuant to a call option to that effect;</w:t>
      </w:r>
    </w:p>
    <w:p>
      <w:pPr>
        <w:spacing w:after="0" w:line="236" w:lineRule="exact"/>
        <w:rPr>
          <w:rFonts w:ascii="Arial" w:cs="Arial" w:eastAsia="Arial" w:hAnsi="Arial"/>
          <w:sz w:val="17"/>
          <w:szCs w:val="17"/>
          <w:color w:val="auto"/>
        </w:rPr>
      </w:pPr>
    </w:p>
    <w:p>
      <w:pPr>
        <w:ind w:left="1140" w:hanging="383"/>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provision that our directors may only be dismissed at the general meeting by a two-thirds majority of votes cast representing more than half of our issued share capital if such removal is not proposed by our Board;</w:t>
      </w:r>
    </w:p>
    <w:p>
      <w:pPr>
        <w:spacing w:after="0" w:line="170" w:lineRule="exact"/>
        <w:rPr>
          <w:rFonts w:ascii="Arial" w:cs="Arial" w:eastAsia="Arial" w:hAnsi="Arial"/>
          <w:sz w:val="18"/>
          <w:szCs w:val="18"/>
          <w:color w:val="auto"/>
        </w:rPr>
      </w:pPr>
    </w:p>
    <w:p>
      <w:pPr>
        <w:jc w:val="both"/>
        <w:ind w:left="1140" w:hanging="383"/>
        <w:spacing w:after="0" w:line="263"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directors being appointed on the basis of a binding nomination by our Board, which can only be overruled by the general meeting by a resolution adopted by at least a two-thirds majority of the votes cast, provided such majority represents more than half of the issued share capital (in which case the Board shall make a new nomination);</w:t>
      </w:r>
    </w:p>
    <w:p>
      <w:pPr>
        <w:spacing w:after="0" w:line="183"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provision which allows the former chair of our Board or our former chief executive officer to be charged with our management if all of our directors are absent or incapacitated; and</w:t>
      </w:r>
    </w:p>
    <w:p>
      <w:pPr>
        <w:spacing w:after="0" w:line="170"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that certain matters, including an amendment of our Articles of Association, may only be brought to our shareholders for a vote upon a proposal by our Board.</w:t>
      </w:r>
    </w:p>
    <w:p>
      <w:pPr>
        <w:spacing w:after="0" w:line="170"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In addition, Dutch law allows for staggered multi-year terms of our directors, as a result of which only part of our directors may be subject to appointment or re-appointment in any one year.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our Board can invoke the ‘cooling-off period’ as described under “—E. Shareholders’ Meetings and Consents”</w:t>
      </w:r>
    </w:p>
    <w:p>
      <w:pPr>
        <w:spacing w:after="0" w:line="225" w:lineRule="exact"/>
        <w:rPr>
          <w:sz w:val="20"/>
          <w:szCs w:val="20"/>
          <w:color w:val="auto"/>
        </w:rPr>
      </w:pPr>
    </w:p>
    <w:p>
      <w:pPr>
        <w:jc w:val="both"/>
        <w:ind w:right="80" w:firstLine="749"/>
        <w:spacing w:after="0" w:line="263"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In addition to other aspects of Delaware law governing fiduciary duties of directors during a potential takeover, the Delaware General Corporation Law also contains provisions that protect Delaware companies from hostile takeovers and from actions following the takeover by prohibiting some transactions once an acquirer has gained a significant holding in the corporation.</w:t>
      </w:r>
    </w:p>
    <w:p>
      <w:pPr>
        <w:spacing w:after="0" w:line="184"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165" w:lineRule="exact"/>
        <w:rPr>
          <w:sz w:val="20"/>
          <w:szCs w:val="20"/>
          <w:color w:val="auto"/>
        </w:rPr>
      </w:pPr>
    </w:p>
    <w:p>
      <w:pPr>
        <w:ind w:left="1140" w:hanging="383"/>
        <w:spacing w:after="0" w:line="277"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jc w:val="both"/>
        <w:ind w:left="1140" w:hanging="383"/>
        <w:spacing w:after="0" w:line="263"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183" w:lineRule="exact"/>
        <w:rPr>
          <w:rFonts w:ascii="Arial" w:cs="Arial" w:eastAsia="Arial" w:hAnsi="Arial"/>
          <w:sz w:val="18"/>
          <w:szCs w:val="18"/>
          <w:color w:val="auto"/>
        </w:rPr>
      </w:pPr>
    </w:p>
    <w:p>
      <w:pPr>
        <w:ind w:left="1140" w:hanging="383"/>
        <w:spacing w:after="0" w:line="308" w:lineRule="auto"/>
        <w:tabs>
          <w:tab w:leader="none" w:pos="1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firstLine="749"/>
        <w:spacing w:after="0" w:line="259"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books and records</w:t>
      </w:r>
    </w:p>
    <w:p>
      <w:pPr>
        <w:spacing w:after="0" w:line="225" w:lineRule="exact"/>
        <w:rPr>
          <w:sz w:val="20"/>
          <w:szCs w:val="20"/>
          <w:color w:val="auto"/>
        </w:rPr>
      </w:pPr>
    </w:p>
    <w:p>
      <w:pPr>
        <w:ind w:right="500" w:firstLine="749"/>
        <w:spacing w:after="0" w:line="263"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The board of directors provides the general meeting, within a reasonable amount of time with all information that the shareholders require for the exercise of their powers, unless this would be contrary to an overriding interest of our Company. If the board of directors invokes such an overriding interest, it must give reasons.</w:t>
      </w:r>
    </w:p>
    <w:p>
      <w:pPr>
        <w:spacing w:after="0" w:line="184"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any stockholder may inspect for any proper purpose certain of the corporation’s books and records during the corporation’s usual hours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Dismissal of Directors</w:t>
      </w:r>
    </w:p>
    <w:p>
      <w:pPr>
        <w:spacing w:after="0" w:line="225" w:lineRule="exact"/>
        <w:rPr>
          <w:sz w:val="20"/>
          <w:szCs w:val="20"/>
          <w:color w:val="auto"/>
        </w:rPr>
      </w:pPr>
    </w:p>
    <w:p>
      <w:pPr>
        <w:ind w:right="160" w:firstLine="749"/>
        <w:spacing w:after="0" w:line="311"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our Articles of Association, the general meeting shall at all times be entitled to suspend or dismiss a director. The general meeting may only adopt a resolution to suspend or dismiss a director by at least a two-thirds majority of the votes cast, if such majority represents more than half of the issued share capital, unless the proposal was made by the board of directors, in which latter case a simple majority is sufficient.</w:t>
      </w:r>
    </w:p>
    <w:p>
      <w:pPr>
        <w:spacing w:after="0" w:line="149"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Shares</w:t>
      </w:r>
    </w:p>
    <w:p>
      <w:pPr>
        <w:spacing w:after="0" w:line="225" w:lineRule="exact"/>
        <w:rPr>
          <w:sz w:val="20"/>
          <w:szCs w:val="20"/>
          <w:color w:val="auto"/>
        </w:rPr>
      </w:pPr>
    </w:p>
    <w:p>
      <w:pPr>
        <w:ind w:right="160" w:firstLine="749"/>
        <w:spacing w:after="0" w:line="311"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Dutch law, a company’s general meeting is the corporate body authorized to resolve on the issuance of shares and the granting of rights to subscribe for shares. The general meeting can delegate such authority to another corporate body of the company, such as the board of directors, for a period not exceeding five years; this authorization may only be extended from time to time for a maximum period of five years.</w:t>
      </w:r>
    </w:p>
    <w:p>
      <w:pPr>
        <w:spacing w:after="0" w:line="149" w:lineRule="exact"/>
        <w:rPr>
          <w:sz w:val="20"/>
          <w:szCs w:val="20"/>
          <w:color w:val="auto"/>
        </w:rPr>
      </w:pPr>
    </w:p>
    <w:p>
      <w:pPr>
        <w:ind w:right="240" w:firstLine="749"/>
        <w:spacing w:after="0" w:line="308" w:lineRule="auto"/>
        <w:rPr>
          <w:sz w:val="20"/>
          <w:szCs w:val="20"/>
          <w:color w:val="auto"/>
        </w:rPr>
      </w:pPr>
      <w:r>
        <w:rPr>
          <w:rFonts w:ascii="Arial" w:cs="Arial" w:eastAsia="Arial" w:hAnsi="Arial"/>
          <w:sz w:val="17"/>
          <w:szCs w:val="17"/>
          <w:color w:val="auto"/>
        </w:rPr>
        <w:t>On February 1, 2021, our general meeting authorized our Board, for a period of five years following February 5, 2021, to issue shares or grant rights to subscribe for shares up to our authorized share capital from time to time. We may not subscribe for our own shares on issue.</w:t>
      </w:r>
    </w:p>
    <w:p>
      <w:pPr>
        <w:spacing w:after="0" w:line="146" w:lineRule="exact"/>
        <w:rPr>
          <w:sz w:val="20"/>
          <w:szCs w:val="20"/>
          <w:color w:val="auto"/>
        </w:rPr>
      </w:pPr>
    </w:p>
    <w:p>
      <w:pPr>
        <w:ind w:right="600" w:firstLine="749"/>
        <w:spacing w:after="0" w:line="308" w:lineRule="auto"/>
        <w:rPr>
          <w:sz w:val="20"/>
          <w:szCs w:val="20"/>
          <w:color w:val="auto"/>
        </w:rPr>
      </w:pPr>
      <w:r>
        <w:rPr>
          <w:rFonts w:ascii="Arial" w:cs="Arial" w:eastAsia="Arial" w:hAnsi="Arial"/>
          <w:sz w:val="17"/>
          <w:szCs w:val="17"/>
          <w:u w:val="single" w:color="auto"/>
          <w:color w:val="auto"/>
        </w:rPr>
        <w:t>Delaware</w:t>
      </w:r>
      <w:r>
        <w:rPr>
          <w:rFonts w:ascii="Arial" w:cs="Arial" w:eastAsia="Arial" w:hAnsi="Arial"/>
          <w:sz w:val="17"/>
          <w:szCs w:val="17"/>
          <w:color w:val="auto"/>
        </w:rPr>
        <w:t>. The issuance of shares requires the board of directors to adopt a resolution or resolutions, authorizing the issuance, pursuant to authority expressly vested in the board of directors by the provisions of the Company’s certificate of incorporation.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u w:val="single" w:color="auto"/>
          <w:color w:val="auto"/>
        </w:rPr>
        <w:t>The Netherlands</w:t>
      </w:r>
      <w:r>
        <w:rPr>
          <w:rFonts w:ascii="Arial" w:cs="Arial" w:eastAsia="Arial" w:hAnsi="Arial"/>
          <w:sz w:val="17"/>
          <w:szCs w:val="17"/>
          <w:color w:val="auto"/>
        </w:rPr>
        <w:t>. Under Dutch law, in the event of an issuance of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or excluded by a resolution of the general meeting upon proposal of the board of directors. Our preferred shares carry no preemptive rights.</w:t>
      </w:r>
    </w:p>
    <w:p>
      <w:pPr>
        <w:spacing w:after="0" w:line="225"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The board of directors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the board of directors as the authorized body to do so requires a majority of not less than two-thirds of the votes cast, if less than one-half of our issued share capital is represented at the meeting.</w:t>
      </w:r>
    </w:p>
    <w:p>
      <w:pPr>
        <w:spacing w:after="0" w:line="171" w:lineRule="exact"/>
        <w:rPr>
          <w:sz w:val="20"/>
          <w:szCs w:val="20"/>
          <w:color w:val="auto"/>
        </w:rPr>
      </w:pPr>
    </w:p>
    <w:p>
      <w:pPr>
        <w:ind w:right="360" w:firstLine="749"/>
        <w:spacing w:after="0" w:line="263" w:lineRule="auto"/>
        <w:rPr>
          <w:sz w:val="20"/>
          <w:szCs w:val="20"/>
          <w:color w:val="auto"/>
        </w:rPr>
      </w:pPr>
      <w:r>
        <w:rPr>
          <w:rFonts w:ascii="Arial" w:cs="Arial" w:eastAsia="Arial" w:hAnsi="Arial"/>
          <w:sz w:val="18"/>
          <w:szCs w:val="18"/>
          <w:color w:val="auto"/>
        </w:rPr>
        <w:t>On February 1, 2021, our general meeting authorized our Board, for a period of five years following February 5, 2021, to limit or exclude preemptive rights in relation to an issuance of shares or a grant of rights to subscribe for shares that the Board is authorized to resolve upon. See above under “—Issuance of Shares.”</w:t>
      </w:r>
    </w:p>
    <w:p>
      <w:pPr>
        <w:spacing w:after="0" w:line="184" w:lineRule="exact"/>
        <w:rPr>
          <w:sz w:val="20"/>
          <w:szCs w:val="20"/>
          <w:color w:val="auto"/>
        </w:rPr>
      </w:pPr>
    </w:p>
    <w:p>
      <w:pPr>
        <w:ind w:right="40" w:firstLine="749"/>
        <w:spacing w:after="0" w:line="342"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stockholders have no preemptive rights to subscribe for additional issues of stock or to any security convertible into such stock unless, and to the extent that, such rights are expressly provided for in the certificate of incorporation.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Dutch law provides that dividends may be distributed after adoption of the annual accounts by the general meeting from which it appears that such dividend distribution is allowed. Moreover, dividends may be distributed only to the extent the shareholders’ equity exceeds the amount of the paid-up and called-up issued share capital and the reserves that must be maintained under the law or the Articles of Association. Interim dividends may be declared as provided in the Articles of Association and may be distributed to the extent that the shareholders’ equity exceeds the amount of the paid-up and called-up issued share capital plus any reserves as described above as apparent from our financial statements. Under Dutch law, the Articles of Association may prescribe that the board of directors decide what portion of the profits are to be held as reserves.</w:t>
      </w:r>
    </w:p>
    <w:p>
      <w:pPr>
        <w:spacing w:after="0" w:line="164"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Under the Articles of Association, first, if any preferred shares are or have been outstanding, a dividend is first paid out of the profit, if available for distribution, to the holders or former holders, as applicable, of those preferred shares to the extent they are entitled to such distribution under our Articles of Association. Any remaining profit is carried to the reserve as the board of directors determines. After reservation by the board of directors of any profit, the remaining profit will be at the disposal of the general meeting at the proposal of our Board for distribution on our ordinary shares, subject to the applicable restrictions of Dutch law. We only make a distribution of dividends to our shareholders after the adoption of our annual accounts demonstrating that such distribution is legally permitted. The board of directors is permitted, subject to certain requirements, to declare interim dividends without the approval of the general meeting.</w:t>
      </w:r>
    </w:p>
    <w:p>
      <w:pPr>
        <w:spacing w:after="0" w:line="195"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Dividends and other distributions shall be made payable not later than the date determined by the board of directors.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8"/>
          <w:szCs w:val="18"/>
          <w:i w:val="1"/>
          <w:iCs w:val="1"/>
          <w:color w:val="auto"/>
        </w:rPr>
        <w:t>verjaring</w:t>
      </w:r>
      <w:r>
        <w:rPr>
          <w:rFonts w:ascii="Arial" w:cs="Arial" w:eastAsia="Arial" w:hAnsi="Arial"/>
          <w:sz w:val="18"/>
          <w:szCs w:val="18"/>
          <w:color w:val="auto"/>
        </w:rPr>
        <w:t>).</w:t>
      </w:r>
    </w:p>
    <w:p>
      <w:pPr>
        <w:spacing w:after="0" w:line="184" w:lineRule="exact"/>
        <w:rPr>
          <w:sz w:val="20"/>
          <w:szCs w:val="20"/>
          <w:color w:val="auto"/>
        </w:rPr>
      </w:pPr>
    </w:p>
    <w:p>
      <w:pPr>
        <w:ind w:right="80" w:firstLine="749"/>
        <w:spacing w:after="0" w:line="275" w:lineRule="auto"/>
        <w:rPr>
          <w:sz w:val="20"/>
          <w:szCs w:val="20"/>
          <w:color w:val="auto"/>
        </w:rPr>
      </w:pPr>
      <w:r>
        <w:rPr>
          <w:rFonts w:ascii="Arial" w:cs="Arial" w:eastAsia="Arial" w:hAnsi="Arial"/>
          <w:sz w:val="17"/>
          <w:szCs w:val="17"/>
          <w:u w:val="single" w:color="auto"/>
          <w:color w:val="auto"/>
        </w:rPr>
        <w:t>Delaware</w:t>
      </w:r>
      <w:r>
        <w:rPr>
          <w:rFonts w:ascii="Arial" w:cs="Arial" w:eastAsia="Arial" w:hAnsi="Arial"/>
          <w:sz w:val="17"/>
          <w:szCs w:val="17"/>
          <w:color w:val="auto"/>
        </w:rPr>
        <w:t>. Under the Delaware General Corporation Law, subject to any restrictions contained in the corporation’s certificate of incorporation,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Shareholder vote on Certain Reorganizations</w:t>
      </w:r>
    </w:p>
    <w:p>
      <w:pPr>
        <w:spacing w:after="0" w:line="225"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Under Dutch law, the general meeting must approve resolutions of the board of directors relating to a significant change in the identity or the character of the Company or the business of the Company, which includes:</w:t>
      </w:r>
    </w:p>
    <w:p>
      <w:pPr>
        <w:spacing w:after="0" w:line="170" w:lineRule="exact"/>
        <w:rPr>
          <w:sz w:val="20"/>
          <w:szCs w:val="20"/>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transfer of the business or virtually the entire business to a third-party;</w:t>
      </w:r>
    </w:p>
    <w:p>
      <w:pPr>
        <w:spacing w:after="0" w:line="225" w:lineRule="exact"/>
        <w:rPr>
          <w:rFonts w:ascii="Arial" w:cs="Arial" w:eastAsia="Arial" w:hAnsi="Arial"/>
          <w:sz w:val="18"/>
          <w:szCs w:val="18"/>
          <w:color w:val="auto"/>
        </w:rPr>
      </w:pPr>
    </w:p>
    <w:p>
      <w:pPr>
        <w:jc w:val="both"/>
        <w:ind w:left="1140" w:hanging="383"/>
        <w:spacing w:after="0" w:line="263"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183" w:lineRule="exact"/>
        <w:rPr>
          <w:rFonts w:ascii="Arial" w:cs="Arial" w:eastAsia="Arial" w:hAnsi="Arial"/>
          <w:sz w:val="18"/>
          <w:szCs w:val="18"/>
          <w:color w:val="auto"/>
        </w:rPr>
      </w:pPr>
    </w:p>
    <w:p>
      <w:pPr>
        <w:jc w:val="both"/>
        <w:ind w:left="1140" w:hanging="383"/>
        <w:spacing w:after="0" w:line="311"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49" w:lineRule="exact"/>
        <w:rPr>
          <w:sz w:val="20"/>
          <w:szCs w:val="20"/>
          <w:color w:val="auto"/>
        </w:rPr>
      </w:pPr>
    </w:p>
    <w:p>
      <w:pPr>
        <w:ind w:left="760" w:right="300"/>
        <w:spacing w:after="0" w:line="277" w:lineRule="auto"/>
        <w:rPr>
          <w:sz w:val="20"/>
          <w:szCs w:val="20"/>
          <w:color w:val="auto"/>
        </w:rPr>
      </w:pPr>
      <w:r>
        <w:rPr>
          <w:rFonts w:ascii="Arial" w:cs="Arial" w:eastAsia="Arial" w:hAnsi="Arial"/>
          <w:sz w:val="18"/>
          <w:szCs w:val="18"/>
          <w:color w:val="auto"/>
        </w:rPr>
        <w:t>The absence of such approval shall result in the relevant resolution being null and void but shall not affect the powers of representation of the Board or of the executive directors.</w:t>
      </w:r>
    </w:p>
    <w:p>
      <w:pPr>
        <w:spacing w:after="0" w:line="170"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87" w:lineRule="exact"/>
        <w:rPr>
          <w:sz w:val="20"/>
          <w:szCs w:val="20"/>
          <w:color w:val="auto"/>
        </w:rPr>
      </w:pPr>
    </w:p>
    <w:p>
      <w:pPr>
        <w:ind w:right="280" w:firstLine="749"/>
        <w:spacing w:after="0" w:line="254" w:lineRule="auto"/>
        <w:rPr>
          <w:sz w:val="20"/>
          <w:szCs w:val="20"/>
          <w:color w:val="auto"/>
        </w:rPr>
      </w:pPr>
      <w:r>
        <w:rPr>
          <w:rFonts w:ascii="Arial" w:cs="Arial" w:eastAsia="Arial" w:hAnsi="Arial"/>
          <w:sz w:val="18"/>
          <w:szCs w:val="18"/>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ind w:right="240" w:firstLine="749"/>
        <w:spacing w:after="0" w:line="29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Dutch law and our Articles of Association, we must adopt a compensation policy for our Board. Such compensation policy shall be adopted by the general meeting upon the proposal of the board of directors. The board of directors determines the compensation of individual directors with due observance of the compensation policy. Our executive directors may not participate in the discussions or decision-making regarding the compensation of executive directors. A proposal by the board of directors with respect to compensation schemes in the form of shares or rights to shares is submitted by the board of directors to the general meeting for its approval. This proposal must set out at least the maximum number of shares or rights to subscribe for shares to be granted to the board of directors and the criteria for granting or amendment.</w:t>
      </w:r>
    </w:p>
    <w:p>
      <w:pPr>
        <w:spacing w:after="0" w:line="164"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the stockholders do not generally have the right to approve the compensation policy for directors or the senior management of the corporation, although certain aspects of executive compensation may be subject to stockholder vote due to the provisions of U.S. federal securities and tax law, as well as exchange requirements.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We are organized and existing under the laws of the Netherlands and, as such, Dutch private international law governs the rights of our shareholders and the civil liability of our directors and executive officers are governed in certain respects by the laws of the Netherlands. The ability of our shareholders to bring an action against us or our directors and executive officers in certain countries other than the Netherlands may be limited under applicable law.</w:t>
      </w:r>
    </w:p>
    <w:p>
      <w:pPr>
        <w:spacing w:after="0" w:line="187"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The majority of the members of the Board are resident of countries other than the United States. All or a substantial proportion of the assets of these individuals are located outside the United States. Our assets are predominantly located outside the United States. As a result, it may not be possible for shareholders to effect service of process within the United States upon us or our directors and executive officers or to enforce judgments against us or them in U.S. courts, including judgments predicated upon the civil liability provisions of the federal securities laws of the United States. In addition, it is not clear whether a Dutch court would impose civil liability on us or any of our directors and executive officers in an original action based solely upon the federal securities laws of the United States brought in a court of competent jurisdiction in the Netherlands.</w:t>
      </w:r>
    </w:p>
    <w:p>
      <w:pPr>
        <w:spacing w:after="0" w:line="164"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There is currently no treaty in effect between the United States and the Netherlands providing for the reciprocal recognition and enforcement of judgments, other than arbitration awards, in civil and commercial matters. It is noted that, as of the date of this prospectus, the Hague Convention on Choice of Court Agreements of June 30, 2005 has entered into force for the Netherlands, but has not entered into force for the United States. The Hague Convention of July 2, 2019 on the Recognition and Enforcement of Foreign Judgments in Civil or Commercial Matters has not entered into force for either the Netherlands or the United States. Accordingly, a judgment rendered by a court in the United States, whether or not predicated solely upon U.S. securities laws, would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(iii) binding effect of such judgment is not contrary to Dutch public order (</w:t>
      </w:r>
      <w:r>
        <w:rPr>
          <w:rFonts w:ascii="Arial" w:cs="Arial" w:eastAsia="Arial" w:hAnsi="Arial"/>
          <w:sz w:val="16"/>
          <w:szCs w:val="16"/>
          <w:i w:val="1"/>
          <w:iCs w:val="1"/>
          <w:color w:val="auto"/>
        </w:rPr>
        <w:t>openbare orde</w:t>
      </w:r>
      <w:r>
        <w:rPr>
          <w:rFonts w:ascii="Arial" w:cs="Arial" w:eastAsia="Arial" w:hAnsi="Arial"/>
          <w:sz w:val="16"/>
          <w:szCs w:val="16"/>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However, even if such a United States judgment is given binding effect, a claim based on that judgment may still be rejected if that judgment is not or no longer formally enforceable.</w:t>
      </w:r>
    </w:p>
    <w:p>
      <w:pPr>
        <w:spacing w:after="0" w:line="171"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Based on the lack of a treaty as described above, U.S. investors may not be able to enforce against us or our directors, representatives or certain experts named herein who are residents of the Netherlands or countries other than the United States any judgments obtained in U.S. courts in civil and commercial matters, including judgments under the U.S.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4" w:name="page45"/>
    <w:bookmarkEnd w:id="44"/>
    <w:p>
      <w:pPr>
        <w:jc w:val="center"/>
        <w:ind w:right="40"/>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the expenses expected to be incurred by us in connection with the offering of securities registered under this registration statement. All amounts are estimated except for the SEC registration fee.</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80" w:type="dxa"/>
            <w:vAlign w:val="bottom"/>
          </w:tcPr>
          <w:p>
            <w:pPr>
              <w:spacing w:after="0"/>
              <w:rPr>
                <w:sz w:val="15"/>
                <w:szCs w:val="15"/>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Expenses</w:t>
            </w:r>
          </w:p>
        </w:tc>
        <w:tc>
          <w:tcPr>
            <w:tcW w:w="2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Amount</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13,337</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tcPr>
          <w:p>
            <w:pPr>
              <w:spacing w:after="0"/>
              <w:rPr>
                <w:sz w:val="21"/>
                <w:szCs w:val="21"/>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9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80" w:type="dxa"/>
            <w:vAlign w:val="bottom"/>
          </w:tcPr>
          <w:p>
            <w:pPr>
              <w:spacing w:after="0"/>
              <w:rPr>
                <w:sz w:val="18"/>
                <w:szCs w:val="18"/>
                <w:color w:val="auto"/>
              </w:rPr>
            </w:pPr>
          </w:p>
        </w:tc>
        <w:tc>
          <w:tcPr>
            <w:tcW w:w="30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344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3000" w:type="dxa"/>
            <w:vAlign w:val="bottom"/>
            <w:vMerge w:val="continue"/>
          </w:tcPr>
          <w:p>
            <w:pPr>
              <w:spacing w:after="0"/>
              <w:rPr>
                <w:sz w:val="21"/>
                <w:szCs w:val="21"/>
                <w:color w:val="auto"/>
              </w:rPr>
            </w:pPr>
          </w:p>
        </w:tc>
        <w:tc>
          <w:tcPr>
            <w:tcW w:w="35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
              <w:spacing w:after="0"/>
              <w:rPr>
                <w:sz w:val="20"/>
                <w:szCs w:val="20"/>
                <w:color w:val="auto"/>
              </w:rPr>
            </w:pPr>
            <w:r>
              <w:rPr>
                <w:rFonts w:ascii="Arial" w:cs="Arial" w:eastAsia="Arial" w:hAnsi="Arial"/>
                <w:sz w:val="18"/>
                <w:szCs w:val="18"/>
                <w:color w:val="auto"/>
              </w:rPr>
              <w:t>140,837</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960" w:type="dxa"/>
            <w:vAlign w:val="bottom"/>
            <w:vMerge w:val="restart"/>
          </w:tcPr>
          <w:p>
            <w:pPr>
              <w:jc w:val="right"/>
              <w:ind w:right="2030"/>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6"/>
        </w:trPr>
        <w:tc>
          <w:tcPr>
            <w:tcW w:w="1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validity of the Ordinary Shares and certain other matters of Dutch law will be passed upon for us by NautaDutilh N.V.</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80" w:firstLine="749"/>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20-F for the year ended December 31, 2022 have been so incorporated in reliance on the report of PricewaterhouseCoopers Accountants N.V., an independent registered public accounting firm, given on the authority of said firm as experts in auditing and accounting.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incorporate by reference the following documents or information that we have filed with the SEC:</w:t>
      </w:r>
    </w:p>
    <w:p>
      <w:pPr>
        <w:spacing w:after="0" w:line="225" w:lineRule="exact"/>
        <w:rPr>
          <w:sz w:val="20"/>
          <w:szCs w:val="20"/>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Our Annual Report on Form 20-F for the fiscal year ended December 31, 2022 filed on </w:t>
      </w:r>
      <w:hyperlink r:id="rId60">
        <w:r>
          <w:rPr>
            <w:rFonts w:ascii="Arial" w:cs="Arial" w:eastAsia="Arial" w:hAnsi="Arial"/>
            <w:sz w:val="18"/>
            <w:szCs w:val="18"/>
            <w:u w:val="single" w:color="auto"/>
            <w:color w:val="0000FF"/>
          </w:rPr>
          <w:t>April 5, 2023</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40" w:right="20" w:hanging="383"/>
        <w:spacing w:after="0" w:line="263"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Our Forms 6-K filed on </w:t>
      </w:r>
      <w:hyperlink r:id="rId61">
        <w:r>
          <w:rPr>
            <w:rFonts w:ascii="Arial" w:cs="Arial" w:eastAsia="Arial" w:hAnsi="Arial"/>
            <w:sz w:val="18"/>
            <w:szCs w:val="18"/>
            <w:u w:val="single" w:color="auto"/>
            <w:color w:val="0000FF"/>
          </w:rPr>
          <w:t>January 9,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(Exhibit 99.1 only), </w:t>
      </w:r>
      <w:hyperlink r:id="rId62">
        <w:r>
          <w:rPr>
            <w:rFonts w:ascii="Arial" w:cs="Arial" w:eastAsia="Arial" w:hAnsi="Arial"/>
            <w:sz w:val="18"/>
            <w:szCs w:val="18"/>
            <w:u w:val="single" w:color="auto"/>
            <w:color w:val="0000FF"/>
          </w:rPr>
          <w:t>February 14,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Exhibit 99.1), </w:t>
      </w:r>
      <w:hyperlink r:id="rId63">
        <w:r>
          <w:rPr>
            <w:rFonts w:ascii="Arial" w:cs="Arial" w:eastAsia="Arial" w:hAnsi="Arial"/>
            <w:sz w:val="18"/>
            <w:szCs w:val="18"/>
            <w:u w:val="single" w:color="auto"/>
            <w:color w:val="0000FF"/>
          </w:rPr>
          <w:t>March 8,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Exhibit 99.1), </w:t>
      </w:r>
      <w:hyperlink r:id="rId64">
        <w:r>
          <w:rPr>
            <w:rFonts w:ascii="Arial" w:cs="Arial" w:eastAsia="Arial" w:hAnsi="Arial"/>
            <w:sz w:val="18"/>
            <w:szCs w:val="18"/>
            <w:u w:val="single" w:color="auto"/>
            <w:color w:val="0000FF"/>
          </w:rPr>
          <w:t>May 8,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Exhibit 99.1), </w:t>
      </w:r>
      <w:hyperlink r:id="rId65">
        <w:r>
          <w:rPr>
            <w:rFonts w:ascii="Arial" w:cs="Arial" w:eastAsia="Arial" w:hAnsi="Arial"/>
            <w:sz w:val="18"/>
            <w:szCs w:val="18"/>
            <w:u w:val="single" w:color="auto"/>
            <w:color w:val="0000FF"/>
          </w:rPr>
          <w:t>June 20,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Exhibits 99.1 and 99.2), </w:t>
      </w:r>
      <w:hyperlink r:id="rId66">
        <w:r>
          <w:rPr>
            <w:rFonts w:ascii="Arial" w:cs="Arial" w:eastAsia="Arial" w:hAnsi="Arial"/>
            <w:sz w:val="18"/>
            <w:szCs w:val="18"/>
            <w:u w:val="single" w:color="auto"/>
            <w:color w:val="0000FF"/>
          </w:rPr>
          <w:t>June 26, 2023</w:t>
        </w:r>
      </w:hyperlink>
      <w:r>
        <w:rPr>
          <w:rFonts w:ascii="Arial" w:cs="Arial" w:eastAsia="Arial" w:hAnsi="Arial"/>
          <w:sz w:val="18"/>
          <w:szCs w:val="18"/>
          <w:color w:val="auto"/>
        </w:rPr>
        <w:t xml:space="preserve">, </w:t>
      </w:r>
      <w:hyperlink r:id="rId67">
        <w:r>
          <w:rPr>
            <w:rFonts w:ascii="Arial" w:cs="Arial" w:eastAsia="Arial" w:hAnsi="Arial"/>
            <w:sz w:val="18"/>
            <w:szCs w:val="18"/>
            <w:u w:val="single" w:color="auto"/>
            <w:color w:val="0000FF"/>
          </w:rPr>
          <w:t>June 27, 2023</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FF"/>
          </w:rPr>
          <w:t>July 3, 2023</w:t>
        </w:r>
      </w:hyperlink>
      <w:r>
        <w:rPr>
          <w:rFonts w:ascii="Arial" w:cs="Arial" w:eastAsia="Arial" w:hAnsi="Arial"/>
          <w:sz w:val="18"/>
          <w:szCs w:val="18"/>
          <w:color w:val="auto"/>
        </w:rPr>
        <w:t xml:space="preserve"> and </w:t>
      </w:r>
      <w:hyperlink r:id="rId69">
        <w:r>
          <w:rPr>
            <w:rFonts w:ascii="Arial" w:cs="Arial" w:eastAsia="Arial" w:hAnsi="Arial"/>
            <w:sz w:val="18"/>
            <w:szCs w:val="18"/>
            <w:u w:val="single" w:color="auto"/>
            <w:color w:val="0000FF"/>
          </w:rPr>
          <w:t>August 7, 2023</w:t>
        </w:r>
      </w:hyperlink>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left="1140" w:right="340" w:hanging="383"/>
        <w:spacing w:after="0" w:line="263"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our registration statement on Form 8-A filed with the SEC on </w:t>
      </w:r>
      <w:hyperlink r:id="rId70">
        <w:r>
          <w:rPr>
            <w:rFonts w:ascii="Arial" w:cs="Arial" w:eastAsia="Arial" w:hAnsi="Arial"/>
            <w:sz w:val="18"/>
            <w:szCs w:val="18"/>
            <w:u w:val="single" w:color="auto"/>
            <w:color w:val="0000FF"/>
          </w:rPr>
          <w:t>February 4, 2021</w:t>
        </w:r>
      </w:hyperlink>
      <w:r>
        <w:rPr>
          <w:rFonts w:ascii="Arial" w:cs="Arial" w:eastAsia="Arial" w:hAnsi="Arial"/>
          <w:sz w:val="18"/>
          <w:szCs w:val="18"/>
          <w:color w:val="auto"/>
        </w:rPr>
        <w:t xml:space="preserve">, as updated by the description of our Ordinary Shares filed as </w:t>
      </w:r>
      <w:hyperlink r:id="rId71">
        <w:r>
          <w:rPr>
            <w:rFonts w:ascii="Arial" w:cs="Arial" w:eastAsia="Arial" w:hAnsi="Arial"/>
            <w:sz w:val="18"/>
            <w:szCs w:val="18"/>
            <w:u w:val="single" w:color="auto"/>
            <w:color w:val="0000FF"/>
          </w:rPr>
          <w:t>Exhibit 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20-F for the fiscal year ended December 31, 2022.</w:t>
      </w:r>
    </w:p>
    <w:p>
      <w:pPr>
        <w:spacing w:after="0" w:line="184" w:lineRule="exact"/>
        <w:rPr>
          <w:rFonts w:ascii="Arial" w:cs="Arial" w:eastAsia="Arial" w:hAnsi="Arial"/>
          <w:sz w:val="18"/>
          <w:szCs w:val="18"/>
          <w:color w:val="auto"/>
        </w:rPr>
      </w:pPr>
    </w:p>
    <w:p>
      <w:pPr>
        <w:ind w:right="100" w:firstLine="749"/>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6-K that it is being incorporated by reference into this prospectus.</w:t>
      </w:r>
    </w:p>
    <w:p>
      <w:pPr>
        <w:spacing w:after="0" w:line="187" w:lineRule="exact"/>
        <w:rPr>
          <w:rFonts w:ascii="Arial" w:cs="Arial" w:eastAsia="Arial" w:hAnsi="Arial"/>
          <w:sz w:val="18"/>
          <w:szCs w:val="18"/>
          <w:color w:val="auto"/>
        </w:rPr>
      </w:pPr>
    </w:p>
    <w:p>
      <w:pPr>
        <w:ind w:firstLine="749"/>
        <w:spacing w:after="0" w:line="311" w:lineRule="auto"/>
        <w:rPr>
          <w:sz w:val="20"/>
          <w:szCs w:val="20"/>
          <w:color w:val="auto"/>
        </w:rPr>
      </w:pPr>
      <w:r>
        <w:rPr>
          <w:rFonts w:ascii="Arial" w:cs="Arial" w:eastAsia="Arial" w:hAnsi="Arial"/>
          <w:sz w:val="16"/>
          <w:szCs w:val="16"/>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Emmy Noetherweg 2, 2333 BK Leiden, The Netherlands or via telephone at +31 (0)71 203 6410.</w:t>
      </w:r>
    </w:p>
    <w:p>
      <w:pPr>
        <w:spacing w:after="0" w:line="365"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lowerRoman"/>
      <w:start w:val="1"/>
    </w:lvl>
  </w:abstractNum>
  <w:abstractNum w:abstractNumId="8">
    <w:nsid w:val="721DA317"/>
    <w:multiLevelType w:val="hybridMultilevel"/>
    <w:lvl w:ilvl="0">
      <w:lvlJc w:val="left"/>
      <w:lvlText w:val="(%1)"/>
      <w:numFmt w:val="lowerRoman"/>
      <w:start w:val="2"/>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lowerRoman"/>
      <w:start w:val="1"/>
    </w:lvl>
  </w:abstractNum>
  <w:abstractNum w:abstractNumId="12">
    <w:nsid w:val="75A2A8D4"/>
    <w:multiLevelType w:val="hybridMultilevel"/>
    <w:lvl w:ilvl="0">
      <w:lvlJc w:val="left"/>
      <w:lvlText w:val="%1."/>
      <w:numFmt w:val="lowerRoman"/>
      <w:start w:val="3"/>
    </w:lvl>
  </w:abstractNum>
  <w:abstractNum w:abstractNumId="13">
    <w:nsid w:val="8EDBDAB"/>
    <w:multiLevelType w:val="hybridMultilevel"/>
    <w:lvl w:ilvl="0">
      <w:lvlJc w:val="left"/>
      <w:lvlText w:val="%1."/>
      <w:numFmt w:val="lowerRoman"/>
      <w:start w:val="1"/>
    </w:lvl>
  </w:abstractNum>
  <w:abstractNum w:abstractNumId="14">
    <w:nsid w:val="79838CB2"/>
    <w:multiLevelType w:val="hybridMultilevel"/>
    <w:lvl w:ilvl="0">
      <w:lvlJc w:val="left"/>
      <w:lvlText w:val="%1."/>
      <w:numFmt w:val="lowerRoman"/>
      <w:start w:val="1"/>
    </w:lvl>
  </w:abstractNum>
  <w:abstractNum w:abstractNumId="15">
    <w:nsid w:val="4353D0CD"/>
    <w:multiLevelType w:val="hybridMultilevel"/>
    <w:lvl w:ilvl="0">
      <w:lvlJc w:val="left"/>
      <w:lvlText w:val="%1."/>
      <w:numFmt w:val="lowerRoman"/>
      <w:start w:val="1"/>
    </w:lvl>
  </w:abstractNum>
  <w:abstractNum w:abstractNumId="16">
    <w:nsid w:val="B03E0C6"/>
    <w:multiLevelType w:val="hybridMultilevel"/>
    <w:lvl w:ilvl="0">
      <w:lvlJc w:val="left"/>
      <w:lvlText w:val="%1."/>
      <w:numFmt w:val="lowerRoman"/>
      <w:start w:val="2"/>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upperLetter"/>
      <w:start w:val="9"/>
    </w:lvl>
  </w:abstractNum>
  <w:abstractNum w:abstractNumId="20">
    <w:nsid w:val="2CA88611"/>
    <w:multiLevelType w:val="hybridMultilevel"/>
    <w:lvl w:ilvl="0">
      <w:lvlJc w:val="left"/>
      <w:lvlText w:val="%1."/>
      <w:numFmt w:val="upperLetter"/>
      <w:start w:val="35"/>
    </w:lvl>
  </w:abstractNum>
  <w:abstractNum w:abstractNumId="21">
    <w:nsid w:val="836C40E"/>
    <w:multiLevelType w:val="hybridMultilevel"/>
    <w:lvl w:ilvl="0">
      <w:lvlJc w:val="left"/>
      <w:lvlText w:val="%1."/>
      <w:numFmt w:val="upperLetter"/>
      <w:start w:val="61"/>
    </w:lvl>
  </w:abstractNum>
  <w:abstractNum w:abstractNumId="22">
    <w:nsid w:val="2901D82"/>
    <w:multiLevelType w:val="hybridMultilevel"/>
    <w:lvl w:ilvl="0">
      <w:lvlJc w:val="left"/>
      <w:lvlText w:val="%1."/>
      <w:numFmt w:val="upperLetter"/>
      <w:start w:val="22"/>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lowerRoman"/>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2" Type="http://schemas.openxmlformats.org/officeDocument/2006/relationships/image" Target="media/image53.png"/><Relationship Id="rId60" Type="http://schemas.openxmlformats.org/officeDocument/2006/relationships/hyperlink" Target="https://www.sec.gov/ix?doc=/Archives/edgar/data/0001830487/000095017023011842/phvs-20221231.htm" TargetMode="External"/><Relationship Id="rId61" Type="http://schemas.openxmlformats.org/officeDocument/2006/relationships/hyperlink" Target="https://www.sec.gov/Archives/edgar/data/1830487/000156459023000268/phvs-6k_20230109.htm" TargetMode="External"/><Relationship Id="rId62" Type="http://schemas.openxmlformats.org/officeDocument/2006/relationships/hyperlink" Target="https://www.sec.gov/Archives/edgar/data/1830487/000095017023002697/26-week_rodent_toxicolog.htm" TargetMode="External"/><Relationship Id="rId63" Type="http://schemas.openxmlformats.org/officeDocument/2006/relationships/hyperlink" Target="https://www.sec.gov/Archives/edgar/data/1830487/000095017023006722/slide_update_-_toxicolog.htm" TargetMode="External"/><Relationship Id="rId64" Type="http://schemas.openxmlformats.org/officeDocument/2006/relationships/hyperlink" Target="https://www.sec.gov/Archives/edgar/data/1830487/000095017023018464/6-k_q1_23.htm" TargetMode="External"/><Relationship Id="rId65" Type="http://schemas.openxmlformats.org/officeDocument/2006/relationships/hyperlink" Target="https://www.sec.gov/Archives/edgar/data/1830487/000095017023028765/pipe.htm" TargetMode="External"/><Relationship Id="rId66" Type="http://schemas.openxmlformats.org/officeDocument/2006/relationships/hyperlink" Target="https://www.sec.gov/Archives/edgar/data/1830487/000095017023029721/fda_hold_lift_on-demand.htm" TargetMode="External"/><Relationship Id="rId67" Type="http://schemas.openxmlformats.org/officeDocument/2006/relationships/hyperlink" Target="https://www.sec.gov/Archives/edgar/data/1830487/000095017023029954/material_us_and_dutch_ta.htm" TargetMode="External"/><Relationship Id="rId68" Type="http://schemas.openxmlformats.org/officeDocument/2006/relationships/hyperlink" Target="https://www.sec.gov/Archives/edgar/data/1830487/000095017023031254/departure_of_certain_off.htm" TargetMode="External"/><Relationship Id="rId69" Type="http://schemas.openxmlformats.org/officeDocument/2006/relationships/hyperlink" Target="https://www.sec.gov/ix?doc=/Archives/edgar/data/0001830487/000095017023038727/phvs-20230630.htm" TargetMode="External"/><Relationship Id="rId70" Type="http://schemas.openxmlformats.org/officeDocument/2006/relationships/hyperlink" Target="https://www.sec.gov/Archives/edgar/data/1830487/000119312521028346/d91705d8a12b.htm" TargetMode="External"/><Relationship Id="rId71" Type="http://schemas.openxmlformats.org/officeDocument/2006/relationships/hyperlink" Target="https://www.sec.gov/Archives/edgar/data/1830487/000119312521140476/d51199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2023-08-24T15:49:28Z</dcterms:created>
  <dcterms:modified xsi:type="dcterms:W3CDTF">2023-08-24T15:49:28Z</dcterms:modified>
</cp:coreProperties>
</file>