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126365</wp:posOffset>
            </wp:positionV>
            <wp:extent cx="332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171450</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REPORT OF FOREIGN PRIVATE ISSUER</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month of November 2024</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140970</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8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Pharvaris N.V.</w:t>
      </w:r>
    </w:p>
    <w:p>
      <w:pPr>
        <w:spacing w:after="0" w:line="23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158115</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Emmy Noetherweg 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2333 BK Leiden</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Netherlands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0"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line="256"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November 13, 2024, Pharvaris N.V. issued a press release reporting financial results and other business updates for the three and nine months ended September 30, 2024. A copy of the press release is attached hereto as Exhibit 99.1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333-277705 and 333-278650)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1654175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500" w:type="dxa"/>
            <w:vAlign w:val="bottom"/>
            <w:gridSpan w:val="4"/>
          </w:tcPr>
          <w:p>
            <w:pPr>
              <w:ind w:left="122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9"/>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Pr>
          <w:p>
            <w:pPr>
              <w:ind w:left="20"/>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Press Release, dated November 13, 2024, (Financial results).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 as of and for the Three and Nine Months Ended</w:t>
            </w: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September 30, 2024 and 2023.</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Unaudited Condensed Consolidated Interim Financial Statements as of and for the Three and Nine Months Ended September 30, 2024 and</w:t>
            </w: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2023 and as of December 31, 2023.</w:t>
            </w:r>
          </w:p>
        </w:tc>
        <w:tc>
          <w:tcPr>
            <w:tcW w:w="40" w:type="dxa"/>
            <w:vAlign w:val="bottom"/>
          </w:tcPr>
          <w:p>
            <w:pPr>
              <w:spacing w:after="0"/>
              <w:rPr>
                <w:sz w:val="14"/>
                <w:szCs w:val="14"/>
                <w:color w:val="auto"/>
              </w:rPr>
            </w:pPr>
          </w:p>
        </w:tc>
      </w:tr>
      <w:tr>
        <w:trPr>
          <w:trHeight w:val="1648"/>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60" w:type="dxa"/>
            <w:vAlign w:val="bottom"/>
          </w:tcPr>
          <w:p>
            <w:pPr>
              <w:spacing w:after="0"/>
              <w:rPr>
                <w:sz w:val="21"/>
                <w:szCs w:val="21"/>
                <w:color w:val="auto"/>
              </w:rPr>
            </w:pPr>
          </w:p>
        </w:tc>
        <w:tc>
          <w:tcPr>
            <w:tcW w:w="7480" w:type="dxa"/>
            <w:vAlign w:val="bottom"/>
            <w:gridSpan w:val="2"/>
          </w:tcPr>
          <w:p>
            <w:pPr>
              <w:ind w:left="1900"/>
              <w:spacing w:after="0"/>
              <w:rPr>
                <w:sz w:val="20"/>
                <w:szCs w:val="20"/>
                <w:color w:val="auto"/>
              </w:rPr>
            </w:pPr>
            <w:r>
              <w:rPr>
                <w:rFonts w:ascii="Arial" w:cs="Arial" w:eastAsia="Arial" w:hAnsi="Arial"/>
                <w:sz w:val="18"/>
                <w:szCs w:val="18"/>
                <w:b w:val="1"/>
                <w:bCs w:val="1"/>
                <w:color w:val="auto"/>
              </w:rPr>
              <w:t>PHARVARIS N.V.</w:t>
            </w:r>
          </w:p>
        </w:tc>
      </w:tr>
      <w:tr>
        <w:trPr>
          <w:trHeight w:val="427"/>
        </w:trPr>
        <w:tc>
          <w:tcPr>
            <w:tcW w:w="3760" w:type="dxa"/>
            <w:vAlign w:val="bottom"/>
          </w:tcPr>
          <w:p>
            <w:pPr>
              <w:ind w:left="20"/>
              <w:spacing w:after="0"/>
              <w:rPr>
                <w:sz w:val="20"/>
                <w:szCs w:val="20"/>
                <w:color w:val="auto"/>
              </w:rPr>
            </w:pPr>
            <w:r>
              <w:rPr>
                <w:rFonts w:ascii="Arial" w:cs="Arial" w:eastAsia="Arial" w:hAnsi="Arial"/>
                <w:sz w:val="16"/>
                <w:szCs w:val="16"/>
                <w:color w:val="auto"/>
              </w:rPr>
              <w:t>Date: November 13, 2024</w:t>
            </w:r>
          </w:p>
        </w:tc>
        <w:tc>
          <w:tcPr>
            <w:tcW w:w="2600" w:type="dxa"/>
            <w:vAlign w:val="bottom"/>
          </w:tcPr>
          <w:p>
            <w:pPr>
              <w:ind w:left="190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215"/>
        </w:trPr>
        <w:tc>
          <w:tcPr>
            <w:tcW w:w="3760" w:type="dxa"/>
            <w:vAlign w:val="bottom"/>
          </w:tcPr>
          <w:p>
            <w:pPr>
              <w:spacing w:after="0"/>
              <w:rPr>
                <w:sz w:val="18"/>
                <w:szCs w:val="18"/>
                <w:color w:val="auto"/>
              </w:rPr>
            </w:pPr>
          </w:p>
        </w:tc>
        <w:tc>
          <w:tcPr>
            <w:tcW w:w="2600" w:type="dxa"/>
            <w:vAlign w:val="bottom"/>
          </w:tcPr>
          <w:p>
            <w:pPr>
              <w:ind w:left="1900"/>
              <w:spacing w:after="0"/>
              <w:rPr>
                <w:sz w:val="20"/>
                <w:szCs w:val="20"/>
                <w:color w:val="auto"/>
              </w:rPr>
            </w:pPr>
            <w:r>
              <w:rPr>
                <w:rFonts w:ascii="Arial" w:cs="Arial" w:eastAsia="Arial" w:hAnsi="Arial"/>
                <w:sz w:val="16"/>
                <w:szCs w:val="16"/>
                <w:color w:val="auto"/>
              </w:rPr>
              <w:t>Name:</w:t>
            </w:r>
          </w:p>
        </w:tc>
        <w:tc>
          <w:tcPr>
            <w:tcW w:w="4880" w:type="dxa"/>
            <w:vAlign w:val="bottom"/>
          </w:tcPr>
          <w:p>
            <w:pPr>
              <w:spacing w:after="0"/>
              <w:rPr>
                <w:sz w:val="20"/>
                <w:szCs w:val="20"/>
                <w:color w:val="auto"/>
              </w:rPr>
            </w:pPr>
            <w:r>
              <w:rPr>
                <w:rFonts w:ascii="Arial" w:cs="Arial" w:eastAsia="Arial" w:hAnsi="Arial"/>
                <w:sz w:val="16"/>
                <w:szCs w:val="16"/>
                <w:color w:val="auto"/>
              </w:rPr>
              <w:t>Berndt Modig</w:t>
            </w:r>
          </w:p>
        </w:tc>
      </w:tr>
      <w:tr>
        <w:trPr>
          <w:trHeight w:val="215"/>
        </w:trPr>
        <w:tc>
          <w:tcPr>
            <w:tcW w:w="3760" w:type="dxa"/>
            <w:vAlign w:val="bottom"/>
          </w:tcPr>
          <w:p>
            <w:pPr>
              <w:spacing w:after="0"/>
              <w:rPr>
                <w:sz w:val="18"/>
                <w:szCs w:val="18"/>
                <w:color w:val="auto"/>
              </w:rPr>
            </w:pPr>
          </w:p>
        </w:tc>
        <w:tc>
          <w:tcPr>
            <w:tcW w:w="2600" w:type="dxa"/>
            <w:vAlign w:val="bottom"/>
          </w:tcPr>
          <w:p>
            <w:pPr>
              <w:ind w:left="1900"/>
              <w:spacing w:after="0"/>
              <w:rPr>
                <w:sz w:val="20"/>
                <w:szCs w:val="20"/>
                <w:color w:val="auto"/>
              </w:rPr>
            </w:pPr>
            <w:r>
              <w:rPr>
                <w:rFonts w:ascii="Arial" w:cs="Arial" w:eastAsia="Arial" w:hAnsi="Arial"/>
                <w:sz w:val="16"/>
                <w:szCs w:val="16"/>
                <w:color w:val="auto"/>
              </w:rPr>
              <w:t>Title:</w:t>
            </w:r>
          </w:p>
        </w:tc>
        <w:tc>
          <w:tcPr>
            <w:tcW w:w="48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629"/>
        </w:trPr>
        <w:tc>
          <w:tcPr>
            <w:tcW w:w="37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ind w:left="103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4948555</wp:posOffset>
            </wp:positionH>
            <wp:positionV relativeFrom="page">
              <wp:posOffset>500380</wp:posOffset>
            </wp:positionV>
            <wp:extent cx="239141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391410" cy="351155"/>
                    </a:xfrm>
                    <a:prstGeom prst="rect">
                      <a:avLst/>
                    </a:prstGeom>
                    <a:noFill/>
                  </pic:spPr>
                </pic:pic>
              </a:graphicData>
            </a:graphic>
          </wp:anchor>
        </w:drawing>
        <w:t>Exhibit 99.1</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5"/>
          <w:szCs w:val="25"/>
          <w:b w:val="1"/>
          <w:bCs w:val="1"/>
          <w:color w:val="auto"/>
        </w:rPr>
        <w:t>Pharvaris Reports Third Quarter 2024 Financial Results and Highlights Recent Business Updates</w:t>
      </w:r>
    </w:p>
    <w:p>
      <w:pPr>
        <w:spacing w:after="0" w:line="313" w:lineRule="exact"/>
        <w:rPr>
          <w:sz w:val="20"/>
          <w:szCs w:val="20"/>
          <w:color w:val="auto"/>
        </w:rPr>
      </w:pPr>
    </w:p>
    <w:p>
      <w:pPr>
        <w:ind w:left="760" w:right="26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Positive long-term extension data highlighting the differentiated profile of deucrictibant for the prevention and treatment of HAE attacks presented at recent medical congresses</w:t>
      </w:r>
    </w:p>
    <w:p>
      <w:pPr>
        <w:spacing w:after="0" w:line="1" w:lineRule="exact"/>
        <w:rPr>
          <w:rFonts w:ascii="Times New Roman" w:cs="Times New Roman" w:eastAsia="Times New Roman" w:hAnsi="Times New Roman"/>
          <w:sz w:val="18"/>
          <w:szCs w:val="18"/>
          <w:color w:val="auto"/>
        </w:rPr>
      </w:pPr>
    </w:p>
    <w:p>
      <w:pPr>
        <w:ind w:left="760" w:right="540" w:hanging="378"/>
        <w:spacing w:after="0" w:line="239"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Intend to engage in clinical development of deucrictibant for the treatment of acquired angioedema due to C1-INH deficiency (AAE-C1INH)</w:t>
      </w:r>
    </w:p>
    <w:p>
      <w:pPr>
        <w:ind w:left="760" w:right="180" w:hanging="378"/>
        <w:spacing w:after="0" w:line="239"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Initiation of CHAPTER-3 global pivotal Phase 3 clinical study of deucrictibant for the prophylactic treatment of HAE using once-daily extended-release tablet expected by YE2024</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from a strong financial position with cash and cash equivalents of €305 million as of September 30, 2024</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November 13, 2024 </w:t>
      </w:r>
      <w:r>
        <w:rPr>
          <w:rFonts w:ascii="Times New Roman" w:cs="Times New Roman" w:eastAsia="Times New Roman" w:hAnsi="Times New Roman"/>
          <w:sz w:val="20"/>
          <w:szCs w:val="20"/>
          <w:color w:val="auto"/>
        </w:rPr>
        <w:t>-- Pharvaris (Nasdaq: PHVS), a late-stage biopharmaceutical company developing novel, oral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bradykinin B2 receptor antagonists to prevent and treat hereditary angioedema (HAE) attacks, today announced financial results for the third quarter ended September 30, 2024, and highlighted recent business updates.</w:t>
      </w:r>
    </w:p>
    <w:p>
      <w:pPr>
        <w:spacing w:after="0" w:line="18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“Enrollment in our pivotal Phase 3 on-demand study, RAPIDe-3, progresses as planned, and we are preparing for the initiation of our pivotal Phase 3 prophylaxis study, CHAPTER-3, by year-end,” said Berndt Modig, Chief Executive Officer of Pharvaris. “Our recently presented positive long-term extension data from our CHAPTER-1 and RAPIDe-2 Phase 2 studies reinforces deucrictibant’s differentiated profile and its potential to provide people living with HAE the tools to confidently control their condition. Together with the data from our randomized clinical trials, we believe deucrictibant’s injectable-like efficacy, placebo-like tolerability, and oral convenience uniquely position it to address unmet need in both the prophylactic and on-demand HAE treatment settings. Our team is now focused on the successful execution of our Phase 3 HAE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Recent Highlights and Clinical Study Updates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Development Pipeline</w:t>
      </w:r>
    </w:p>
    <w:p>
      <w:pPr>
        <w:ind w:left="76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Anticipated initiation of CHAPTER-3 (NCT06669754) by YE2024. </w:t>
      </w:r>
      <w:r>
        <w:rPr>
          <w:rFonts w:ascii="Times New Roman" w:cs="Times New Roman" w:eastAsia="Times New Roman" w:hAnsi="Times New Roman"/>
          <w:sz w:val="20"/>
          <w:szCs w:val="20"/>
          <w:color w:val="auto"/>
        </w:rPr>
        <w:t>CHAPTER-3 is a randomized, double-blind, placebo-controlled Phase 3 study of orally administered deucrictibant extended-release tablet for the prophylactic treatment of HAE attacks. The study aims to enroll approximately 81 adult and adolescent participants (12 years and older) with HAE and randomize them in a 2:1 ratio to receive deucrictibant extended-release tablet (40 mg/day) or placebo once 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3" w:lineRule="exact"/>
        <w:rPr>
          <w:rFonts w:ascii="Times New Roman" w:cs="Times New Roman" w:eastAsia="Times New Roman" w:hAnsi="Times New Roman"/>
          <w:sz w:val="20"/>
          <w:szCs w:val="20"/>
          <w:color w:val="auto"/>
        </w:rPr>
      </w:pPr>
    </w:p>
    <w:p>
      <w:pPr>
        <w:ind w:left="760" w:right="4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Enrollment in RAPIDe-3 (NCT06343779) is progressing as planned. </w:t>
      </w:r>
      <w:r>
        <w:rPr>
          <w:rFonts w:ascii="Times New Roman" w:cs="Times New Roman" w:eastAsia="Times New Roman" w:hAnsi="Times New Roman"/>
          <w:sz w:val="20"/>
          <w:szCs w:val="20"/>
          <w:color w:val="auto"/>
        </w:rPr>
        <w:t>Advancement of RAPIDe-3, a global pivotal Phase 3 study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deucrictibant immediate-release capsule for the on-demand treatment of HAE attacks, is progressing as planned with a target enrollment of approximately 120 participants. The primary efficacy endpoint is time to onset of symptom relief, as measured by Patient Global Impression of Change (PGI-C) rating of at least “a little better” for two consecutive timepoints within 12 hours post-treatment. Other efficacy endpoints include time to End of Progression (EoP) in attack symptoms, substantial symptom relief, complete attack resolution and proportion of attacks achieving symptom resolution with one dose of deucrictibant as measured by Patient Global Impression of Severity (PGI-S) and by Angioedema Symptom Rating Scale (AMRA).</w:t>
      </w:r>
    </w:p>
    <w:p>
      <w:pPr>
        <w:spacing w:after="0" w:line="3" w:lineRule="exact"/>
        <w:rPr>
          <w:rFonts w:ascii="Times New Roman" w:cs="Times New Roman" w:eastAsia="Times New Roman" w:hAnsi="Times New Roman"/>
          <w:sz w:val="20"/>
          <w:szCs w:val="20"/>
          <w:color w:val="auto"/>
        </w:rPr>
      </w:pPr>
    </w:p>
    <w:p>
      <w:pPr>
        <w:ind w:left="760" w:right="2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Presentations at Bradykinin Symposium 2024, HAEi Global Angioedema Forum, and American College of Allergy, Asthma, &amp; Immunology (ACAAI) Annual Meeting highlighted positive long-term extension data for deucrictibant for both prophylactic and on-demand treatment. </w:t>
      </w:r>
      <w:r>
        <w:rPr>
          <w:rFonts w:ascii="Times New Roman" w:cs="Times New Roman" w:eastAsia="Times New Roman" w:hAnsi="Times New Roman"/>
          <w:sz w:val="20"/>
          <w:szCs w:val="20"/>
          <w:color w:val="auto"/>
        </w:rPr>
        <w:t>Extension data confirm the observed safety and tolerability profile from Phase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randomized studies and further support the potential for deucrictibant to become a preferred therapy for the management of HAE. Long-term prophylaxis extension data of deucrictibant (CHAPTER-1 OLE) show attack reduction is maintained for over one year with open-label extension participants experienced a 93% reduction in attacks compared to baseline. Long-term on-demand extension data of deucrictibant immediate-release capsule (RAPIDe-2 OLE) show median onset of symptom relief in ~1.1 hours, with 85.8% of attacks resolving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ind w:left="378" w:right="100"/>
        <w:spacing w:after="0" w:line="250" w:lineRule="auto"/>
        <w:rPr>
          <w:sz w:val="20"/>
          <w:szCs w:val="20"/>
          <w:color w:val="auto"/>
        </w:rPr>
      </w:pPr>
      <w:r>
        <w:rPr>
          <w:rFonts w:ascii="Times New Roman" w:cs="Times New Roman" w:eastAsia="Times New Roman" w:hAnsi="Times New Roman"/>
          <w:sz w:val="20"/>
          <w:szCs w:val="20"/>
          <w:color w:val="auto"/>
        </w:rPr>
        <w:t>completely within 24 hours. The full posters and presentation slides are available on the Investors section of the Pharvaris website at https://ir.pharvaris.com/news-events/publications.</w:t>
      </w:r>
    </w:p>
    <w:p>
      <w:pPr>
        <w:spacing w:after="0" w:line="2" w:lineRule="exact"/>
        <w:rPr>
          <w:sz w:val="20"/>
          <w:szCs w:val="20"/>
          <w:color w:val="auto"/>
        </w:rPr>
      </w:pPr>
    </w:p>
    <w:p>
      <w:pPr>
        <w:ind w:left="378" w:hanging="378"/>
        <w:spacing w:after="0"/>
        <w:tabs>
          <w:tab w:leader="none" w:pos="37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Announced plans to expand clinical development of deucrictibant into acquired angioedema due to C1-INH deficiency (AAE-C1INH) following publication of compelling data from an investigator-initiated trial. </w:t>
      </w:r>
      <w:r>
        <w:rPr>
          <w:rFonts w:ascii="Times New Roman" w:cs="Times New Roman" w:eastAsia="Times New Roman" w:hAnsi="Times New Roman"/>
          <w:sz w:val="20"/>
          <w:szCs w:val="20"/>
          <w:color w:val="auto"/>
        </w:rPr>
        <w:t>Data in the July 2024 publication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w:t>
      </w:r>
      <w:r>
        <w:rPr>
          <w:rFonts w:ascii="Times New Roman" w:cs="Times New Roman" w:eastAsia="Times New Roman" w:hAnsi="Times New Roman"/>
          <w:sz w:val="20"/>
          <w:szCs w:val="20"/>
          <w:i w:val="1"/>
          <w:iCs w:val="1"/>
          <w:color w:val="auto"/>
        </w:rPr>
        <w:t>Journal of Allergy and Clinical Immunology</w:t>
      </w:r>
      <w:r>
        <w:rPr>
          <w:rFonts w:ascii="Times New Roman" w:cs="Times New Roman" w:eastAsia="Times New Roman" w:hAnsi="Times New Roman"/>
          <w:sz w:val="20"/>
          <w:szCs w:val="20"/>
          <w:color w:val="auto"/>
        </w:rPr>
        <w:t xml:space="preserve"> explored the potential for deucrictibant to address the unmet medical need for effective and well-tolerated therapies for the prophylactic and on-demand treatment of AAE-C1INH. Currently, there are no approved therapies to address AAE-C1INH. A randomized, double-blind, placebo-controlled study was conducted by Investigators at the Amsterdam University Medical Center (Amsterdam UMC). Three persons living with AAE-C1INH were enrolled; the individual mean monthly attack rates were 2.0, 0.6, and 1.0 during the placebo period and 0.0 across all participants during treatment with deucrictibant. There were no severe adverse events and one self-limiting treatment-emergent adverse event (abdominal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1014095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78"/>
          </w:cols>
          <w:pgMar w:left="702" w:top="1413"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Upcoming Investor Events and Presentations</w:t>
      </w:r>
    </w:p>
    <w:p>
      <w:pPr>
        <w:spacing w:after="0" w:line="30" w:lineRule="exact"/>
        <w:rPr>
          <w:sz w:val="20"/>
          <w:szCs w:val="20"/>
          <w:color w:val="auto"/>
        </w:rPr>
      </w:pPr>
    </w:p>
    <w:p>
      <w:pPr>
        <w:ind w:left="760" w:right="3360" w:hanging="378"/>
        <w:spacing w:after="0" w:line="21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Evercore ISI’s 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20"/>
          <w:szCs w:val="20"/>
          <w:b w:val="1"/>
          <w:bCs w:val="1"/>
          <w:color w:val="auto"/>
        </w:rPr>
        <w:t xml:space="preserve"> Annual HealthCONx Conference </w:t>
      </w:r>
      <w:r>
        <w:rPr>
          <w:rFonts w:ascii="Times New Roman" w:cs="Times New Roman" w:eastAsia="Times New Roman" w:hAnsi="Times New Roman"/>
          <w:sz w:val="20"/>
          <w:szCs w:val="20"/>
          <w:color w:val="auto"/>
        </w:rPr>
        <w:t>(Miami, FL, December 3-5, 2024)</w:t>
      </w:r>
      <w:r>
        <w:rPr>
          <w:rFonts w:ascii="Times New Roman" w:cs="Times New Roman" w:eastAsia="Times New Roman" w:hAnsi="Times New Roman"/>
          <w:sz w:val="20"/>
          <w:szCs w:val="20"/>
          <w:b w:val="1"/>
          <w:bCs w:val="1"/>
          <w:color w:val="auto"/>
        </w:rPr>
        <w:t xml:space="preserve"> Format: </w:t>
      </w:r>
      <w:r>
        <w:rPr>
          <w:rFonts w:ascii="Times New Roman" w:cs="Times New Roman" w:eastAsia="Times New Roman" w:hAnsi="Times New Roman"/>
          <w:sz w:val="20"/>
          <w:szCs w:val="20"/>
          <w:color w:val="auto"/>
        </w:rPr>
        <w:t>Fireside Chat</w:t>
      </w:r>
    </w:p>
    <w:p>
      <w:pPr>
        <w:spacing w:after="0" w:line="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Wednesday, Dec. 4, 3:50-4:10 p.m. ET</w:t>
      </w:r>
    </w:p>
    <w:p>
      <w:pPr>
        <w:ind w:left="760" w:right="3520" w:hanging="378"/>
        <w:spacing w:after="0" w:line="23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Oppenheimer Movers in Rare Disease Summit </w:t>
      </w:r>
      <w:r>
        <w:rPr>
          <w:rFonts w:ascii="Times New Roman" w:cs="Times New Roman" w:eastAsia="Times New Roman" w:hAnsi="Times New Roman"/>
          <w:sz w:val="20"/>
          <w:szCs w:val="20"/>
          <w:color w:val="auto"/>
        </w:rPr>
        <w:t>(New York, NY, December 12, 2024)</w:t>
      </w:r>
      <w:r>
        <w:rPr>
          <w:rFonts w:ascii="Times New Roman" w:cs="Times New Roman" w:eastAsia="Times New Roman" w:hAnsi="Times New Roman"/>
          <w:sz w:val="20"/>
          <w:szCs w:val="20"/>
          <w:b w:val="1"/>
          <w:bCs w:val="1"/>
          <w:color w:val="auto"/>
        </w:rPr>
        <w:t xml:space="preserve"> Format: </w:t>
      </w:r>
      <w:r>
        <w:rPr>
          <w:rFonts w:ascii="Times New Roman" w:cs="Times New Roman" w:eastAsia="Times New Roman" w:hAnsi="Times New Roman"/>
          <w:sz w:val="20"/>
          <w:szCs w:val="20"/>
          <w:color w:val="auto"/>
        </w:rPr>
        <w:t>Panel: Elevator Pitches from Rare Disease Companies</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Thursday, Dec. 12, 2:45-3:30 p.m. ET</w:t>
      </w:r>
    </w:p>
    <w:p>
      <w:pPr>
        <w:spacing w:after="0" w:line="2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Live audio webcasts of the Evercore fireside chat will be available on the Investors section of the Pharvaris website at: https://ir.pharvaris.com/news-events/events-presentations. The audio replay will be available on Pharvaris’ website for 30 days following the presentation.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Financial Results</w:t>
      </w:r>
    </w:p>
    <w:p>
      <w:pPr>
        <w:spacing w:after="0" w:line="26" w:lineRule="exact"/>
        <w:rPr>
          <w:sz w:val="20"/>
          <w:szCs w:val="20"/>
          <w:color w:val="auto"/>
        </w:rPr>
      </w:pPr>
    </w:p>
    <w:p>
      <w:pPr>
        <w:ind w:left="760" w:right="60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Liquidity Position. </w:t>
      </w:r>
      <w:r>
        <w:rPr>
          <w:rFonts w:ascii="Times New Roman" w:cs="Times New Roman" w:eastAsia="Times New Roman" w:hAnsi="Times New Roman"/>
          <w:sz w:val="20"/>
          <w:szCs w:val="20"/>
          <w:color w:val="auto"/>
        </w:rPr>
        <w:t>Cash and cash equivalents were €305 million as of September 30, 2024, compared to €391 million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2023.</w:t>
      </w:r>
    </w:p>
    <w:p>
      <w:pPr>
        <w:ind w:left="760" w:right="44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€25.8 million for the quarter ended September 30,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€18.5 million for the quarter ended September 30, 2023.</w:t>
      </w:r>
    </w:p>
    <w:p>
      <w:pPr>
        <w:ind w:left="760" w:right="36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were €12.1 million for the quarter ended September 30,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€7.7 million for the quarter ended September 30, 2023.</w:t>
      </w:r>
    </w:p>
    <w:p>
      <w:pPr>
        <w:ind w:left="760" w:hanging="378"/>
        <w:spacing w:after="0" w:line="24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Loss for the year. </w:t>
      </w:r>
      <w:r>
        <w:rPr>
          <w:rFonts w:ascii="Times New Roman" w:cs="Times New Roman" w:eastAsia="Times New Roman" w:hAnsi="Times New Roman"/>
          <w:sz w:val="20"/>
          <w:szCs w:val="20"/>
          <w:color w:val="auto"/>
        </w:rPr>
        <w:t>Loss for the third quarter was €41.7 million, resulting in basic and diluted loss per share of €0.77 for the quarter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ended September 30, 2024, compared to €23.6 million, or basic and diluted loss per share of €0.58, for the quarter ended September 30,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26" w:lineRule="exact"/>
        <w:rPr>
          <w:sz w:val="20"/>
          <w:szCs w:val="20"/>
          <w:color w:val="auto"/>
        </w:rPr>
      </w:pPr>
    </w:p>
    <w:p>
      <w:pPr>
        <w:ind w:right="480"/>
        <w:spacing w:after="0" w:line="246" w:lineRule="auto"/>
        <w:rPr>
          <w:sz w:val="20"/>
          <w:szCs w:val="20"/>
          <w:color w:val="auto"/>
        </w:rPr>
      </w:pPr>
      <w:r>
        <w:rPr>
          <w:rFonts w:ascii="Times New Roman" w:cs="Times New Roman" w:eastAsia="Times New Roman" w:hAnsi="Times New Roman"/>
          <w:sz w:val="20"/>
          <w:szCs w:val="20"/>
          <w:color w:val="auto"/>
        </w:rPr>
        <w:t>Deucrictibant is a novel, potent, oral small-molecule bradykinin B2 receptor antagonist currently in clinical development. By inhibiting bradykinin signaling through the bradykinin B2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8" w:name="page9"/>
    <w:bookmarkEnd w:id="8"/>
    <w:p>
      <w:pPr>
        <w:ind w:right="20"/>
        <w:spacing w:after="0" w:line="249" w:lineRule="auto"/>
        <w:rPr>
          <w:sz w:val="20"/>
          <w:szCs w:val="20"/>
          <w:color w:val="auto"/>
        </w:rPr>
      </w:pPr>
      <w:r>
        <w:rPr>
          <w:rFonts w:ascii="Times New Roman" w:cs="Times New Roman" w:eastAsia="Times New Roman" w:hAnsi="Times New Roman"/>
          <w:sz w:val="20"/>
          <w:szCs w:val="20"/>
          <w:color w:val="auto"/>
        </w:rPr>
        <w:t>deucrictibant has the potential to prevent the occurrence of HAE attacks and to treat the manifestations of an attack if/when they occur. Based on its chemical properties, Pharvaris is developing two formulations of deucrictibant for oral administration: an extended-release tablet to enable sustained absorption and efficacy in prophylactic treatment, and an immediate-release capsule to enable rapid onset of activity for on-demand treatment.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color w:val="auto"/>
        </w:rPr>
        <w:t>Pharvaris is a late-stage biopharmaceutical company developing novel, oral bradykinin B2 receptor antagonists to prevent and treat HAE attacks. By directly pursuing this clinically proven therapeutic target with novel small molecules, the Pharvaris team aspires to offer people with all types of HAE effective, well-tolerated, and easy-to-administer alternatives to treat attacks, both prophylactically and on-demand. With positive data in both Phase 2 prophylaxis and on-demand studies in HAE, Pharvaris is encouraged to further develop deucrictibant. Pharvaris is currently enrolling a pivotal Phase 3 study for the on-demand treatment of HAE attacks and plans to initiate a pivotal Phase 3 study of deucrictibant for the prevention of HAE by year-end 2024. For more information, visit https://pharvaris.com/.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and CHAPTER-1 Phase 2 studies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line="254" w:lineRule="auto"/>
        <w:rPr>
          <w:sz w:val="20"/>
          <w:szCs w:val="20"/>
          <w:color w:val="auto"/>
        </w:rPr>
      </w:pPr>
      <w:r>
        <w:rPr>
          <w:rFonts w:ascii="Times New Roman" w:cs="Times New Roman" w:eastAsia="Times New Roman" w:hAnsi="Times New Roman"/>
          <w:sz w:val="19"/>
          <w:szCs w:val="19"/>
          <w:color w:val="auto"/>
        </w:rPr>
        <w:t>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Executive Director, Head of Corporate and Investor Communications</w:t>
      </w:r>
    </w:p>
    <w:p>
      <w:pPr>
        <w:spacing w:after="0"/>
        <w:rPr>
          <w:sz w:val="20"/>
          <w:szCs w:val="20"/>
          <w:color w:val="auto"/>
        </w:rPr>
      </w:pPr>
      <w:r>
        <w:rPr>
          <w:rFonts w:ascii="Times New Roman" w:cs="Times New Roman" w:eastAsia="Times New Roman" w:hAnsi="Times New Roman"/>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1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nine months ended September 30, 2024 and 2023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2023, and the notes thereto, which appear in our Annual Report on Form 20-F for the year ended December 31, 2023 (the “Annual Report”) filed with the U.S. Securities and Exchange Commission (the “SEC”). In addition, we recommend that you read any public announcements made from time to time by Pharvaris N.V.</w:t>
      </w:r>
    </w:p>
    <w:p>
      <w:pPr>
        <w:spacing w:after="0" w:line="73"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The following discussion is based on our financial information prepared in accordance with the IFRS Accounting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7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spacing w:after="0" w:line="63"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bradykinin-mediated angioedema and other bradykinin-mediated diseases. Our first molecule, deucrictibant (PHA121, PHA-022121), is a novel, small-molecule bradykinin B2 receptor antagonist for the treatment of hereditary angioedema (“HAE”) attacks. Bradykinin B2 receptor inhibition is a clinically validated mechanism for the treatment of HAE, as demonstrated by icatibant, which is a bradykinin B2 receptor antagonist approved in Europe in 2008 and in the United States in 2011 (branded as FIRAZYR). Deucrictibant demonstrated over 4000-fold selectivity for the bradykinin B2 receptor when compared to approximately 170 other molecular targets, including the bradykinin B1 receptor.</w:t>
      </w:r>
    </w:p>
    <w:p>
      <w:pPr>
        <w:spacing w:after="0" w:line="74" w:lineRule="exact"/>
        <w:rPr>
          <w:sz w:val="20"/>
          <w:szCs w:val="20"/>
          <w:color w:val="auto"/>
        </w:rPr>
      </w:pPr>
    </w:p>
    <w:p>
      <w:pPr>
        <w:ind w:right="420" w:firstLine="458"/>
        <w:spacing w:after="0" w:line="252" w:lineRule="auto"/>
        <w:rPr>
          <w:sz w:val="20"/>
          <w:szCs w:val="20"/>
          <w:color w:val="auto"/>
        </w:rPr>
      </w:pPr>
      <w:r>
        <w:rPr>
          <w:rFonts w:ascii="Arial" w:cs="Arial" w:eastAsia="Arial" w:hAnsi="Arial"/>
          <w:sz w:val="16"/>
          <w:szCs w:val="16"/>
          <w:color w:val="auto"/>
        </w:rPr>
        <w:t>Currently approved HAE therapies are limited by burdensome routes of administration (injection or infusion), variable efficacy, or side effects. We believe deucrictibant has the potential to provide an efficacious, well-tolerated, and easy-to-administer option for both prophylactic and on-demand treatments of HAE attacks in the form of (i) an extended-release tablet, to provide protection from attacks in a single daily dose, and (ii) an immediate-release capsule, to enable rapid achievement of therapeutic exposure. We believe deucrictibant may address a broader range of bradykinin-mediated angioedema types than plasma kallikrein inhibitors. This expectation is based on our understanding that deucrictibant, as a bradykinin B2 receptor antagonist, will block all pathways that involve bradykinin-mediated activation of the bradykinin B2 receptor, and subsequent bradykinin-mediated angioedema. In contrast, plasma kallikrein inhibitors only target plasma kallikrein-mediated bradykinin generation. Therefore, by blocking the action of bradykinin at the bradykinin B2 receptor, we have the potential to prevent its aberrant signaling regardless of the pathway that generates bradykinin.</w:t>
      </w:r>
    </w:p>
    <w:p>
      <w:pPr>
        <w:spacing w:after="0" w:line="75" w:lineRule="exact"/>
        <w:rPr>
          <w:sz w:val="20"/>
          <w:szCs w:val="20"/>
          <w:color w:val="auto"/>
        </w:rPr>
      </w:pPr>
    </w:p>
    <w:p>
      <w:pPr>
        <w:ind w:right="400" w:firstLine="458"/>
        <w:spacing w:after="0" w:line="259" w:lineRule="auto"/>
        <w:rPr>
          <w:sz w:val="20"/>
          <w:szCs w:val="20"/>
          <w:color w:val="auto"/>
        </w:rPr>
      </w:pPr>
      <w:r>
        <w:rPr>
          <w:rFonts w:ascii="Arial" w:cs="Arial" w:eastAsia="Arial" w:hAnsi="Arial"/>
          <w:sz w:val="16"/>
          <w:szCs w:val="16"/>
          <w:color w:val="auto"/>
        </w:rPr>
        <w:t>In our completed Phase 1 trials to date, we have observed that deucrictibant was orally bioavailable and well-tolerated at all doses studied, with approximately dose-proportional exposure. We also have successfully demonstrated proof-of-concept through a clinical pharmacodynamics ("PD") assessment with the bradykinin challenge, which had been utilized as a validated surrogate assessment for dose selection in the icatibant development program.</w:t>
      </w:r>
    </w:p>
    <w:p>
      <w:pPr>
        <w:spacing w:after="0" w:line="70"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We plan to efficiently progress deucrictibant through clinical development for prophylactic and on-demand use with our prophylactic extended-release product candidate and on-demand immediate-release product candidate, respectively.</w:t>
      </w:r>
    </w:p>
    <w:p>
      <w:pPr>
        <w:spacing w:after="0" w:line="48"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commenced our RAPIDe-1 Phase 2 clinical trial of deucrictibant in February 2021 and reported topline Phase 2 data for the on-demand treatment of attacks in people with HAE in December 2022. In March, 2024, we initiated a pivotal Phase 3 clinical study of deucrictibant immediate-release capsules (20 mg) and placebo to evaluate the efficacy and safety of deucrictibant in the on-demand treatment of HAE attacks for people (12 years and older) living with HAE.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line="90"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We have also demonstrated clinical efficacy and tolerability in a Phase 2 study (CHAPTER-1) for prophylactic treatment of HAE attacks. We commenced this CHAPTER-1 Phase 2 clinical trial in 2021 using twice-daily dosing of the deucrictibant immediate-release capsules as a proof-of-concept and announced positive topline data in December 2023. Our primary objective with this trial was to assess the efficacy and safety profile of deucrictibant for prophylactic treatment in people living with HAE. In the CHAPTER-1 Phase 2 study, deucrictibant was well-tolerated and significantly reduced the monthly attack rate, the occurrence of moderate and severe attacks and the number of attacks treated with on-demand medications. In February 2022, we reported Phase 1 clinical data of deucrictibant demonstrating pharmacokinetics of the extended-release formulation and in healthy volunteers, showing a single dose of deucrictibant was well tolerated with an extended-release profile supporting once-daily dosing.</w:t>
      </w:r>
    </w:p>
    <w:p>
      <w:pPr>
        <w:spacing w:after="0" w:line="73"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Recently, we sought feedback and reached alignment on key elements of a proposed Phase 3 pivotal prophylactic study (the “Phase 3 Clinical Program”) of deucrictibant during End-of-Phase 2 meetings with the U.S. Food and Drug Administration (FDA), the European Union Committee for Medicinal Products for Human Use (CHMP), and the Japanese Pharmaceuticals and Medical Devices Agency (PMDA). CHAPTER-3 is a randomized, double-blind, placebo-controlled Phase 3 study of orally administered deucrictibant extended-release tablets for the prophylactic treatment of HAE. The study aims to enroll 81 adult and adolescent participants (over 12 years old) with HAE and randomize them in a 2:1 ratio to receive deucrictibant (40 mg/day) or placebo 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the safety and tolerability, the pharmacokinetics, and the impact on health-related quality of life of deucrictibant in a prophylactic setting. In addition, we also plan to run an open-label extension study in the prophylactic setting with both rollover and non-rollover subjects to collect long-term safety data.</w:t>
      </w:r>
    </w:p>
    <w:p>
      <w:pPr>
        <w:spacing w:after="0" w:line="266"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w:t>
      </w:r>
    </w:p>
    <w:p>
      <w:pPr>
        <w:spacing w:after="0" w:line="72"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In addition, unforeseen global events, such as the armed conflict between Russia and Ukraine and the Hamas attack against Israel and the ensuing war, could adversely impact our business and operations. The invasion of Ukraine and the Hamas attack against Israel and the retaliatory measures that have been taken, or could be taken in the future, by the United States, the NATO alliance, and other countries have created global security concerns that could result in regional conflicts and also adversely affect our ability to conduct ongoing and future clinical trials of our product candidates. For example, our studies include a significant number of patients in Germany, Poland and Bulgaria, and one patient in Israel. A further escalation of the conflict in Ukraine and the Middle-East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77" w:lineRule="exact"/>
        <w:rPr>
          <w:sz w:val="20"/>
          <w:szCs w:val="20"/>
          <w:color w:val="auto"/>
        </w:rPr>
      </w:pPr>
    </w:p>
    <w:p>
      <w:pPr>
        <w:ind w:right="180" w:firstLine="458"/>
        <w:spacing w:after="0" w:line="253" w:lineRule="auto"/>
        <w:rPr>
          <w:sz w:val="20"/>
          <w:szCs w:val="20"/>
          <w:color w:val="auto"/>
        </w:rPr>
      </w:pPr>
      <w:r>
        <w:rPr>
          <w:rFonts w:ascii="Arial" w:cs="Arial" w:eastAsia="Arial" w:hAnsi="Arial"/>
          <w:sz w:val="16"/>
          <w:szCs w:val="16"/>
          <w:color w:val="auto"/>
        </w:rPr>
        <w:t>In August 2022, the U.S. Food and Drug Administration (“FDA”) placed a hold on the clinical trials of deucrictibant in the U.S. based on its review of nonclinical data. The FDA requested that we conduct an additional long-term rodent toxicology study and update the Investigator’s Brochure. We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73" w:lineRule="exact"/>
        <w:rPr>
          <w:sz w:val="20"/>
          <w:szCs w:val="20"/>
          <w:color w:val="auto"/>
        </w:rPr>
      </w:pPr>
    </w:p>
    <w:p>
      <w:pPr>
        <w:ind w:left="200" w:right="1600" w:firstLine="264"/>
        <w:spacing w:after="0" w:line="485" w:lineRule="auto"/>
        <w:rPr>
          <w:sz w:val="20"/>
          <w:szCs w:val="20"/>
          <w:color w:val="auto"/>
        </w:rPr>
      </w:pPr>
      <w:r>
        <w:rPr>
          <w:rFonts w:ascii="Arial" w:cs="Arial" w:eastAsia="Arial" w:hAnsi="Arial"/>
          <w:sz w:val="16"/>
          <w:szCs w:val="16"/>
          <w:color w:val="auto"/>
        </w:rPr>
        <w:t xml:space="preserve">Additional trials may be required by the FDA, EMA or other regulators even with positive data from RAPIDe-1 and CHAPTER-1. </w:t>
      </w:r>
      <w:r>
        <w:rPr>
          <w:rFonts w:ascii="Arial" w:cs="Arial" w:eastAsia="Arial" w:hAnsi="Arial"/>
          <w:sz w:val="16"/>
          <w:szCs w:val="16"/>
          <w:b w:val="1"/>
          <w:bCs w:val="1"/>
          <w:color w:val="auto"/>
        </w:rPr>
        <w:t>Financial Operations Overview</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79"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ind w:right="220" w:firstLine="374"/>
        <w:spacing w:after="0" w:line="256"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deucrictibant extended-release tablets and deucrictibant immediate-release capsules We expect that we will continue to incur significant research and development expenses as we seek to complete the clinical development of, and achieve regulatory approval for, our product candidates, and in connection with discovery and development of any additional product candidates.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10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conducting and managing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900" w:right="32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Contract Research Organizations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evaluations and collaborative studies;</w:t>
      </w:r>
    </w:p>
    <w:p>
      <w:pPr>
        <w:spacing w:after="0" w:line="274"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193" w:lineRule="exact"/>
        <w:rPr>
          <w:sz w:val="20"/>
          <w:szCs w:val="20"/>
          <w:color w:val="auto"/>
        </w:rPr>
      </w:pPr>
    </w:p>
    <w:p>
      <w:pPr>
        <w:ind w:right="420" w:firstLine="374"/>
        <w:spacing w:after="0" w:line="286" w:lineRule="auto"/>
        <w:rPr>
          <w:sz w:val="20"/>
          <w:szCs w:val="20"/>
          <w:color w:val="auto"/>
        </w:rPr>
      </w:pPr>
      <w:r>
        <w:rPr>
          <w:rFonts w:ascii="Arial" w:cs="Arial" w:eastAsia="Arial" w:hAnsi="Arial"/>
          <w:sz w:val="16"/>
          <w:szCs w:val="16"/>
          <w:color w:val="auto"/>
        </w:rPr>
        <w:t>We expect that our total research and development expenses will continue to increase in 2024 as we continue to focus on the development of our deucrictibant product candidates, as well as explore potential expansion programs.</w:t>
      </w:r>
    </w:p>
    <w:p>
      <w:pPr>
        <w:spacing w:after="0" w:line="129" w:lineRule="exact"/>
        <w:rPr>
          <w:sz w:val="20"/>
          <w:szCs w:val="20"/>
          <w:color w:val="auto"/>
        </w:rPr>
      </w:pPr>
    </w:p>
    <w:p>
      <w:pPr>
        <w:ind w:right="100" w:firstLine="374"/>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31" w:lineRule="exact"/>
        <w:rPr>
          <w:sz w:val="20"/>
          <w:szCs w:val="20"/>
          <w:color w:val="auto"/>
        </w:rPr>
      </w:pPr>
    </w:p>
    <w:p>
      <w:pPr>
        <w:ind w:right="180" w:firstLine="374"/>
        <w:spacing w:after="0" w:line="26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w:t>
      </w:r>
    </w:p>
    <w:p>
      <w:pPr>
        <w:spacing w:after="0" w:line="131" w:lineRule="exact"/>
        <w:rPr>
          <w:sz w:val="20"/>
          <w:szCs w:val="20"/>
          <w:color w:val="auto"/>
        </w:rPr>
      </w:pPr>
    </w:p>
    <w:p>
      <w:pPr>
        <w:ind w:right="180" w:firstLine="374"/>
        <w:spacing w:after="0" w:line="266" w:lineRule="auto"/>
        <w:rPr>
          <w:sz w:val="20"/>
          <w:szCs w:val="20"/>
          <w:color w:val="auto"/>
        </w:rPr>
      </w:pPr>
      <w:r>
        <w:rPr>
          <w:rFonts w:ascii="Arial" w:cs="Arial" w:eastAsia="Arial" w:hAnsi="Arial"/>
          <w:sz w:val="16"/>
          <w:szCs w:val="16"/>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and under “Risk factors” in any other periodic filings with the Securities and Exchange Commission for a discussion of these risks and uncertainties.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79"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In addition, we anticipate incurring substantial expenses for the manufacturing of commercial quantities of active pharmaceutical ingredients and drug products.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1020" w:right="46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5"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16"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continue to incur additional costs associated with being a public company in the United States.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192"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In 2016, we implemented an Equity Incentive Plan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 of operations</w:t>
      </w:r>
    </w:p>
    <w:p>
      <w:pPr>
        <w:spacing w:after="0" w:line="194" w:lineRule="exact"/>
        <w:rPr>
          <w:sz w:val="20"/>
          <w:szCs w:val="20"/>
          <w:color w:val="auto"/>
        </w:rPr>
      </w:pPr>
    </w:p>
    <w:p>
      <w:pPr>
        <w:ind w:right="400" w:firstLine="374"/>
        <w:spacing w:after="0" w:line="266"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and nine months ended September 30, 2024 and 2023 included as Exhibit 99.3 to this Report on Form 6-K. The discussion below should be read along with these unaudited condensed consolidated interim financial statements, and it is qualified in its entirety by reference to them.</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September 30, 2024 and September 30, 2023.</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gridSpan w:val="5"/>
          </w:tcPr>
          <w:p>
            <w:pPr>
              <w:jc w:val="right"/>
              <w:ind w:right="12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8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(25,782,650 )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(18,535,782 )</w:t>
            </w:r>
          </w:p>
        </w:tc>
        <w:tc>
          <w:tcPr>
            <w:tcW w:w="3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(7,246,868 )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(12,119,623 )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(7,665,484 )</w:t>
            </w:r>
          </w:p>
        </w:tc>
        <w:tc>
          <w:tcPr>
            <w:tcW w:w="3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(4,454,139 )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(37,902,273 )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(26,201,266 )</w:t>
            </w: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(11,701,007 )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(37,902,273 )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(26,201,266 )</w:t>
            </w: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(11,701,007 )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Finance income/(expense)</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(3,578,394 )</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2,748,943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(6,327,337 )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(41,480,667 )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(23,452,323 )</w:t>
            </w: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(18,028,344 )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77 %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(230,091 )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(146,273 )</w:t>
            </w: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(83,818 )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(41,710,758 )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(23,598,596 )</w:t>
            </w:r>
          </w:p>
        </w:tc>
        <w:tc>
          <w:tcPr>
            <w:tcW w:w="3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(18,112,162 )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77 %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three months ended September 30, 2024 and September 30, 2023.</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0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(15,437,752 )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(8,897,295 )</w:t>
            </w:r>
          </w:p>
        </w:tc>
        <w:tc>
          <w:tcPr>
            <w:tcW w:w="4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(6,540,457 )</w:t>
            </w:r>
          </w:p>
        </w:tc>
        <w:tc>
          <w:tcPr>
            <w:tcW w:w="12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(7,357,286 )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(4,759,379 )</w:t>
            </w:r>
          </w:p>
        </w:tc>
        <w:tc>
          <w:tcPr>
            <w:tcW w:w="4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(2,597,907 )</w:t>
            </w:r>
          </w:p>
        </w:tc>
        <w:tc>
          <w:tcPr>
            <w:tcW w:w="12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(2,535,747 )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(2,490,477 )</w:t>
            </w:r>
          </w:p>
        </w:tc>
        <w:tc>
          <w:tcPr>
            <w:tcW w:w="4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(45,270 )</w:t>
            </w:r>
          </w:p>
        </w:tc>
        <w:tc>
          <w:tcPr>
            <w:tcW w:w="12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Nonclinical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(307,324 )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(2,325,762 )</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(144,541 )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(62,869 )</w:t>
            </w:r>
          </w:p>
        </w:tc>
        <w:tc>
          <w:tcPr>
            <w:tcW w:w="4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(81,672 )</w:t>
            </w:r>
          </w:p>
        </w:tc>
        <w:tc>
          <w:tcPr>
            <w:tcW w:w="12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expenses</w:t>
            </w:r>
          </w:p>
        </w:tc>
        <w:tc>
          <w:tcPr>
            <w:tcW w:w="1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(25,782,650 )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(18,535,782 )</w:t>
            </w:r>
          </w:p>
        </w:tc>
        <w:tc>
          <w:tcPr>
            <w:tcW w:w="4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(7,246,868 )</w:t>
            </w:r>
          </w:p>
        </w:tc>
        <w:tc>
          <w:tcPr>
            <w:tcW w:w="12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39 %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1" w:lineRule="exact"/>
        <w:rPr>
          <w:sz w:val="20"/>
          <w:szCs w:val="20"/>
          <w:color w:val="auto"/>
        </w:rPr>
      </w:pPr>
    </w:p>
    <w:p>
      <w:pPr>
        <w:ind w:right="220" w:firstLine="374"/>
        <w:spacing w:after="0" w:line="266" w:lineRule="auto"/>
        <w:rPr>
          <w:sz w:val="20"/>
          <w:szCs w:val="20"/>
          <w:color w:val="auto"/>
        </w:rPr>
      </w:pPr>
      <w:r>
        <w:rPr>
          <w:rFonts w:ascii="Arial" w:cs="Arial" w:eastAsia="Arial" w:hAnsi="Arial"/>
          <w:sz w:val="16"/>
          <w:szCs w:val="16"/>
          <w:color w:val="auto"/>
        </w:rPr>
        <w:t>Research and development expenses increased from €18.5 million for the three months ended September 30, 2023 to €25.8 million for the three months ended September 30, 2024. The increase in the research and development expenses is primarily due to increased clinical expenses and increased personnel related costs, which is offset by a decrease in nonclinical expenses.</w:t>
      </w:r>
    </w:p>
    <w:p>
      <w:pPr>
        <w:spacing w:after="0" w:line="144" w:lineRule="exact"/>
        <w:rPr>
          <w:sz w:val="20"/>
          <w:szCs w:val="20"/>
          <w:color w:val="auto"/>
        </w:rPr>
      </w:pPr>
    </w:p>
    <w:p>
      <w:pPr>
        <w:ind w:right="220" w:firstLine="374"/>
        <w:spacing w:after="0" w:line="286" w:lineRule="auto"/>
        <w:rPr>
          <w:sz w:val="20"/>
          <w:szCs w:val="20"/>
          <w:color w:val="auto"/>
        </w:rPr>
      </w:pPr>
      <w:r>
        <w:rPr>
          <w:rFonts w:ascii="Arial" w:cs="Arial" w:eastAsia="Arial" w:hAnsi="Arial"/>
          <w:sz w:val="16"/>
          <w:szCs w:val="16"/>
          <w:color w:val="auto"/>
        </w:rPr>
        <w:t>For the three months ended September 30, 2024 and 2023, clinical expenses were €15.4 million and €8.9 million, respectively. The increase in clinical expenses is primarily due to higher expenses on the prophylaxis and on-demand Phase 3 Clinical Program.</w:t>
      </w:r>
    </w:p>
    <w:p>
      <w:pPr>
        <w:spacing w:after="0" w:line="129" w:lineRule="exact"/>
        <w:rPr>
          <w:sz w:val="20"/>
          <w:szCs w:val="20"/>
          <w:color w:val="auto"/>
        </w:rPr>
      </w:pPr>
    </w:p>
    <w:p>
      <w:pPr>
        <w:ind w:right="200" w:firstLine="374"/>
        <w:spacing w:after="0" w:line="266" w:lineRule="auto"/>
        <w:rPr>
          <w:sz w:val="20"/>
          <w:szCs w:val="20"/>
          <w:color w:val="auto"/>
        </w:rPr>
      </w:pPr>
      <w:r>
        <w:rPr>
          <w:rFonts w:ascii="Arial" w:cs="Arial" w:eastAsia="Arial" w:hAnsi="Arial"/>
          <w:sz w:val="16"/>
          <w:szCs w:val="16"/>
          <w:color w:val="auto"/>
        </w:rPr>
        <w:t>For the three months ended September 30, 2024 and 2023, personnel expenses were €7.4 million and €4.8 million, respectively. The increase is primarily due to the increased headcount to support the increased clinical and regulatory activities and yearly merit pay adjustments. Personnel expenses in this period in 2024 also included an amount of €2.3 million of share-based compensation versus €1.4 million in the prior-year period.</w:t>
      </w:r>
    </w:p>
    <w:p>
      <w:pPr>
        <w:spacing w:after="0" w:line="144" w:lineRule="exact"/>
        <w:rPr>
          <w:sz w:val="20"/>
          <w:szCs w:val="20"/>
          <w:color w:val="auto"/>
        </w:rPr>
      </w:pPr>
    </w:p>
    <w:p>
      <w:pPr>
        <w:ind w:right="480" w:firstLine="374"/>
        <w:spacing w:after="0" w:line="286" w:lineRule="auto"/>
        <w:rPr>
          <w:sz w:val="20"/>
          <w:szCs w:val="20"/>
          <w:color w:val="auto"/>
        </w:rPr>
      </w:pPr>
      <w:r>
        <w:rPr>
          <w:rFonts w:ascii="Arial" w:cs="Arial" w:eastAsia="Arial" w:hAnsi="Arial"/>
          <w:sz w:val="16"/>
          <w:szCs w:val="16"/>
          <w:color w:val="auto"/>
        </w:rPr>
        <w:t>For the three months ended September 30, 2024 and 2023, nonclinical expenses were €0.3 million and €2.3 million, respectively. The decrease is primarily due to exploratory work and studies to lift the clinical hold.</w:t>
      </w:r>
    </w:p>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3"/>
        </w:trPr>
        <w:tc>
          <w:tcPr>
            <w:tcW w:w="496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6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(5,335,091 )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(3,529,687 )</w:t>
            </w: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(1,805,404 )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(2,222,064 )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(1,361,682 )</w:t>
            </w: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(860,382 )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Facilities, communication and office expenses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(1,632,564 )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(1,577,375 )</w:t>
            </w: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(55,189 )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(868,389 )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(327,050 )</w:t>
            </w: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(541,339 )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fees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(13,999 )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(65,925 )</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51,926</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Travel expenses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(656,615 )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(304,641 )</w:t>
            </w: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(351,974 )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(1,390,901 )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(499,124 )</w:t>
            </w: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(891,777 )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179 %</w:t>
            </w:r>
          </w:p>
        </w:tc>
        <w:tc>
          <w:tcPr>
            <w:tcW w:w="0" w:type="dxa"/>
            <w:vAlign w:val="bottom"/>
          </w:tcPr>
          <w:p>
            <w:pPr>
              <w:spacing w:after="0"/>
              <w:rPr>
                <w:sz w:val="1"/>
                <w:szCs w:val="1"/>
                <w:color w:val="auto"/>
              </w:rPr>
            </w:pPr>
          </w:p>
        </w:tc>
      </w:tr>
      <w:tr>
        <w:trPr>
          <w:trHeight w:val="33"/>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(12,119,623 )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(7,665,484 )</w:t>
            </w:r>
          </w:p>
        </w:tc>
        <w:tc>
          <w:tcPr>
            <w:tcW w:w="3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(4,454,139 )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1" w:lineRule="exact"/>
        <w:rPr>
          <w:sz w:val="20"/>
          <w:szCs w:val="20"/>
          <w:color w:val="auto"/>
        </w:rPr>
      </w:pPr>
    </w:p>
    <w:p>
      <w:pPr>
        <w:ind w:right="180" w:firstLine="374"/>
        <w:spacing w:after="0" w:line="266" w:lineRule="auto"/>
        <w:rPr>
          <w:sz w:val="20"/>
          <w:szCs w:val="20"/>
          <w:color w:val="auto"/>
        </w:rPr>
      </w:pPr>
      <w:r>
        <w:rPr>
          <w:rFonts w:ascii="Arial" w:cs="Arial" w:eastAsia="Arial" w:hAnsi="Arial"/>
          <w:sz w:val="16"/>
          <w:szCs w:val="16"/>
          <w:color w:val="auto"/>
        </w:rPr>
        <w:t>General and administrative expenses increased from €7.7 million for the three months ended September 30, 2023 to €12.1 million for the three months ended September 30, 2024. The increase in general and administrative expenses was primarily due to increased personnel expenses and an increase in other expenses.</w:t>
      </w:r>
    </w:p>
    <w:p>
      <w:pPr>
        <w:spacing w:after="0" w:line="144"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For the three months ended September 30, 2024 and 2023, personnel expenses were €5.3 million and €3.5 million, respectively. The increase is primarily due to an increase in share-based compensation expense from €1.5 million in the prior-year quarter to €2.8 million in the current-year quarter. The share-based compensation expense increase is the result of additional hiring during the current quarter and a grant to an existing member of key management.</w:t>
      </w:r>
    </w:p>
    <w:p>
      <w:pPr>
        <w:spacing w:after="0" w:line="151" w:lineRule="exact"/>
        <w:rPr>
          <w:sz w:val="20"/>
          <w:szCs w:val="20"/>
          <w:color w:val="auto"/>
        </w:rPr>
      </w:pPr>
    </w:p>
    <w:p>
      <w:pPr>
        <w:ind w:right="360" w:firstLine="374"/>
        <w:spacing w:after="0" w:line="286" w:lineRule="auto"/>
        <w:rPr>
          <w:sz w:val="20"/>
          <w:szCs w:val="20"/>
          <w:color w:val="auto"/>
        </w:rPr>
      </w:pPr>
      <w:r>
        <w:rPr>
          <w:rFonts w:ascii="Arial" w:cs="Arial" w:eastAsia="Arial" w:hAnsi="Arial"/>
          <w:sz w:val="16"/>
          <w:szCs w:val="16"/>
          <w:color w:val="auto"/>
        </w:rPr>
        <w:t>For the three months ended September 30, 2024 and 2023, other expenses were €1.4 million and €0.5 million respectively. The increase is primarily due to increased commercial and market access outside activities related to product launch preparation.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 - net / (expense)</w:t>
      </w:r>
    </w:p>
    <w:p>
      <w:pPr>
        <w:spacing w:after="0" w:line="179"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Finance expense for the three months ended September 30, 2024 was €3.6 million, compared to finance income of €2.7 million for the three months ended September 30, 2023. The amounts primarily relate to unrealized foreign exchange losses of €5.5 million offset by interest income of €2.0 million for 2024, compared to unrealized foreign exchange income of €2.7 million and interest income of €0.1 million for 2023. The unrealized foreign exchange gains and losses primarily result from translating the Company’s bank balances held in USD to EUR, which is the functional currency of the Company.</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right="420" w:firstLine="374"/>
        <w:spacing w:after="0" w:line="26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w:t>
      </w: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3" w:right="239" w:bottom="1440" w:gutter="0" w:footer="0" w:header="0"/>
        </w:sectPr>
      </w:pPr>
    </w:p>
    <w:bookmarkStart w:id="16" w:name="page17"/>
    <w:bookmarkEnd w:id="16"/>
    <w:p>
      <w:pPr>
        <w:ind w:right="100"/>
        <w:spacing w:after="0" w:line="286" w:lineRule="auto"/>
        <w:rPr>
          <w:sz w:val="20"/>
          <w:szCs w:val="20"/>
          <w:color w:val="auto"/>
        </w:rPr>
      </w:pPr>
      <w:r>
        <w:rPr>
          <w:rFonts w:ascii="Arial" w:cs="Arial" w:eastAsia="Arial" w:hAnsi="Arial"/>
          <w:sz w:val="16"/>
          <w:szCs w:val="16"/>
          <w:color w:val="auto"/>
        </w:rPr>
        <w:t>items are recognized in full in the interim period in which they emerge. In the total interim tax charge, no distinction is made between current and deferred tax expenses/income.</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expense over the three months ended September 30, 2024 relates to the Company's U.S. and Dutch fiscal unity.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nine months ended September 30, 2024 and September 30, 2023.</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gridSpan w:val="6"/>
          </w:tcPr>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8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(67,363,600 )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(46,962,148 )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(20,401,452 )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(33,232,533 )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(22,770,510 )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(10,462,023 )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(100,596,133 )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(69,732,658 )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(30,863,475 )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44 %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(100,596,133 )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(69,732,658 )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(30,863,475 )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44 %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Finance income/(expense)</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1,721,377</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(184,971 )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(98,874,756 )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(67,826,310 )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(31,048,446 )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46 %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(585,831 )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(301,108 )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(284,723 )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(99,460,587 )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(68,127,418 )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(31,333,169 )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46 %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3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nine months ended September 30,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ind w:left="380"/>
              <w:spacing w:after="0"/>
              <w:rPr>
                <w:sz w:val="20"/>
                <w:szCs w:val="20"/>
                <w:color w:val="auto"/>
              </w:rPr>
            </w:pPr>
            <w:r>
              <w:rPr>
                <w:rFonts w:ascii="Arial" w:cs="Arial" w:eastAsia="Arial" w:hAnsi="Arial"/>
                <w:sz w:val="16"/>
                <w:szCs w:val="16"/>
                <w:i w:val="1"/>
                <w:iCs w:val="1"/>
                <w:color w:val="auto"/>
              </w:rPr>
              <w:t>Research and development expenses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10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 expenses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(37,824,808 )</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(21,395,174 )</w:t>
            </w:r>
          </w:p>
        </w:tc>
        <w:tc>
          <w:tcPr>
            <w:tcW w:w="4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(16,429,634 )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(18,988,262 )</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(13,521,323 )</w:t>
            </w:r>
          </w:p>
        </w:tc>
        <w:tc>
          <w:tcPr>
            <w:tcW w:w="4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(5,466,939 )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 costs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(6,671,718 )</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(5,133,990 )</w:t>
            </w:r>
          </w:p>
        </w:tc>
        <w:tc>
          <w:tcPr>
            <w:tcW w:w="4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(1,537,728 )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Nonclinical expenses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(2,012,770 )</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(6,744,771 )</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4,732,001</w:t>
            </w:r>
          </w:p>
        </w:tc>
        <w:tc>
          <w:tcPr>
            <w:tcW w:w="22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 costs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(1,500,000 )</w:t>
            </w:r>
          </w:p>
        </w:tc>
        <w:tc>
          <w:tcPr>
            <w:tcW w:w="120" w:type="dxa"/>
            <w:vAlign w:val="bottom"/>
          </w:tcPr>
          <w:p>
            <w:pPr>
              <w:spacing w:after="0"/>
              <w:rPr>
                <w:sz w:val="19"/>
                <w:szCs w:val="19"/>
                <w:color w:val="auto"/>
              </w:rPr>
            </w:pPr>
          </w:p>
        </w:tc>
        <w:tc>
          <w:tcPr>
            <w:tcW w:w="224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(1,500,000 )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(366,042 )</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(166,890 )</w:t>
            </w:r>
          </w:p>
        </w:tc>
        <w:tc>
          <w:tcPr>
            <w:tcW w:w="4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(199,152 )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expenses</w:t>
            </w:r>
          </w:p>
        </w:tc>
        <w:tc>
          <w:tcPr>
            <w:tcW w:w="1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(67,363,600 )</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(46,962,148 )</w:t>
            </w:r>
          </w:p>
        </w:tc>
        <w:tc>
          <w:tcPr>
            <w:tcW w:w="4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(20,401,452 )</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43 %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4"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Research and development expenses increased from €47.0 million for the nine months ended September 30, 2023 to €67.4 million for the nine months ended September 30, 2024. The increase in the research and development expenses is primarily due to increased clinical expenses, increased personnel expenses, offset by a decrease in nonclinical expenses.</w:t>
      </w:r>
    </w:p>
    <w:p>
      <w:pPr>
        <w:spacing w:after="0" w:line="144" w:lineRule="exact"/>
        <w:rPr>
          <w:sz w:val="20"/>
          <w:szCs w:val="20"/>
          <w:color w:val="auto"/>
        </w:rPr>
      </w:pPr>
    </w:p>
    <w:p>
      <w:pPr>
        <w:ind w:right="200" w:firstLine="374"/>
        <w:spacing w:after="0" w:line="286" w:lineRule="auto"/>
        <w:rPr>
          <w:sz w:val="20"/>
          <w:szCs w:val="20"/>
          <w:color w:val="auto"/>
        </w:rPr>
      </w:pPr>
      <w:r>
        <w:rPr>
          <w:rFonts w:ascii="Arial" w:cs="Arial" w:eastAsia="Arial" w:hAnsi="Arial"/>
          <w:sz w:val="16"/>
          <w:szCs w:val="16"/>
          <w:color w:val="auto"/>
        </w:rPr>
        <w:t>For the nine months ended September 30, 2024 and 2023, clinical expenses were €37.8 million and €21.4 million, respectively. The increase in clinical expenses is primarily due to higher expenses on the on-demand Phase 3 Clinical Program.</w:t>
      </w:r>
    </w:p>
    <w:p>
      <w:pPr>
        <w:spacing w:after="0" w:line="129" w:lineRule="exact"/>
        <w:rPr>
          <w:sz w:val="20"/>
          <w:szCs w:val="20"/>
          <w:color w:val="auto"/>
        </w:rPr>
      </w:pPr>
    </w:p>
    <w:p>
      <w:pPr>
        <w:ind w:right="200" w:firstLine="374"/>
        <w:spacing w:after="0" w:line="266" w:lineRule="auto"/>
        <w:rPr>
          <w:sz w:val="20"/>
          <w:szCs w:val="20"/>
          <w:color w:val="auto"/>
        </w:rPr>
      </w:pPr>
      <w:r>
        <w:rPr>
          <w:rFonts w:ascii="Arial" w:cs="Arial" w:eastAsia="Arial" w:hAnsi="Arial"/>
          <w:sz w:val="16"/>
          <w:szCs w:val="16"/>
          <w:color w:val="auto"/>
        </w:rPr>
        <w:t>For the nine months ended September 30, 2024 and 2023, personnel expenses were €19.0 million and €13.5 million respectively. The increase is primarily due to the increased headcount to support the increased clinical and regulatory activities and yearly merit pay adjustments. Personnel expenses in this period in 2024 included an amount of €5.2 million of share-based compensation expense versus €3.8 million in the prior-year period.</w:t>
      </w: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3"/>
        </w:trPr>
        <w:tc>
          <w:tcPr>
            <w:tcW w:w="478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8"/>
        </w:trPr>
        <w:tc>
          <w:tcPr>
            <w:tcW w:w="4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5"/>
        </w:trPr>
        <w:tc>
          <w:tcPr>
            <w:tcW w:w="478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4780" w:type="dxa"/>
            <w:vAlign w:val="bottom"/>
          </w:tcPr>
          <w:p>
            <w:pPr>
              <w:spacing w:after="0"/>
              <w:rPr>
                <w:sz w:val="19"/>
                <w:szCs w:val="19"/>
                <w:color w:val="auto"/>
              </w:rPr>
            </w:pP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r>
      <w:tr>
        <w:trPr>
          <w:trHeight w:val="212"/>
        </w:trPr>
        <w:tc>
          <w:tcPr>
            <w:tcW w:w="478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(13,013,284 )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(10,265,614 )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(2,747,670 )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(5,555,020 )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(3,538,857 )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(2,016,163 )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Facilities, communication and office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(4,779,786 )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(4,487,982 )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(291,804 )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(2,973,074 )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(1,224,364 )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(1,748,710 )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Travel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(1,679,755 )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(1,083,091 )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(596,664 )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fees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(873,475 )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(370,241 )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(503,234 )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(4,358,139 )</w:t>
            </w: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(1,800,361 )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(2,557,778 )</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142 %</w:t>
            </w:r>
          </w:p>
        </w:tc>
      </w:tr>
      <w:tr>
        <w:trPr>
          <w:trHeight w:val="23"/>
        </w:trPr>
        <w:tc>
          <w:tcPr>
            <w:tcW w:w="478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general and administrative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(33,232,533 )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(22,770,510 )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(10,462,023 )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0"/>
        </w:trPr>
        <w:tc>
          <w:tcPr>
            <w:tcW w:w="47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5" w:lineRule="exact"/>
        <w:rPr>
          <w:sz w:val="20"/>
          <w:szCs w:val="20"/>
          <w:color w:val="auto"/>
        </w:rPr>
      </w:pPr>
    </w:p>
    <w:p>
      <w:pPr>
        <w:ind w:right="100" w:firstLine="374"/>
        <w:spacing w:after="0" w:line="266" w:lineRule="auto"/>
        <w:rPr>
          <w:sz w:val="20"/>
          <w:szCs w:val="20"/>
          <w:color w:val="auto"/>
        </w:rPr>
      </w:pPr>
      <w:r>
        <w:rPr>
          <w:rFonts w:ascii="Arial" w:cs="Arial" w:eastAsia="Arial" w:hAnsi="Arial"/>
          <w:sz w:val="16"/>
          <w:szCs w:val="16"/>
          <w:color w:val="auto"/>
        </w:rPr>
        <w:t>General and administrative expenses increased from €22.8 million for the nine months ended September 30, 2023, to €33.2 million for the nine months ended September 30, 2024. The increase in general and administrative expenses was primarily due to increased personnel expenses, professional fees, accounting, tax and auditing fees and other expenses.</w:t>
      </w:r>
    </w:p>
    <w:p>
      <w:pPr>
        <w:spacing w:after="0" w:line="144" w:lineRule="exact"/>
        <w:rPr>
          <w:sz w:val="20"/>
          <w:szCs w:val="20"/>
          <w:color w:val="auto"/>
        </w:rPr>
      </w:pPr>
    </w:p>
    <w:p>
      <w:pPr>
        <w:ind w:right="160" w:firstLine="374"/>
        <w:spacing w:after="0" w:line="259" w:lineRule="auto"/>
        <w:rPr>
          <w:sz w:val="20"/>
          <w:szCs w:val="20"/>
          <w:color w:val="auto"/>
        </w:rPr>
      </w:pPr>
      <w:r>
        <w:rPr>
          <w:rFonts w:ascii="Arial" w:cs="Arial" w:eastAsia="Arial" w:hAnsi="Arial"/>
          <w:sz w:val="16"/>
          <w:szCs w:val="16"/>
          <w:color w:val="auto"/>
        </w:rPr>
        <w:t>For the nine months ended September 30, 2024 and 2023, personnel expenses were €13.0 million and €10.3 million, respectively. The increase is primarily due to an increase in share-based compensation expense from €4.3 million in the prior-year quarter to €6.2 million in the current-year quarter. The share-based compensation expense increase is the result of additional hiring during the current quarter and a grant to an existing member of key management.</w:t>
      </w:r>
    </w:p>
    <w:p>
      <w:pPr>
        <w:spacing w:after="0" w:line="151" w:lineRule="exact"/>
        <w:rPr>
          <w:sz w:val="20"/>
          <w:szCs w:val="20"/>
          <w:color w:val="auto"/>
        </w:rPr>
      </w:pPr>
    </w:p>
    <w:p>
      <w:pPr>
        <w:ind w:right="240" w:firstLine="374"/>
        <w:spacing w:after="0" w:line="266" w:lineRule="auto"/>
        <w:rPr>
          <w:sz w:val="20"/>
          <w:szCs w:val="20"/>
          <w:color w:val="auto"/>
        </w:rPr>
      </w:pPr>
      <w:r>
        <w:rPr>
          <w:rFonts w:ascii="Arial" w:cs="Arial" w:eastAsia="Arial" w:hAnsi="Arial"/>
          <w:sz w:val="16"/>
          <w:szCs w:val="16"/>
          <w:color w:val="auto"/>
        </w:rPr>
        <w:t>For the nine months ended September 30, 2024 and 2023, professional expenses were €5.6 million and €3.5 million, respectively. The increase is primarily due to increased legal fees associated with corporate and regulatory disclosures and governance, and commercial and market access consulting activities related to launch preparation.</w:t>
      </w:r>
    </w:p>
    <w:p>
      <w:pPr>
        <w:spacing w:after="0" w:line="144" w:lineRule="exact"/>
        <w:rPr>
          <w:sz w:val="20"/>
          <w:szCs w:val="20"/>
          <w:color w:val="auto"/>
        </w:rPr>
      </w:pPr>
    </w:p>
    <w:p>
      <w:pPr>
        <w:ind w:right="520" w:firstLine="374"/>
        <w:spacing w:after="0" w:line="286" w:lineRule="auto"/>
        <w:rPr>
          <w:sz w:val="20"/>
          <w:szCs w:val="20"/>
          <w:color w:val="auto"/>
        </w:rPr>
      </w:pPr>
      <w:r>
        <w:rPr>
          <w:rFonts w:ascii="Arial" w:cs="Arial" w:eastAsia="Arial" w:hAnsi="Arial"/>
          <w:sz w:val="16"/>
          <w:szCs w:val="16"/>
          <w:color w:val="auto"/>
        </w:rPr>
        <w:t>For the nine months ended September 30, 2024 and 2023, accounting, tax and auditing fees were €3.0 million and €1.2 million, respectively. The increase is primarily due to taxation advisory services, SOX implementation and contractor expenses to support the accounting function.</w:t>
      </w:r>
    </w:p>
    <w:p>
      <w:pPr>
        <w:spacing w:after="0" w:line="129" w:lineRule="exact"/>
        <w:rPr>
          <w:sz w:val="20"/>
          <w:szCs w:val="20"/>
          <w:color w:val="auto"/>
        </w:rPr>
      </w:pPr>
    </w:p>
    <w:p>
      <w:pPr>
        <w:ind w:right="320" w:firstLine="374"/>
        <w:spacing w:after="0" w:line="286" w:lineRule="auto"/>
        <w:rPr>
          <w:sz w:val="20"/>
          <w:szCs w:val="20"/>
          <w:color w:val="auto"/>
        </w:rPr>
      </w:pPr>
      <w:r>
        <w:rPr>
          <w:rFonts w:ascii="Arial" w:cs="Arial" w:eastAsia="Arial" w:hAnsi="Arial"/>
          <w:sz w:val="16"/>
          <w:szCs w:val="16"/>
          <w:color w:val="auto"/>
        </w:rPr>
        <w:t>For the nine months ended September 30, 2024 and 2023, other expenses were €4.4 million and €1.8 million, respectively. The increase is primarily due to increased commercial and market access outside activities related to product launch preparation.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w:t>
      </w:r>
    </w:p>
    <w:p>
      <w:pPr>
        <w:spacing w:after="0" w:line="192" w:lineRule="exact"/>
        <w:rPr>
          <w:sz w:val="20"/>
          <w:szCs w:val="20"/>
          <w:color w:val="auto"/>
        </w:rPr>
      </w:pPr>
    </w:p>
    <w:p>
      <w:pPr>
        <w:jc w:val="both"/>
        <w:ind w:right="140" w:firstLine="374"/>
        <w:spacing w:after="0" w:line="259" w:lineRule="auto"/>
        <w:rPr>
          <w:sz w:val="20"/>
          <w:szCs w:val="20"/>
          <w:color w:val="auto"/>
        </w:rPr>
      </w:pPr>
      <w:r>
        <w:rPr>
          <w:rFonts w:ascii="Arial" w:cs="Arial" w:eastAsia="Arial" w:hAnsi="Arial"/>
          <w:sz w:val="16"/>
          <w:szCs w:val="16"/>
          <w:color w:val="auto"/>
        </w:rPr>
        <w:t>Finance income for the nine months ended September 30, 2024 and 2023 was €1.7 million and €1.9 million, respectively. The amounts primarily relate to unrealized foreign exchange losses of €2.4 million offset by interest income of €4.2 million for 2024, compared to unrealized foreign exchange income of €1.8 million and interest income of €0.2 million for 2023. The unrealized foreign exchange gains and losses primarily result from translating the Company’s bank balances held in USD to EUR, which is the functional currency of the Company.</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160" w:firstLine="374"/>
        <w:spacing w:after="0" w:line="259" w:lineRule="auto"/>
        <w:rPr>
          <w:sz w:val="20"/>
          <w:szCs w:val="20"/>
          <w:color w:val="auto"/>
        </w:rPr>
      </w:pPr>
      <w:r>
        <w:rPr>
          <w:rFonts w:ascii="Arial" w:cs="Arial" w:eastAsia="Arial" w:hAnsi="Arial"/>
          <w:sz w:val="16"/>
          <w:szCs w:val="16"/>
          <w:color w:val="auto"/>
        </w:rPr>
        <w:t>Since inception, we have incurred significant operating losses. For the nine months ended September 30, 2024 and 2023, we incurred losses of €99.5 million and €68.1 million,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23" w:right="299" w:bottom="1440" w:gutter="0" w:footer="0" w:header="0"/>
        </w:sectPr>
      </w:pPr>
    </w:p>
    <w:bookmarkStart w:id="18" w:name="page19"/>
    <w:bookmarkEnd w:id="18"/>
    <w:p>
      <w:pPr>
        <w:spacing w:after="0" w:line="171" w:lineRule="exact"/>
        <w:rPr>
          <w:sz w:val="20"/>
          <w:szCs w:val="20"/>
          <w:color w:val="auto"/>
        </w:rPr>
      </w:pPr>
    </w:p>
    <w:p>
      <w:pPr>
        <w:ind w:right="480" w:firstLine="374"/>
        <w:spacing w:after="0" w:line="286" w:lineRule="auto"/>
        <w:rPr>
          <w:sz w:val="20"/>
          <w:szCs w:val="20"/>
          <w:color w:val="auto"/>
        </w:rPr>
      </w:pPr>
      <w:r>
        <w:rPr>
          <w:rFonts w:ascii="Arial" w:cs="Arial" w:eastAsia="Arial" w:hAnsi="Arial"/>
          <w:sz w:val="16"/>
          <w:szCs w:val="16"/>
          <w:color w:val="auto"/>
        </w:rPr>
        <w:t>On September 30, 2024, the Company’s authorized share capital amounted to €14.1 million divided into 117,500,000 ordinary shares each with a nominal value of twelve eurocents (€0.12).</w:t>
      </w:r>
    </w:p>
    <w:p>
      <w:pPr>
        <w:spacing w:after="0" w:line="129" w:lineRule="exact"/>
        <w:rPr>
          <w:sz w:val="20"/>
          <w:szCs w:val="20"/>
          <w:color w:val="auto"/>
        </w:rPr>
      </w:pPr>
    </w:p>
    <w:p>
      <w:pPr>
        <w:ind w:right="140" w:firstLine="374"/>
        <w:spacing w:after="0" w:line="266" w:lineRule="auto"/>
        <w:rPr>
          <w:sz w:val="20"/>
          <w:szCs w:val="20"/>
          <w:color w:val="auto"/>
        </w:rPr>
      </w:pPr>
      <w:r>
        <w:rPr>
          <w:rFonts w:ascii="Arial" w:cs="Arial" w:eastAsia="Arial" w:hAnsi="Arial"/>
          <w:sz w:val="16"/>
          <w:szCs w:val="16"/>
          <w:color w:val="auto"/>
        </w:rPr>
        <w:t>As of September 30, 2024 and December 31, 2023, the total number of issued and fully paid shares was 54,233,105 and 52,290,212, respectively. As of September 30, 2024 the issued share capital totaled €6.5 million (September 30, 2023: €4.9 million). On December 31, 2023, the issued share capital totaled €6.3 million.</w:t>
      </w:r>
    </w:p>
    <w:p>
      <w:pPr>
        <w:spacing w:after="0" w:line="144" w:lineRule="exact"/>
        <w:rPr>
          <w:sz w:val="20"/>
          <w:szCs w:val="20"/>
          <w:color w:val="auto"/>
        </w:rPr>
      </w:pPr>
    </w:p>
    <w:p>
      <w:pPr>
        <w:ind w:right="200" w:firstLine="374"/>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with the Securities and Exchange Commission, allowing the Company to sell up to $350 million of its securities. This Registration Statement was supplemented by a prospectus supplement covering an at-the-market program providing for the sales from time to time of up to $75 million of its ordinary shares pursuant to a Sales Agreement with Leerink Partners.</w:t>
      </w:r>
    </w:p>
    <w:p>
      <w:pPr>
        <w:spacing w:after="0" w:line="144"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On March 1, 2022, we entered into a sales agreement (the "2022 Sales Agreement") with Leerink Partners (formerly known as SVB Securities LLC), pursuant to which we may sell ordinary shares having an aggregate offering price of up to $75 million from time to time through Leerink Partners. On April 12, 2024, we terminated the 2022 Sales Agreement and entered into a new sales agreement with Leerink Partners, pursuant to which we may sell ordinary shares having an aggregate offering price of up to $175 million from time to time through Leerink Partners (the “2024 Sales Agreement”). In April 2024, we filed a Form F-3 ASR Registration Statement (the “F-3 ASR”) and prospectus with the Securities and Exchange Commission, allowing us to sell an unspecified amount of its securities. The F-3 ASR was supplemented by a prospectus supplement covering an at-the-market program providing for the sales from time to time of up to $175 million of its ordinary shares pursuant to the April 2024 Sales Agreement. As of September 30, 2024, the Company has not sold any securities under the April 2024 Sales Agreement.</w:t>
      </w:r>
    </w:p>
    <w:p>
      <w:pPr>
        <w:spacing w:after="0" w:line="158" w:lineRule="exact"/>
        <w:rPr>
          <w:sz w:val="20"/>
          <w:szCs w:val="20"/>
          <w:color w:val="auto"/>
        </w:rPr>
      </w:pPr>
    </w:p>
    <w:p>
      <w:pPr>
        <w:ind w:right="140" w:firstLine="374"/>
        <w:spacing w:after="0" w:line="266" w:lineRule="auto"/>
        <w:rPr>
          <w:sz w:val="20"/>
          <w:szCs w:val="20"/>
          <w:color w:val="auto"/>
        </w:rPr>
      </w:pPr>
      <w:r>
        <w:rPr>
          <w:rFonts w:ascii="Arial" w:cs="Arial" w:eastAsia="Arial" w:hAnsi="Arial"/>
          <w:sz w:val="16"/>
          <w:szCs w:val="16"/>
          <w:color w:val="auto"/>
        </w:rPr>
        <w:t>As of September 30, 2024, we have sold a total of 593,927 ordinary shares under the 2022 Sales Agreement and the April 2024 Sales Agreement generating total net proceeds of $9.8 million (€9.3 million), after deducting $0.3 million (€0.3 million), which was payable to Leerink Partners as commission in respect of such sales.</w:t>
      </w:r>
    </w:p>
    <w:p>
      <w:pPr>
        <w:spacing w:after="0" w:line="144"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approximately $70 million (€64.2 million).</w:t>
      </w:r>
    </w:p>
    <w:p>
      <w:pPr>
        <w:spacing w:after="0" w:line="129" w:lineRule="exact"/>
        <w:rPr>
          <w:sz w:val="20"/>
          <w:szCs w:val="20"/>
          <w:color w:val="auto"/>
        </w:rPr>
      </w:pPr>
    </w:p>
    <w:p>
      <w:pPr>
        <w:ind w:right="100" w:firstLine="374"/>
        <w:spacing w:after="0" w:line="256"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 The pre-funded warrants were exercised in January 2024 for gross exercise proceeds of $0.01 million and resulted issuance of 1,375,000 ordinary shares.</w:t>
      </w:r>
    </w:p>
    <w:p>
      <w:pPr>
        <w:spacing w:after="0" w:line="153" w:lineRule="exact"/>
        <w:rPr>
          <w:sz w:val="20"/>
          <w:szCs w:val="20"/>
          <w:color w:val="auto"/>
        </w:rPr>
      </w:pPr>
    </w:p>
    <w:p>
      <w:pPr>
        <w:ind w:right="2880" w:firstLine="374"/>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124"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As of September 30, 2024 we held cash and cash equivalents of €305.2 million. Of the cash on hand, €0.07 million relates to guarantees</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50"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520" w:firstLine="374"/>
        <w:spacing w:after="0" w:line="286" w:lineRule="auto"/>
        <w:rPr>
          <w:sz w:val="20"/>
          <w:szCs w:val="20"/>
          <w:color w:val="auto"/>
        </w:rPr>
      </w:pPr>
      <w:r>
        <w:rPr>
          <w:rFonts w:ascii="Arial" w:cs="Arial" w:eastAsia="Arial" w:hAnsi="Arial"/>
          <w:sz w:val="16"/>
          <w:szCs w:val="16"/>
          <w:color w:val="auto"/>
        </w:rPr>
        <w:t>Our contractual obligations and commitments as of September 30, 2024 amounted to €85.5 million, primarily related to research and development contracts.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nine months ended September 30, 2024 and 2023.</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5"/>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5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8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tcPr>
          <w:p>
            <w:pPr>
              <w:spacing w:after="0"/>
              <w:rPr>
                <w:sz w:val="18"/>
                <w:szCs w:val="18"/>
                <w:color w:val="auto"/>
              </w:rPr>
            </w:pPr>
          </w:p>
        </w:tc>
        <w:tc>
          <w:tcPr>
            <w:tcW w:w="154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(85,176,509 )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(69,240,196 )</w:t>
            </w:r>
          </w:p>
        </w:tc>
        <w:tc>
          <w:tcPr>
            <w:tcW w:w="3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(15,936,313 )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(377,169 )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(61,604 )</w:t>
            </w:r>
          </w:p>
        </w:tc>
        <w:tc>
          <w:tcPr>
            <w:tcW w:w="3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(315,565 )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512 %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provided by financing activities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2,110,393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63,661,895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(61,551,502 )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(83,443,285 )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(5,639,905 )</w:t>
            </w:r>
          </w:p>
        </w:tc>
        <w:tc>
          <w:tcPr>
            <w:tcW w:w="3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(77,803,380 )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1380 %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161,837,429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229,394,208</w:t>
            </w:r>
          </w:p>
        </w:tc>
        <w:tc>
          <w:tcPr>
            <w:tcW w:w="2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(2,595,237 )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(4,756,443 )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0" w:type="dxa"/>
            <w:vAlign w:val="bottom"/>
          </w:tcPr>
          <w:p>
            <w:pPr>
              <w:spacing w:after="0"/>
              <w:rPr>
                <w:sz w:val="1"/>
                <w:szCs w:val="1"/>
                <w:color w:val="auto"/>
              </w:rPr>
            </w:pPr>
          </w:p>
        </w:tc>
      </w:tr>
      <w:tr>
        <w:trPr>
          <w:trHeight w:val="3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tc>
        <w:tc>
          <w:tcPr>
            <w:tcW w:w="1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305,193,115</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158,358,730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146,834,385</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93 %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9" w:lineRule="exact"/>
        <w:rPr>
          <w:sz w:val="20"/>
          <w:szCs w:val="20"/>
          <w:color w:val="auto"/>
        </w:rPr>
      </w:pPr>
    </w:p>
    <w:p>
      <w:pPr>
        <w:ind w:right="120" w:firstLine="374"/>
        <w:spacing w:after="0" w:line="286"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29" w:lineRule="exact"/>
        <w:rPr>
          <w:sz w:val="20"/>
          <w:szCs w:val="20"/>
          <w:color w:val="auto"/>
        </w:rPr>
      </w:pPr>
    </w:p>
    <w:p>
      <w:pPr>
        <w:ind w:right="160" w:firstLine="374"/>
        <w:spacing w:after="0" w:line="259" w:lineRule="auto"/>
        <w:rPr>
          <w:sz w:val="20"/>
          <w:szCs w:val="20"/>
          <w:color w:val="auto"/>
        </w:rPr>
      </w:pPr>
      <w:r>
        <w:rPr>
          <w:rFonts w:ascii="Arial" w:cs="Arial" w:eastAsia="Arial" w:hAnsi="Arial"/>
          <w:sz w:val="16"/>
          <w:szCs w:val="16"/>
          <w:color w:val="auto"/>
        </w:rPr>
        <w:t>Net cash used in operating activities was €85.2 million for the nine months ended September 30, 2024, an increase of €15.9 million compared to €69.2 million for the nine months ended September 30, 2023. Operating cash is adjusted for non-cash items such as the increase in share-based compensation of €1.4 million and a change in net foreign exchange (gains) losses of (€4.8) million. Working capital decreased by €87.3 million, in part due to the change of current assets by €85.6 million, a change in trade payables of €1.3 million and increased accrued liabilities of €1.0 million.</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9" w:lineRule="exact"/>
        <w:rPr>
          <w:sz w:val="20"/>
          <w:szCs w:val="20"/>
          <w:color w:val="auto"/>
        </w:rPr>
      </w:pPr>
    </w:p>
    <w:p>
      <w:pPr>
        <w:ind w:right="340" w:firstLine="374"/>
        <w:spacing w:after="0" w:line="266" w:lineRule="auto"/>
        <w:rPr>
          <w:sz w:val="20"/>
          <w:szCs w:val="20"/>
          <w:color w:val="auto"/>
        </w:rPr>
      </w:pPr>
      <w:r>
        <w:rPr>
          <w:rFonts w:ascii="Arial" w:cs="Arial" w:eastAsia="Arial" w:hAnsi="Arial"/>
          <w:sz w:val="16"/>
          <w:szCs w:val="16"/>
          <w:color w:val="auto"/>
        </w:rPr>
        <w:t>Net cash flows provided by financing activities decreased by €61.6 million from €63.7 million for the nine months ended September 30, 2023, to €2.1 million for the nine months ended September 30, 2024. The decrease is primarily due to €1.7 million financing proceeds in 2024 as compared to €64.2 million from financing proceeds in 2023.</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2024, we did not have any off-balance sheet arrangements other than the disclosed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94" w:lineRule="exact"/>
        <w:rPr>
          <w:sz w:val="20"/>
          <w:szCs w:val="20"/>
          <w:color w:val="auto"/>
        </w:rPr>
      </w:pPr>
    </w:p>
    <w:p>
      <w:pPr>
        <w:ind w:right="200" w:firstLine="374"/>
        <w:spacing w:after="0" w:line="286" w:lineRule="auto"/>
        <w:rPr>
          <w:sz w:val="20"/>
          <w:szCs w:val="20"/>
          <w:color w:val="auto"/>
        </w:rPr>
      </w:pPr>
      <w:r>
        <w:rPr>
          <w:rFonts w:ascii="Arial" w:cs="Arial" w:eastAsia="Arial" w:hAnsi="Arial"/>
          <w:sz w:val="16"/>
          <w:szCs w:val="16"/>
          <w:color w:val="auto"/>
        </w:rPr>
        <w:t>During the nine months ended September 30, 2024, there were no significant changes to our quantitative and qualitative disclosures about market risk from those reported in “Item 11. Quantitative and Qualitative Disclosures About Market Risk” in the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81" w:lineRule="exact"/>
        <w:rPr>
          <w:sz w:val="20"/>
          <w:szCs w:val="20"/>
          <w:color w:val="auto"/>
        </w:rPr>
      </w:pPr>
    </w:p>
    <w:p>
      <w:pPr>
        <w:ind w:right="820" w:firstLine="374"/>
        <w:spacing w:after="0" w:line="286"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94" w:lineRule="exact"/>
        <w:rPr>
          <w:sz w:val="20"/>
          <w:szCs w:val="20"/>
          <w:color w:val="auto"/>
        </w:rPr>
      </w:pPr>
    </w:p>
    <w:p>
      <w:pPr>
        <w:ind w:right="400" w:firstLine="374"/>
        <w:spacing w:after="0" w:line="286"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w:t>
      </w:r>
    </w:p>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1" w:right="239" w:bottom="1440" w:gutter="0" w:footer="0" w:header="0"/>
        </w:sectPr>
      </w:pPr>
    </w:p>
    <w:bookmarkStart w:id="20" w:name="page21"/>
    <w:bookmarkEnd w:id="20"/>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might cause such a difference include, but are not limited to:</w:t>
      </w:r>
    </w:p>
    <w:p>
      <w:pPr>
        <w:spacing w:after="0" w:line="302" w:lineRule="exact"/>
        <w:rPr>
          <w:sz w:val="20"/>
          <w:szCs w:val="20"/>
          <w:color w:val="auto"/>
        </w:rPr>
      </w:pPr>
    </w:p>
    <w:p>
      <w:pPr>
        <w:ind w:left="1020" w:right="26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3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deucrictibant extended-release tablets and immediate-release capsules, which are in late-stage global clinical trials;</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w:t>
      </w:r>
    </w:p>
    <w:p>
      <w:pPr>
        <w:spacing w:after="0" w:line="48"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deucrictibant product candidates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deucrictibant product candidates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produce sufficient amounts of drug product candidates for the commercialization;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1020" w:right="7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90"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 and the Biosecure Act;</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or a foreign private issuer; and</w:t>
      </w:r>
    </w:p>
    <w:p>
      <w:pPr>
        <w:spacing w:after="0" w:line="48"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 and the Hamas attack against Israel and the ensuing war, or natural disasters and weather-related events, including earthquakes, typhoons, floods and fires.</w:t>
      </w:r>
    </w:p>
    <w:p>
      <w:pPr>
        <w:spacing w:after="0" w:line="143"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37" w:lineRule="exact"/>
        <w:rPr>
          <w:sz w:val="20"/>
          <w:szCs w:val="20"/>
          <w:color w:val="auto"/>
        </w:rPr>
      </w:pPr>
    </w:p>
    <w:p>
      <w:pPr>
        <w:ind w:right="160" w:firstLine="374"/>
        <w:spacing w:after="0" w:line="286"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9" w:lineRule="exact"/>
        <w:rPr>
          <w:sz w:val="20"/>
          <w:szCs w:val="20"/>
          <w:color w:val="auto"/>
        </w:rPr>
      </w:pPr>
    </w:p>
    <w:p>
      <w:pPr>
        <w:ind w:right="460" w:firstLine="374"/>
        <w:spacing w:after="0" w:line="28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15" w:lineRule="exact"/>
        <w:rPr>
          <w:sz w:val="20"/>
          <w:szCs w:val="20"/>
          <w:color w:val="auto"/>
        </w:rPr>
      </w:pPr>
    </w:p>
    <w:p>
      <w:pPr>
        <w:ind w:right="100" w:firstLine="374"/>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Contents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Loss and Other Comprehensive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financial position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changes in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5</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cash flows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 of loss and other comprehensive income</w:t>
      </w: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6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43"/>
        </w:trPr>
        <w:tc>
          <w:tcPr>
            <w:tcW w:w="4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r>
      <w:tr>
        <w:trPr>
          <w:trHeight w:val="202"/>
        </w:trPr>
        <w:tc>
          <w:tcPr>
            <w:tcW w:w="4960" w:type="dxa"/>
            <w:vAlign w:val="bottom"/>
          </w:tcPr>
          <w:p>
            <w:pPr>
              <w:spacing w:after="0"/>
              <w:rPr>
                <w:sz w:val="17"/>
                <w:szCs w:val="17"/>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Note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960" w:type="dxa"/>
            <w:vAlign w:val="bottom"/>
          </w:tcPr>
          <w:p>
            <w:pPr>
              <w:spacing w:after="0"/>
              <w:rPr>
                <w:sz w:val="19"/>
                <w:szCs w:val="19"/>
                <w:color w:val="auto"/>
              </w:rPr>
            </w:pPr>
          </w:p>
        </w:tc>
        <w:tc>
          <w:tcPr>
            <w:tcW w:w="5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r>
      <w:tr>
        <w:trPr>
          <w:trHeight w:val="23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(25,782,650 )</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(18,535,782 )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(67,363,600 )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(46,962,148 )</w:t>
            </w:r>
          </w:p>
        </w:tc>
      </w:tr>
      <w:tr>
        <w:trPr>
          <w:trHeight w:val="22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(12,119,623 )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(7,665,484 )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(33,232,533 )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(22,770,510 )</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5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(37,902,273 )</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(26,201,266 )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(100,596,133 )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(69,732,658 )</w:t>
            </w:r>
          </w:p>
        </w:tc>
      </w:tr>
      <w:tr>
        <w:trPr>
          <w:trHeight w:val="22"/>
        </w:trPr>
        <w:tc>
          <w:tcPr>
            <w:tcW w:w="49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Finance (expense)/income</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(3,578,394 )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2,748,943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1,721,377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1,906,348</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5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(41,480,667 )</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(23,452,323 )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(98,874,756 )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(67,826,310 )</w:t>
            </w:r>
          </w:p>
        </w:tc>
      </w:tr>
      <w:tr>
        <w:trPr>
          <w:trHeight w:val="22"/>
        </w:trPr>
        <w:tc>
          <w:tcPr>
            <w:tcW w:w="49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(230,091 )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(146,273 )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(585,831 )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(301,108 )</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(41,710,758 )</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(23,598,596 )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(99,460,587 )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(68,127,418 )</w:t>
            </w:r>
          </w:p>
        </w:tc>
      </w:tr>
      <w:tr>
        <w:trPr>
          <w:trHeight w:val="208"/>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56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5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Exchange gains/(losses) arising on translation of foreign operations</w:t>
            </w:r>
          </w:p>
        </w:tc>
        <w:tc>
          <w:tcPr>
            <w:tcW w:w="5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(100,070 )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(2,623 )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(43,331 )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(31,508 )</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attributable to:</w:t>
            </w:r>
          </w:p>
        </w:tc>
        <w:tc>
          <w:tcPr>
            <w:tcW w:w="5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Equity holders of the Company</w:t>
            </w:r>
          </w:p>
        </w:tc>
        <w:tc>
          <w:tcPr>
            <w:tcW w:w="5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(41,810,828 )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(23,601,219 )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(99,503,918 )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(68,158,926 )</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per share attributable to the equity holders of the Company during the</w:t>
            </w:r>
          </w:p>
        </w:tc>
        <w:tc>
          <w:tcPr>
            <w:tcW w:w="5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periods</w:t>
            </w: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2"/>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(0.77 )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(0.58 )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(1.84 )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-1831340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-1831340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-1831340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-1831340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-1522730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-1522730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-1522730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-1522730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-1214120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-1196975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-1214120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-1196975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-1214120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-1196975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-1214120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-1196975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Unaudited condensed consolidated statement of financial position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September 30,</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420" w:type="dxa"/>
            <w:vAlign w:val="bottom"/>
          </w:tcPr>
          <w:p>
            <w:pPr>
              <w:ind w:left="6860"/>
              <w:spacing w:after="0"/>
              <w:rPr>
                <w:sz w:val="20"/>
                <w:szCs w:val="20"/>
                <w:color w:val="auto"/>
              </w:rPr>
            </w:pPr>
            <w:r>
              <w:rPr>
                <w:rFonts w:ascii="Times New Roman" w:cs="Times New Roman" w:eastAsia="Times New Roman" w:hAnsi="Times New Roman"/>
                <w:sz w:val="16"/>
                <w:szCs w:val="16"/>
                <w:color w:val="auto"/>
              </w:rPr>
              <w:t>Notes</w:t>
            </w:r>
          </w:p>
        </w:tc>
        <w:tc>
          <w:tcPr>
            <w:tcW w:w="6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543,299</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111,625</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231,893</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243,874</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387,529</w:t>
            </w:r>
          </w:p>
        </w:tc>
        <w:tc>
          <w:tcPr>
            <w:tcW w:w="100" w:type="dxa"/>
            <w:vAlign w:val="bottom"/>
            <w:shd w:val="clear" w:color="auto" w:fill="CFF0FC"/>
          </w:tcPr>
          <w:p>
            <w:pPr>
              <w:spacing w:after="0"/>
              <w:rPr>
                <w:sz w:val="20"/>
                <w:szCs w:val="20"/>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645,392</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423,486</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4,353,384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5,580,704</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305,193,115</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100" w:type="dxa"/>
            <w:vAlign w:val="bottom"/>
            <w:shd w:val="clear" w:color="auto" w:fill="CFF0FC"/>
          </w:tcPr>
          <w:p>
            <w:pPr>
              <w:spacing w:after="0"/>
              <w:rPr>
                <w:sz w:val="20"/>
                <w:szCs w:val="20"/>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tax receivable</w:t>
            </w:r>
          </w:p>
        </w:tc>
        <w:tc>
          <w:tcPr>
            <w:tcW w:w="6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2,084,773</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615,538</w:t>
            </w:r>
          </w:p>
        </w:tc>
        <w:tc>
          <w:tcPr>
            <w:tcW w:w="100" w:type="dxa"/>
            <w:vAlign w:val="bottom"/>
          </w:tcPr>
          <w:p>
            <w:pPr>
              <w:spacing w:after="0"/>
              <w:rPr>
                <w:sz w:val="19"/>
                <w:szCs w:val="19"/>
                <w:color w:val="auto"/>
              </w:rPr>
            </w:pPr>
          </w:p>
        </w:tc>
      </w:tr>
      <w:tr>
        <w:trPr>
          <w:trHeight w:val="26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0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313,175,462</w:t>
            </w:r>
          </w:p>
        </w:tc>
        <w:tc>
          <w:tcPr>
            <w:tcW w:w="2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398,694,465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7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6,507,973</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6,274,833</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premium</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620,920,188</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615,811,986</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6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36,166,919</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27,894,796</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6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(57,915 )</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(14,584 )</w:t>
            </w:r>
          </w:p>
        </w:tc>
      </w:tr>
      <w:tr>
        <w:trPr>
          <w:trHeight w:val="23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loss</w:t>
            </w:r>
          </w:p>
        </w:tc>
        <w:tc>
          <w:tcPr>
            <w:tcW w:w="6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(366,750,138 )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(265,918,628 )</w:t>
            </w:r>
          </w:p>
        </w:tc>
      </w:tr>
      <w:tr>
        <w:trPr>
          <w:trHeight w:val="223"/>
        </w:trPr>
        <w:tc>
          <w:tcPr>
            <w:tcW w:w="7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600" w:type="dxa"/>
            <w:vAlign w:val="bottom"/>
            <w:tcBorders>
              <w:top w:val="single" w:sz="8" w:color="CFF0FC"/>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296,787,027</w:t>
            </w:r>
          </w:p>
        </w:tc>
        <w:tc>
          <w:tcPr>
            <w:tcW w:w="260" w:type="dxa"/>
            <w:vAlign w:val="bottom"/>
            <w:tcBorders>
              <w:top w:val="single" w:sz="8" w:color="CFF0FC"/>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384,048,403</w:t>
            </w:r>
          </w:p>
        </w:tc>
        <w:tc>
          <w:tcPr>
            <w:tcW w:w="100" w:type="dxa"/>
            <w:vAlign w:val="bottom"/>
            <w:tcBorders>
              <w:top w:val="single" w:sz="8" w:color="CFF0FC"/>
            </w:tcBorders>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4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 term liabilities</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43,564</w:t>
            </w:r>
          </w:p>
        </w:tc>
        <w:tc>
          <w:tcPr>
            <w:tcW w:w="100" w:type="dxa"/>
            <w:vAlign w:val="bottom"/>
            <w:shd w:val="clear" w:color="auto" w:fill="CFF0FC"/>
          </w:tcPr>
          <w:p>
            <w:pPr>
              <w:spacing w:after="0"/>
              <w:rPr>
                <w:sz w:val="20"/>
                <w:szCs w:val="20"/>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4,195,854</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12,075,642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11,067,510</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99,439</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195,341</w:t>
            </w:r>
          </w:p>
        </w:tc>
        <w:tc>
          <w:tcPr>
            <w:tcW w:w="100" w:type="dxa"/>
            <w:vAlign w:val="bottom"/>
            <w:shd w:val="clear" w:color="auto" w:fill="CFF0FC"/>
          </w:tcPr>
          <w:p>
            <w:pPr>
              <w:spacing w:after="0"/>
              <w:rPr>
                <w:sz w:val="20"/>
                <w:szCs w:val="20"/>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tax payable</w:t>
            </w:r>
          </w:p>
        </w:tc>
        <w:tc>
          <w:tcPr>
            <w:tcW w:w="60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429,922</w:t>
            </w:r>
          </w:p>
        </w:tc>
        <w:tc>
          <w:tcPr>
            <w:tcW w:w="100" w:type="dxa"/>
            <w:vAlign w:val="bottom"/>
          </w:tcPr>
          <w:p>
            <w:pPr>
              <w:spacing w:after="0"/>
              <w:rPr>
                <w:sz w:val="19"/>
                <w:szCs w:val="19"/>
                <w:color w:val="auto"/>
              </w:rPr>
            </w:pPr>
          </w:p>
        </w:tc>
      </w:tr>
      <w:tr>
        <w:trPr>
          <w:trHeight w:val="22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16,388,435</w:t>
            </w:r>
          </w:p>
        </w:tc>
        <w:tc>
          <w:tcPr>
            <w:tcW w:w="2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14,646,062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6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313,175,462</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398,694,465</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-2870835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-2853690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-179705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2024 and September 30, 2023</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Currency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2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Share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translation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Total</w:t>
            </w:r>
          </w:p>
        </w:tc>
      </w:tr>
      <w:tr>
        <w:trPr>
          <w:trHeight w:val="223"/>
        </w:trPr>
        <w:tc>
          <w:tcPr>
            <w:tcW w:w="2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capital</w:t>
            </w:r>
          </w:p>
        </w:tc>
        <w:tc>
          <w:tcPr>
            <w:tcW w:w="24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premium</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reserves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reserve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losses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Equity</w:t>
            </w:r>
          </w:p>
        </w:tc>
      </w:tr>
      <w:tr>
        <w:trPr>
          <w:trHeight w:val="220"/>
        </w:trPr>
        <w:tc>
          <w:tcPr>
            <w:tcW w:w="2880" w:type="dxa"/>
            <w:vAlign w:val="bottom"/>
          </w:tcPr>
          <w:p>
            <w:pPr>
              <w:spacing w:after="0"/>
              <w:rPr>
                <w:sz w:val="19"/>
                <w:szCs w:val="19"/>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Notes</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4,057,976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289,177,197</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20,169,459</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43,290</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(164,188,892 )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149,259,030</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(68,127,418 )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(68,127,418 )</w:t>
            </w: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Issue of share capital</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834,852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63,366,151</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64,201,003</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on issue of shares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(372,654 )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(372,654 )</w:t>
            </w: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(31,508 )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(31,508 )</w:t>
            </w: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2,460,755</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(2,174,317 )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(296,684 )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14,967</w:t>
            </w:r>
          </w:p>
        </w:tc>
        <w:tc>
          <w:tcPr>
            <w:tcW w:w="100" w:type="dxa"/>
            <w:vAlign w:val="bottom"/>
          </w:tcPr>
          <w:p>
            <w:pPr>
              <w:spacing w:after="0"/>
              <w:rPr>
                <w:sz w:val="19"/>
                <w:szCs w:val="19"/>
                <w:color w:val="auto"/>
              </w:rPr>
            </w:pPr>
          </w:p>
        </w:tc>
      </w:tr>
      <w:tr>
        <w:trPr>
          <w:trHeight w:val="23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102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8,185,156</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8,185,156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4,918,041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354,631,449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26,180,298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11,782</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(232,612,994 )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153,128,576</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6,274,833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615,811,986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27,894,796</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(14,584 )</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(265,918,628 )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384,048,403</w:t>
            </w:r>
          </w:p>
        </w:tc>
        <w:tc>
          <w:tcPr>
            <w:tcW w:w="100" w:type="dxa"/>
            <w:vAlign w:val="bottom"/>
            <w:shd w:val="clear" w:color="auto" w:fill="CFF0FC"/>
          </w:tcPr>
          <w:p>
            <w:pPr>
              <w:spacing w:after="0"/>
              <w:rPr>
                <w:sz w:val="18"/>
                <w:szCs w:val="18"/>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(99,460,587 )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(99,460,587 )</w:t>
            </w: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Issue of share capital</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(165,000 )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on issue of shares, net</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(43,331 )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(43,331 )</w:t>
            </w: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4,681,202</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(3,110,480 )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(1,370,923 )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267,939</w:t>
            </w:r>
          </w:p>
        </w:tc>
        <w:tc>
          <w:tcPr>
            <w:tcW w:w="100" w:type="dxa"/>
            <w:vAlign w:val="bottom"/>
          </w:tcPr>
          <w:p>
            <w:pPr>
              <w:spacing w:after="0"/>
              <w:rPr>
                <w:sz w:val="19"/>
                <w:szCs w:val="19"/>
                <w:color w:val="auto"/>
              </w:rPr>
            </w:pPr>
          </w:p>
        </w:tc>
      </w:tr>
      <w:tr>
        <w:trPr>
          <w:trHeight w:val="23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102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11,369,994</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11,369,994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6,507,973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620,920,188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36,166,919</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(57,915 )</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(366,750,138 )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296,787,027</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-1379220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-1379220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-1379220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-1379220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-1379220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-179070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-179070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-179070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-179070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-179070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7" w:name="page28"/>
    <w:bookmarkEnd w:id="27"/>
    <w:p>
      <w:pPr>
        <w:spacing w:after="0"/>
        <w:rPr>
          <w:sz w:val="20"/>
          <w:szCs w:val="20"/>
          <w:color w:val="auto"/>
        </w:rPr>
      </w:pPr>
      <w:r>
        <w:rPr>
          <w:rFonts w:ascii="Arial" w:cs="Arial" w:eastAsia="Arial" w:hAnsi="Arial"/>
          <w:sz w:val="21"/>
          <w:szCs w:val="21"/>
          <w:b w:val="1"/>
          <w:bCs w:val="1"/>
          <w:color w:val="auto"/>
        </w:rPr>
        <w:t>Unaudited condensed consolidated statement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Loss before tax</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Non-cash adjustments to reconcile loss before tax to net cash flows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Share-based payment expense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foreign exchange loss (gain)</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decrease in receivables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Decrease (increase) in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(decrease) trade and other payables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(Decrease) increase in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Received interest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Proceeds from issue of shares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Transaction costs on issue of shares,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 of principal portion of lease liabilities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18</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4</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6</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13</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9"/>
                <w:szCs w:val="19"/>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9"/>
                <w:szCs w:val="19"/>
                <w:color w:val="auto"/>
              </w:rPr>
            </w:pPr>
          </w:p>
        </w:tc>
      </w:tr>
      <w:tr>
        <w:trPr>
          <w:trHeight w:val="210"/>
        </w:trPr>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45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(98,874,756 )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(67,826,310 )</w:t>
            </w:r>
          </w:p>
        </w:tc>
      </w:tr>
      <w:tr>
        <w:trPr>
          <w:trHeight w:val="45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11,369,994</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8,185,156</w:t>
            </w:r>
          </w:p>
        </w:tc>
        <w:tc>
          <w:tcPr>
            <w:tcW w:w="60" w:type="dxa"/>
            <w:vAlign w:val="bottom"/>
          </w:tcPr>
          <w:p>
            <w:pPr>
              <w:spacing w:after="0"/>
              <w:rPr>
                <w:sz w:val="24"/>
                <w:szCs w:val="24"/>
                <w:color w:val="auto"/>
              </w:rPr>
            </w:pP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178,604</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191,526</w:t>
            </w:r>
          </w:p>
        </w:tc>
        <w:tc>
          <w:tcPr>
            <w:tcW w:w="60" w:type="dxa"/>
            <w:vAlign w:val="bottom"/>
          </w:tcPr>
          <w:p>
            <w:pPr>
              <w:spacing w:after="0"/>
              <w:rPr>
                <w:sz w:val="19"/>
                <w:szCs w:val="19"/>
                <w:color w:val="auto"/>
              </w:rPr>
            </w:pPr>
          </w:p>
        </w:tc>
      </w:tr>
      <w:tr>
        <w:trPr>
          <w:trHeight w:val="22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2,561,497</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(1,759,432 )</w:t>
            </w:r>
          </w:p>
        </w:tc>
      </w:tr>
      <w:tr>
        <w:trPr>
          <w:trHeight w:val="230"/>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(4,127,865 )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(146,917 )</w:t>
            </w:r>
          </w:p>
        </w:tc>
      </w:tr>
      <w:tr>
        <w:trPr>
          <w:trHeight w:val="688"/>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(221,874 )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73,623</w:t>
            </w:r>
          </w:p>
        </w:tc>
        <w:tc>
          <w:tcPr>
            <w:tcW w:w="60" w:type="dxa"/>
            <w:vAlign w:val="bottom"/>
          </w:tcPr>
          <w:p>
            <w:pPr>
              <w:spacing w:after="0"/>
              <w:rPr>
                <w:sz w:val="24"/>
                <w:szCs w:val="24"/>
                <w:color w:val="auto"/>
              </w:rPr>
            </w:pPr>
          </w:p>
        </w:tc>
      </w:tr>
      <w:tr>
        <w:trPr>
          <w:trHeight w:val="22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1,271,056</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(5,225,243 )</w:t>
            </w:r>
          </w:p>
        </w:tc>
      </w:tr>
      <w:tr>
        <w:trPr>
          <w:trHeight w:val="22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1,284,669</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(2,250,834 )</w:t>
            </w:r>
          </w:p>
        </w:tc>
      </w:tr>
      <w:tr>
        <w:trPr>
          <w:trHeight w:val="230"/>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(361,382 )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237,109</w:t>
            </w:r>
          </w:p>
        </w:tc>
        <w:tc>
          <w:tcPr>
            <w:tcW w:w="60" w:type="dxa"/>
            <w:vAlign w:val="bottom"/>
          </w:tcPr>
          <w:p>
            <w:pPr>
              <w:spacing w:after="0"/>
              <w:rPr>
                <w:sz w:val="19"/>
                <w:szCs w:val="19"/>
                <w:color w:val="auto"/>
              </w:rPr>
            </w:pPr>
          </w:p>
        </w:tc>
      </w:tr>
      <w:tr>
        <w:trPr>
          <w:trHeight w:val="45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(2,350,535 )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(830,568 )</w:t>
            </w:r>
          </w:p>
        </w:tc>
      </w:tr>
      <w:tr>
        <w:trPr>
          <w:trHeight w:val="242"/>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4,094,083</w:t>
            </w:r>
          </w:p>
        </w:tc>
        <w:tc>
          <w:tcPr>
            <w:tcW w:w="24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111,694</w:t>
            </w:r>
          </w:p>
        </w:tc>
        <w:tc>
          <w:tcPr>
            <w:tcW w:w="60" w:type="dxa"/>
            <w:vAlign w:val="bottom"/>
          </w:tcPr>
          <w:p>
            <w:pPr>
              <w:spacing w:after="0"/>
              <w:rPr>
                <w:sz w:val="21"/>
                <w:szCs w:val="21"/>
                <w:color w:val="auto"/>
              </w:rPr>
            </w:pPr>
          </w:p>
        </w:tc>
      </w:tr>
      <w:tr>
        <w:trPr>
          <w:trHeight w:val="223"/>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(85,176,509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(69,240,196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(377,169 )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(61,604 )</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(377,169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(61,604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6"/>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1,651,470</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64,201,004</w:t>
            </w:r>
          </w:p>
        </w:tc>
        <w:tc>
          <w:tcPr>
            <w:tcW w:w="60" w:type="dxa"/>
            <w:vAlign w:val="bottom"/>
          </w:tcPr>
          <w:p>
            <w:pPr>
              <w:spacing w:after="0"/>
              <w:rPr>
                <w:sz w:val="24"/>
                <w:szCs w:val="24"/>
                <w:color w:val="auto"/>
              </w:rPr>
            </w:pP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(373,257 )</w:t>
            </w:r>
          </w:p>
        </w:tc>
      </w:tr>
      <w:tr>
        <w:trPr>
          <w:trHeight w:val="243"/>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(133,077 )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(165,852 )</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2,110,393</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63,661,895</w:t>
            </w:r>
          </w:p>
        </w:tc>
        <w:tc>
          <w:tcPr>
            <w:tcW w:w="60" w:type="dxa"/>
            <w:vAlign w:val="bottom"/>
          </w:tcPr>
          <w:p>
            <w:pPr>
              <w:spacing w:after="0"/>
              <w:rPr>
                <w:sz w:val="19"/>
                <w:szCs w:val="19"/>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7"/>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(83,443,285 )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(5,639,905 )</w:t>
            </w:r>
          </w:p>
        </w:tc>
      </w:tr>
      <w:tr>
        <w:trPr>
          <w:trHeight w:val="22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161,837,429</w:t>
            </w:r>
          </w:p>
        </w:tc>
        <w:tc>
          <w:tcPr>
            <w:tcW w:w="60" w:type="dxa"/>
            <w:vAlign w:val="bottom"/>
          </w:tcPr>
          <w:p>
            <w:pPr>
              <w:spacing w:after="0"/>
              <w:rPr>
                <w:sz w:val="19"/>
                <w:szCs w:val="19"/>
                <w:color w:val="auto"/>
              </w:rPr>
            </w:pPr>
          </w:p>
        </w:tc>
      </w:tr>
      <w:tr>
        <w:trPr>
          <w:trHeight w:val="243"/>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(2,595,237 )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2,161,206</w:t>
            </w:r>
          </w:p>
        </w:tc>
        <w:tc>
          <w:tcPr>
            <w:tcW w:w="60" w:type="dxa"/>
            <w:vAlign w:val="bottom"/>
          </w:tcPr>
          <w:p>
            <w:pPr>
              <w:spacing w:after="0"/>
              <w:rPr>
                <w:sz w:val="21"/>
                <w:szCs w:val="21"/>
                <w:color w:val="auto"/>
              </w:rPr>
            </w:pP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305,193,115</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158,358,730</w:t>
            </w:r>
          </w:p>
        </w:tc>
        <w:tc>
          <w:tcPr>
            <w:tcW w:w="60" w:type="dxa"/>
            <w:vAlign w:val="bottom"/>
          </w:tcPr>
          <w:p>
            <w:pPr>
              <w:spacing w:after="0"/>
              <w:rPr>
                <w:sz w:val="19"/>
                <w:szCs w:val="19"/>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3">
            <w:col w:w="6480" w:space="720"/>
            <w:col w:w="380" w:space="460"/>
            <w:col w:w="3160"/>
          </w:cols>
          <w:pgMar w:left="320" w:top="1407" w:right="379" w:bottom="1440" w:gutter="0" w:footer="0" w:header="0"/>
        </w:sect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type w:val="continuous"/>
        </w:sectPr>
      </w:pPr>
    </w:p>
    <w:bookmarkStart w:id="28" w:name="page29"/>
    <w:bookmarkEnd w:id="28"/>
    <w:p>
      <w:pPr>
        <w:ind w:right="3320"/>
        <w:spacing w:after="0" w:line="371"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Times New Roman" w:cs="Times New Roman" w:eastAsia="Times New Roman" w:hAnsi="Times New Roman"/>
          <w:sz w:val="25"/>
          <w:szCs w:val="25"/>
          <w:b w:val="1"/>
          <w:bCs w:val="1"/>
          <w:color w:val="auto"/>
        </w:rPr>
        <w:t>1</w:t>
      </w:r>
      <w:r>
        <w:rPr>
          <w:rFonts w:ascii="Times New Roman" w:cs="Times New Roman" w:eastAsia="Times New Roman" w:hAnsi="Times New Roman"/>
          <w:sz w:val="21"/>
          <w:szCs w:val="21"/>
          <w:b w:val="1"/>
          <w:bCs w:val="1"/>
          <w:color w:val="auto"/>
        </w:rPr>
        <w:t>. Corporate and Group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Company’s registered office is located at Emmy Noetherweg 2, Leiden. The Company is registered at the Chamber of Commerce under file number 64239411.</w:t>
      </w:r>
    </w:p>
    <w:p>
      <w:pPr>
        <w:spacing w:after="0" w:line="4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4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September 30, 2024, and December 31, 2023, and for the three and nine months ended September 30, 2024 and 2023 were authorized for issue in accordance with a resolution of the directors on November 13,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60" w:type="dxa"/>
            <w:vAlign w:val="bottom"/>
            <w:gridSpan w:val="3"/>
          </w:tcPr>
          <w:p>
            <w:pPr>
              <w:jc w:val="center"/>
              <w:ind w:right="939"/>
              <w:spacing w:after="0"/>
              <w:rPr>
                <w:sz w:val="20"/>
                <w:szCs w:val="20"/>
                <w:color w:val="auto"/>
              </w:rPr>
            </w:pPr>
            <w:r>
              <w:rPr>
                <w:rFonts w:ascii="Times New Roman" w:cs="Times New Roman" w:eastAsia="Times New Roman" w:hAnsi="Times New Roman"/>
                <w:sz w:val="16"/>
                <w:szCs w:val="16"/>
                <w:color w:val="auto"/>
              </w:rPr>
              <w:t>% of equity interest as</w:t>
            </w:r>
          </w:p>
        </w:tc>
      </w:tr>
      <w:tr>
        <w:trPr>
          <w:trHeight w:val="224"/>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Country of</w:t>
            </w:r>
          </w:p>
        </w:tc>
        <w:tc>
          <w:tcPr>
            <w:tcW w:w="10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ind w:right="959"/>
              <w:spacing w:after="0"/>
              <w:rPr>
                <w:sz w:val="20"/>
                <w:szCs w:val="20"/>
                <w:color w:val="auto"/>
              </w:rPr>
            </w:pPr>
            <w:r>
              <w:rPr>
                <w:rFonts w:ascii="Times New Roman" w:cs="Times New Roman" w:eastAsia="Times New Roman" w:hAnsi="Times New Roman"/>
                <w:sz w:val="16"/>
                <w:szCs w:val="16"/>
                <w:color w:val="auto"/>
              </w:rPr>
              <w:t>September 30,</w:t>
            </w:r>
          </w:p>
        </w:tc>
      </w:tr>
      <w:tr>
        <w:trPr>
          <w:trHeight w:val="2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200" w:type="dxa"/>
            <w:vAlign w:val="bottom"/>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Legal seat</w:t>
            </w:r>
          </w:p>
        </w:tc>
        <w:tc>
          <w:tcPr>
            <w:tcW w:w="20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incorporation</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w w:val="99"/>
              </w:rPr>
              <w:t>2024</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r>
      <w:tr>
        <w:trPr>
          <w:trHeight w:val="22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Holdings B.V.</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Leiden</w:t>
            </w:r>
          </w:p>
        </w:tc>
        <w:tc>
          <w:tcPr>
            <w:tcW w:w="200" w:type="dxa"/>
            <w:vAlign w:val="bottom"/>
            <w:shd w:val="clear" w:color="auto" w:fill="CFF0FC"/>
          </w:tcPr>
          <w:p>
            <w:pPr>
              <w:spacing w:after="0"/>
              <w:rPr>
                <w:sz w:val="19"/>
                <w:szCs w:val="19"/>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The Netherlands</w:t>
            </w:r>
          </w:p>
        </w:tc>
        <w:tc>
          <w:tcPr>
            <w:tcW w:w="102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w w:val="96"/>
              </w:rPr>
              <w:t>100%</w:t>
            </w:r>
          </w:p>
        </w:tc>
        <w:tc>
          <w:tcPr>
            <w:tcW w:w="2460" w:type="dxa"/>
            <w:vAlign w:val="bottom"/>
            <w:gridSpan w:val="3"/>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Pharvaris Netherlands B.V.</w:t>
            </w:r>
          </w:p>
        </w:tc>
        <w:tc>
          <w:tcPr>
            <w:tcW w:w="20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Leiden</w:t>
            </w:r>
          </w:p>
        </w:tc>
        <w:tc>
          <w:tcPr>
            <w:tcW w:w="20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Netherlands</w:t>
            </w:r>
          </w:p>
        </w:tc>
        <w:tc>
          <w:tcPr>
            <w:tcW w:w="10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6"/>
              </w:rPr>
              <w:t>100%</w:t>
            </w:r>
          </w:p>
        </w:tc>
        <w:tc>
          <w:tcPr>
            <w:tcW w:w="246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3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GmbH</w:t>
            </w: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Zug</w:t>
            </w:r>
          </w:p>
        </w:tc>
        <w:tc>
          <w:tcPr>
            <w:tcW w:w="2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02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w w:val="96"/>
              </w:rPr>
              <w:t>100%</w:t>
            </w:r>
          </w:p>
        </w:tc>
        <w:tc>
          <w:tcPr>
            <w:tcW w:w="2460" w:type="dxa"/>
            <w:vAlign w:val="bottom"/>
            <w:gridSpan w:val="3"/>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Pharvaris, Inc.</w:t>
            </w:r>
          </w:p>
        </w:tc>
        <w:tc>
          <w:tcPr>
            <w:tcW w:w="20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2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0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6"/>
              </w:rPr>
              <w:t>100%</w:t>
            </w:r>
          </w:p>
        </w:tc>
        <w:tc>
          <w:tcPr>
            <w:tcW w:w="246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2023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48"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Management assessed the Company’s ability to fund its operations for a period of at least one year after the date the financial statements are issued. Management has not identified a material uncertainty relating to the Company’s ability to continue as a going concern for a period of at least a year from the issuance of these financial statements.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9" w:name="page30"/>
    <w:bookmarkEnd w:id="29"/>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0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4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material accounting policies</w:t>
      </w:r>
    </w:p>
    <w:p>
      <w:pPr>
        <w:spacing w:after="0" w:line="10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2023.</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standards and interpretations issued not yet effective</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April 2024, the IASB issued IFRS 18 Presentation and Disclosure in Financial Statements (“IFRS 18”) which replaces IAS 1 Presentation of Financial Statements. IFRS 18 requires an entity to classify all income and expenses within its statement of profit or loss into one of five categories: operating; investing; financing; income taxes; and discontinued operations. The first three categories are new. These categories are complemented by the requirement to present subtotals and totals for “operating profit or loss”, “profit or loss before financing income and taxes” and “profit or loss”. IFRS 18, and the amendments to the other standards, is effective for reporting periods beginning on or after January 1, 2027, but earlier application is permitted. The Group is currently evaluating the impact of this amendment.</w:t>
      </w:r>
    </w:p>
    <w:p>
      <w:pPr>
        <w:spacing w:after="0" w:line="7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There are no other IFRS or IFRIC interpretations that are not yet effective and that are expected to have a material impact to the interim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040" w:type="dxa"/>
            <w:vAlign w:val="bottom"/>
          </w:tcPr>
          <w:p>
            <w:pPr>
              <w:spacing w:after="0"/>
              <w:rPr>
                <w:sz w:val="19"/>
                <w:szCs w:val="19"/>
                <w:color w:val="auto"/>
              </w:rPr>
            </w:pPr>
          </w:p>
        </w:tc>
        <w:tc>
          <w:tcPr>
            <w:tcW w:w="350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356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For the nine months ended September 30,</w:t>
            </w:r>
          </w:p>
        </w:tc>
      </w:tr>
      <w:tr>
        <w:trPr>
          <w:trHeight w:val="223"/>
        </w:trPr>
        <w:tc>
          <w:tcPr>
            <w:tcW w:w="404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40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(15,437,752 )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(8,897,295 )</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(37,824,808 )</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(21,395,174 )</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(7,357,286 )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(4,759,379 )</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(18,988,262 )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(13,521,323 )</w:t>
            </w:r>
          </w:p>
        </w:tc>
      </w:tr>
      <w:tr>
        <w:trPr>
          <w:trHeight w:val="23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(2,535,747 )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(2,490,477 )</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(6,671,718 )</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(5,133,990 )</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(307,324 )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(2,325,762 )</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(2,012,770 )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(6,744,771 )</w:t>
            </w:r>
          </w:p>
        </w:tc>
      </w:tr>
      <w:tr>
        <w:trPr>
          <w:trHeight w:val="23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costs</w:t>
            </w:r>
          </w:p>
        </w:tc>
        <w:tc>
          <w:tcPr>
            <w:tcW w:w="1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(1,500,000 )</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(144,541 )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(62,869 )</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(366,042 )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(166,890 )</w:t>
            </w:r>
          </w:p>
        </w:tc>
      </w:tr>
      <w:tr>
        <w:trPr>
          <w:trHeight w:val="23"/>
        </w:trPr>
        <w:tc>
          <w:tcPr>
            <w:tcW w:w="40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(25,782,650 )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(18,535,782 )</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(67,363,600 )</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(46,962,148 )</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Research and development expenses are currently not capitalized but are recorded in the unaudited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30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28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For the nine months ended September 30,</w:t>
            </w:r>
          </w:p>
        </w:tc>
      </w:tr>
      <w:tr>
        <w:trPr>
          <w:trHeight w:val="223"/>
        </w:trPr>
        <w:tc>
          <w:tcPr>
            <w:tcW w:w="53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53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Personnel expenses (Note 5)</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(5,335,091 )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(3,529,687 )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(13,013,284 )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(10,265,614 )</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(2,222,064 )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(1,361,682 )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(5,555,020 )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(3,538,857 )</w:t>
            </w:r>
          </w:p>
        </w:tc>
      </w:tr>
      <w:tr>
        <w:trPr>
          <w:trHeight w:val="23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Facilities, communication &amp; office expenses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(1,632,564 )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(1,577,375 )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(4,779,786 )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(4,487,982 )</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(868,389 )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(327,050 )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(2,973,074 )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(1,224,364 )</w:t>
            </w:r>
          </w:p>
        </w:tc>
      </w:tr>
      <w:tr>
        <w:trPr>
          <w:trHeight w:val="23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Consulting fees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(13,999 )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(65,925 )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(873,475 )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(370,241 )</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Travel expenses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(656,615 )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(304,641 )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(1,679,755 )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(1,083,091 )</w:t>
            </w:r>
          </w:p>
        </w:tc>
      </w:tr>
      <w:tr>
        <w:trPr>
          <w:trHeight w:val="22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(1,390,901 )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(499,124 )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(4,358,139 )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(1,800,361 )</w:t>
            </w:r>
          </w:p>
        </w:tc>
      </w:tr>
      <w:tr>
        <w:trPr>
          <w:trHeight w:val="23"/>
        </w:trPr>
        <w:tc>
          <w:tcPr>
            <w:tcW w:w="5300" w:type="dxa"/>
            <w:vAlign w:val="bottom"/>
            <w:shd w:val="clear" w:color="auto" w:fill="CFF0FC"/>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30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(12,119,623 )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(7,665,484 )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(33,232,533 )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(22,770,510 )</w:t>
            </w:r>
          </w:p>
        </w:tc>
      </w:tr>
      <w:tr>
        <w:trPr>
          <w:trHeight w:val="20"/>
        </w:trPr>
        <w:tc>
          <w:tcPr>
            <w:tcW w:w="5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-179705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-179705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-179705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Since 2022, the Group entered into a number of short-term rental arrangements, the expenses are included in "Other expenses".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Depreciation expense in the nine months ended September 30, 2024 and 2023 was €0.2 million, respectively. The depreciation related to property, plant and equipment and leases and is included in the 'Other expenses' line. For the third quarter of 2024 a total of €0.2 million (2023: €0.1 million) depreciation charge was included in 'Other expenses'.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350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334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color w:val="auto"/>
              </w:rPr>
              <w:t>For the nine months ended September 30,</w:t>
            </w:r>
          </w:p>
        </w:tc>
      </w:tr>
      <w:tr>
        <w:trPr>
          <w:trHeight w:val="223"/>
        </w:trPr>
        <w:tc>
          <w:tcPr>
            <w:tcW w:w="4400" w:type="dxa"/>
            <w:vAlign w:val="bottom"/>
          </w:tcPr>
          <w:p>
            <w:pPr>
              <w:spacing w:after="0"/>
              <w:rPr>
                <w:sz w:val="19"/>
                <w:szCs w:val="19"/>
                <w:color w:val="auto"/>
              </w:rPr>
            </w:pPr>
          </w:p>
        </w:tc>
        <w:tc>
          <w:tcPr>
            <w:tcW w:w="21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44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Wages and salaries</w:t>
            </w: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(6,560,758 )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(4,605,929 )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(17,584,283 )</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(13,429,175 )</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charges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(391,057 )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(288,788 )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(1,142,972 )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(848,811 )</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social security charges</w:t>
            </w: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(658,871 )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(509,007 )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(1,904,297 )</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(1,323,795 )</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(5,081,691 )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(2,885,342 )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(11,369,994 )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(8,185,156 )</w:t>
            </w:r>
          </w:p>
        </w:tc>
      </w:tr>
      <w:tr>
        <w:trPr>
          <w:trHeight w:val="23"/>
        </w:trPr>
        <w:tc>
          <w:tcPr>
            <w:tcW w:w="440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0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(12,692,377 )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(8,289,066 )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(32,001,546 )</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(23,786,937 )</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nine months ended September 30, 2024 was 92 (2023: 70).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(expense)/income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32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30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For the nine months ended September 30,</w:t>
            </w:r>
          </w:p>
        </w:tc>
      </w:tr>
      <w:tr>
        <w:trPr>
          <w:trHeight w:val="223"/>
        </w:trPr>
        <w:tc>
          <w:tcPr>
            <w:tcW w:w="49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496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exchange differences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(5,545,458 )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2,687,200</w:t>
            </w: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(2,406,488 )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1,759,432</w:t>
            </w:r>
          </w:p>
        </w:tc>
        <w:tc>
          <w:tcPr>
            <w:tcW w:w="100" w:type="dxa"/>
            <w:vAlign w:val="bottom"/>
            <w:shd w:val="clear" w:color="auto" w:fill="CFF0FC"/>
          </w:tcPr>
          <w:p>
            <w:pPr>
              <w:spacing w:after="0"/>
              <w:rPr>
                <w:sz w:val="20"/>
                <w:szCs w:val="20"/>
                <w:color w:val="auto"/>
              </w:rPr>
            </w:pP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over bank balances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1,976,199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4,154,755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161,942</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finance expenses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(9,135 )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(4,833 )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(26,890 )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(15,026 )</w:t>
            </w:r>
          </w:p>
        </w:tc>
      </w:tr>
      <w:tr>
        <w:trPr>
          <w:trHeight w:val="23"/>
        </w:trPr>
        <w:tc>
          <w:tcPr>
            <w:tcW w:w="4960" w:type="dxa"/>
            <w:vAlign w:val="bottom"/>
            <w:shd w:val="clear" w:color="auto" w:fill="CFF0FC"/>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96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(3,578,394 )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2,748,943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1,721,377</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1,906,348</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-179070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-179070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-179070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7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For the three months ended September</w:t>
            </w: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For the nine months ended September</w:t>
            </w:r>
          </w:p>
        </w:tc>
      </w:tr>
      <w:tr>
        <w:trPr>
          <w:trHeight w:val="223"/>
        </w:trPr>
        <w:tc>
          <w:tcPr>
            <w:tcW w:w="580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0" w:type="dxa"/>
            <w:vAlign w:val="bottom"/>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58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(230,091 )</w:t>
            </w:r>
          </w:p>
        </w:tc>
        <w:tc>
          <w:tcPr>
            <w:tcW w:w="1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(146,273 )</w:t>
            </w:r>
          </w:p>
        </w:tc>
        <w:tc>
          <w:tcPr>
            <w:tcW w:w="13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(585,831 )</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(301,108 )</w:t>
            </w:r>
          </w:p>
        </w:tc>
      </w:tr>
      <w:tr>
        <w:trPr>
          <w:trHeight w:val="216"/>
        </w:trPr>
        <w:tc>
          <w:tcPr>
            <w:tcW w:w="58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(230,091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(146,273</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97"/>
              </w:rPr>
              <w:t>(585,831</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(301,108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tax expense over the three and nine months ended September 30, 2024 and 2023 relates to the Company's U.S. and Dutch subsidiaries as the result of a cost-plus agreement between the Company's principal entity and the U.S. and the Dutch subsidiaries, resulting in an estimated taxable profit in the U.S. and the Netherlands.</w:t>
      </w:r>
    </w:p>
    <w:p>
      <w:pPr>
        <w:spacing w:after="0" w:line="6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80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For the three months ended September</w:t>
            </w:r>
          </w:p>
        </w:tc>
        <w:tc>
          <w:tcPr>
            <w:tcW w:w="268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color w:val="auto"/>
              </w:rPr>
              <w:t>For the nine months ended</w:t>
            </w:r>
          </w:p>
        </w:tc>
      </w:tr>
      <w:tr>
        <w:trPr>
          <w:trHeight w:val="223"/>
        </w:trPr>
        <w:tc>
          <w:tcPr>
            <w:tcW w:w="57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4"/>
          </w:tcPr>
          <w:p>
            <w:pPr>
              <w:jc w:val="right"/>
              <w:ind w:right="900"/>
              <w:spacing w:after="0"/>
              <w:rPr>
                <w:sz w:val="20"/>
                <w:szCs w:val="20"/>
                <w:color w:val="auto"/>
              </w:rPr>
            </w:pPr>
            <w:r>
              <w:rPr>
                <w:rFonts w:ascii="Times New Roman" w:cs="Times New Roman" w:eastAsia="Times New Roman" w:hAnsi="Times New Roman"/>
                <w:sz w:val="16"/>
                <w:szCs w:val="16"/>
                <w:color w:val="auto"/>
              </w:rPr>
              <w:t>September 30,</w:t>
            </w:r>
          </w:p>
        </w:tc>
      </w:tr>
      <w:tr>
        <w:trPr>
          <w:trHeight w:val="223"/>
        </w:trPr>
        <w:tc>
          <w:tcPr>
            <w:tcW w:w="57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57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(41,480,667 )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(23,452,323 )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(98,874,756 )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(67,826,310 )</w:t>
            </w:r>
          </w:p>
        </w:tc>
      </w:tr>
      <w:tr>
        <w:trPr>
          <w:trHeight w:val="220"/>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against statutory rate in The Netherlands (25.8%)</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10,702,012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6,050,699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25,509,687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17,499,188</w:t>
            </w:r>
          </w:p>
        </w:tc>
        <w:tc>
          <w:tcPr>
            <w:tcW w:w="100" w:type="dxa"/>
            <w:vAlign w:val="bottom"/>
          </w:tcPr>
          <w:p>
            <w:pPr>
              <w:spacing w:after="0"/>
              <w:rPr>
                <w:sz w:val="19"/>
                <w:szCs w:val="19"/>
                <w:color w:val="auto"/>
              </w:rPr>
            </w:pPr>
          </w:p>
        </w:tc>
      </w:tr>
      <w:tr>
        <w:trPr>
          <w:trHeight w:val="23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tax rates in other countries</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(5,822,028 )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(3,264,971 )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(14,234,908 )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(9,645,509 )</w:t>
            </w:r>
          </w:p>
        </w:tc>
      </w:tr>
      <w:tr>
        <w:trPr>
          <w:trHeight w:val="220"/>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recognition effects</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(4,810,058 )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(2,830,006 )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(10,817,261 )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(7,819,144 )</w:t>
            </w:r>
          </w:p>
        </w:tc>
      </w:tr>
      <w:tr>
        <w:trPr>
          <w:trHeight w:val="23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(300,017 )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(101,995 )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(873,626 )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(335,643 )</w:t>
            </w:r>
          </w:p>
        </w:tc>
      </w:tr>
      <w:tr>
        <w:trPr>
          <w:trHeight w:val="220"/>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 period adjustments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(169,723 )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57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tax charge</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(230,091 )</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(146,273 )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(585,831 )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(301,108 )</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spacing w:after="0" w:line="7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(estimated) average annual tax rate used for the nine months ended September 30, 2024 was (0.6%), compared to (0.5%) for the nine months ended September 30, 2023.</w:t>
      </w:r>
    </w:p>
    <w:p>
      <w:pPr>
        <w:spacing w:after="0" w:line="48" w:lineRule="exact"/>
        <w:rPr>
          <w:sz w:val="20"/>
          <w:szCs w:val="20"/>
          <w:color w:val="auto"/>
        </w:rPr>
      </w:pPr>
    </w:p>
    <w:p>
      <w:pPr>
        <w:jc w:val="both"/>
        <w:ind w:right="780"/>
        <w:spacing w:after="0" w:line="266"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 The differences in the overseas tax rates are due to the lower tax rate in Switzerland compared to the statutory income tax rate in the Netherlands.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0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8. Property, plant and equipment</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book value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expenses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Cumulative depreciation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January 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Cumulative Costs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92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September 30, 2024</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0"/>
        </w:trPr>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229"/>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193,474</w:t>
            </w:r>
          </w:p>
        </w:tc>
        <w:tc>
          <w:tcPr>
            <w:tcW w:w="60" w:type="dxa"/>
            <w:vAlign w:val="bottom"/>
          </w:tcPr>
          <w:p>
            <w:pPr>
              <w:spacing w:after="0"/>
              <w:rPr>
                <w:sz w:val="19"/>
                <w:szCs w:val="19"/>
                <w:color w:val="auto"/>
              </w:rPr>
            </w:pPr>
          </w:p>
        </w:tc>
      </w:tr>
      <w:tr>
        <w:trPr>
          <w:trHeight w:val="229"/>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377,169</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90,051</w:t>
            </w:r>
          </w:p>
        </w:tc>
        <w:tc>
          <w:tcPr>
            <w:tcW w:w="60" w:type="dxa"/>
            <w:vAlign w:val="bottom"/>
          </w:tcPr>
          <w:p>
            <w:pPr>
              <w:spacing w:after="0"/>
              <w:rPr>
                <w:sz w:val="19"/>
                <w:szCs w:val="19"/>
                <w:color w:val="auto"/>
              </w:rPr>
            </w:pPr>
          </w:p>
        </w:tc>
      </w:tr>
      <w:tr>
        <w:trPr>
          <w:trHeight w:val="243"/>
        </w:trPr>
        <w:tc>
          <w:tcPr>
            <w:tcW w:w="1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(57,548 )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(59,847 )</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543,299</w:t>
            </w:r>
          </w:p>
        </w:tc>
        <w:tc>
          <w:tcPr>
            <w:tcW w:w="22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60" w:type="dxa"/>
            <w:vAlign w:val="bottom"/>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92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September 30, 2024</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0"/>
        </w:trPr>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229"/>
        </w:trPr>
        <w:tc>
          <w:tcPr>
            <w:tcW w:w="1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(125,373 )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(65,526 )</w:t>
            </w:r>
          </w:p>
        </w:tc>
      </w:tr>
      <w:tr>
        <w:trPr>
          <w:trHeight w:val="242"/>
        </w:trPr>
        <w:tc>
          <w:tcPr>
            <w:tcW w:w="1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(57,548 )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(59,847 )</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(182,921</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(125,373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30, 2024</w:t>
            </w:r>
          </w:p>
        </w:tc>
        <w:tc>
          <w:tcPr>
            <w:tcW w:w="2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c>
          <w:tcPr>
            <w:tcW w:w="60" w:type="dxa"/>
            <w:vAlign w:val="bottom"/>
          </w:tcPr>
          <w:p>
            <w:pPr>
              <w:spacing w:after="0"/>
              <w:rPr>
                <w:sz w:val="24"/>
                <w:szCs w:val="24"/>
                <w:color w:val="auto"/>
              </w:rPr>
            </w:pPr>
          </w:p>
        </w:tc>
      </w:tr>
      <w:tr>
        <w:trPr>
          <w:trHeight w:val="224"/>
        </w:trPr>
        <w:tc>
          <w:tcPr>
            <w:tcW w:w="192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349,051</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259,000</w:t>
            </w:r>
          </w:p>
        </w:tc>
        <w:tc>
          <w:tcPr>
            <w:tcW w:w="60" w:type="dxa"/>
            <w:vAlign w:val="bottom"/>
          </w:tcPr>
          <w:p>
            <w:pPr>
              <w:spacing w:after="0"/>
              <w:rPr>
                <w:sz w:val="21"/>
                <w:szCs w:val="21"/>
                <w:color w:val="auto"/>
              </w:rPr>
            </w:pPr>
          </w:p>
        </w:tc>
      </w:tr>
      <w:tr>
        <w:trPr>
          <w:trHeight w:val="242"/>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377,169</w:t>
            </w:r>
          </w:p>
        </w:tc>
        <w:tc>
          <w:tcPr>
            <w:tcW w:w="220" w:type="dxa"/>
            <w:vAlign w:val="bottom"/>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90,051</w:t>
            </w:r>
          </w:p>
        </w:tc>
        <w:tc>
          <w:tcPr>
            <w:tcW w:w="60" w:type="dxa"/>
            <w:vAlign w:val="bottom"/>
          </w:tcPr>
          <w:p>
            <w:pPr>
              <w:spacing w:after="0"/>
              <w:rPr>
                <w:sz w:val="21"/>
                <w:szCs w:val="21"/>
                <w:color w:val="auto"/>
              </w:rPr>
            </w:pPr>
          </w:p>
        </w:tc>
      </w:tr>
      <w:tr>
        <w:trPr>
          <w:trHeight w:val="223"/>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726,220</w:t>
            </w:r>
          </w:p>
        </w:tc>
        <w:tc>
          <w:tcPr>
            <w:tcW w:w="22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349,051</w:t>
            </w:r>
          </w:p>
        </w:tc>
        <w:tc>
          <w:tcPr>
            <w:tcW w:w="60" w:type="dxa"/>
            <w:vAlign w:val="bottom"/>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-2476500</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-1559560</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-633730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-2185670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-1268095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-325120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040"/>
          </w:cols>
          <w:pgMar w:left="320" w:top="1417" w:right="339" w:bottom="1440" w:gutter="0" w:footer="0" w:header="0"/>
        </w:sectPr>
      </w:pPr>
    </w:p>
    <w:p>
      <w:pPr>
        <w:spacing w:after="0" w:line="13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During the nine months ended September 30, 2024 and 2023, the Group acquired assets with a cost of €0.4 million, respectively. The acquisitions were mainly related to equipment, tools and installations.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Group’s right-of-use assets: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September 30,</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231,893</w:t>
            </w:r>
          </w:p>
        </w:tc>
        <w:tc>
          <w:tcPr>
            <w:tcW w:w="2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432,965</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w:t>
            </w: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(3,302 )</w:t>
            </w: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charges</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(121,056 )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(197,770 )</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transaction of foreign currency</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26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111,625</w:t>
            </w:r>
          </w:p>
        </w:tc>
        <w:tc>
          <w:tcPr>
            <w:tcW w:w="2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Group’s lease liabilities at September 30, 2024:</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8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September 30,</w:t>
            </w:r>
          </w:p>
        </w:tc>
        <w:tc>
          <w:tcPr>
            <w:tcW w:w="17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tcPr>
          <w:p>
            <w:pPr>
              <w:spacing w:after="0"/>
              <w:rPr>
                <w:sz w:val="19"/>
                <w:szCs w:val="19"/>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Office leases</w:t>
            </w:r>
          </w:p>
        </w:tc>
        <w:tc>
          <w:tcPr>
            <w:tcW w:w="188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(116,939 )</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(238,905 )</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Total lease liability</w:t>
            </w:r>
          </w:p>
        </w:tc>
        <w:tc>
          <w:tcPr>
            <w:tcW w:w="18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(116,939 )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(238,905 )</w:t>
            </w:r>
          </w:p>
        </w:tc>
      </w:tr>
      <w:tr>
        <w:trPr>
          <w:trHeight w:val="23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portion</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(99,439 )  —</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(195,341 )</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Non-current portion</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(17,500</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(43,564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Office leases consist of a lease entered into on December 1, 2022, for offices in Leiden, The Netherlands. The lease has a lease term of three years and was assessed as being long-term.</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the lease during the nine months ended September 30, 2024 and 2023, were €0.1 million, respectively.</w:t>
      </w:r>
    </w:p>
    <w:p>
      <w:pPr>
        <w:spacing w:after="0" w:line="11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During the nine months ended September 30, 2024, the Group derecognized an office lease that was entered into on June 1, 2021 for office space in Lexington, United States of America (the " U.S."). The term of the lease was for a</w:t>
      </w: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3" w:name="page34"/>
    <w:bookmarkEnd w:id="33"/>
    <w:p>
      <w:pPr>
        <w:spacing w:after="0" w:line="9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period of three years and terminated on June 1, 2024. Cash outflows related to the lease for the nine months ended September 30, 2024 and 2023, were €0.1 million,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tax receivable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2,084,773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615,538</w:t>
            </w:r>
          </w:p>
        </w:tc>
        <w:tc>
          <w:tcPr>
            <w:tcW w:w="100" w:type="dxa"/>
            <w:vAlign w:val="bottom"/>
            <w:shd w:val="clear" w:color="auto" w:fill="CFF0FC"/>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VAT receivables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645,392</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423,486</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2,730,165</w:t>
            </w:r>
          </w:p>
        </w:tc>
        <w:tc>
          <w:tcPr>
            <w:tcW w:w="2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1,039,024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current assets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Prepayments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4,353,384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4,959,889</w:t>
            </w:r>
          </w:p>
        </w:tc>
        <w:tc>
          <w:tcPr>
            <w:tcW w:w="100" w:type="dxa"/>
            <w:vAlign w:val="bottom"/>
            <w:shd w:val="clear" w:color="auto" w:fill="CFF0FC"/>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620,815</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4,353,384</w:t>
            </w:r>
          </w:p>
        </w:tc>
        <w:tc>
          <w:tcPr>
            <w:tcW w:w="2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5,580,704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research and development expenses and rent.</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Other assets as of December 31, 2023, primarily consisted of deferred transaction costs related to the Group’s in-process equity financing (refer to note 13). The Company deferred the transaction costs related to any in-process financing. Upon recognition of the equity instruments, the related transaction costs are deducted from share premium.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of cash in bank and are not subject to any restriction.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0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On September 30, 2024, the Company’s authorized share capital amounted to €14.1 million divided into 117,500,000 ordinary shares each with a nominal value of twelve eurocents (€0.12).</w:t>
      </w:r>
    </w:p>
    <w:p>
      <w:pPr>
        <w:spacing w:after="0" w:line="4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As of September 30, 2024 and December 31, 2023, the total number of issued and fully paid shares was 54,233,105 and 52,290,212, respectively. On September 30, 2024, the issued share capital totaled €6.5 million (2023: €4.9 million). On December 31, 2023, the issued share capital totaled €6.3 million.</w:t>
      </w:r>
    </w:p>
    <w:p>
      <w:pPr>
        <w:spacing w:after="0" w:line="23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with the Securities and Exchange Commission, allowing the Company to sell up to $350 million of its securities. This Registration Statement was supplemented by a prospectus supplement covering an at-the-market program providing for the sales from time to time of up to $75 million of its ordinary shares pursuant to a Sales Agreement with Leerink Partners.</w:t>
      </w:r>
    </w:p>
    <w:p>
      <w:pPr>
        <w:spacing w:after="0" w:line="6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As of September 30, 2024, the Company has sold a total of 593,927 ordinary shares under the sales agreement generating total net proceeds of $9.8 million (€9.3 million), after deducting $0.3 million (€0.3 million), which was payable to Leerink Partners as commission in respect of such sales. On April 12, 2024, the Company terminated the March 2022 sales agreement and entered into a new sales agreement with Leerink Partners (the “April 2024 Sales Agreement”), pursuant to which it may sell ordinary shares having an aggregate offering price of up to $175 million from time to time through Leerink Partners. In April 2024, the Company filed a Form F-3 ASR Registration Statement (the “F-3 ASR”) and prospectus with the Securities and Exchange Commission, allowing the Company to sell an unspecified amount of its securities. The F-3 ASR was supplemented by a prospectus supplement covering an at-the-market program providing for the sales from time to time of up to $175 million of its ordinary shares pursuant to the April 2024 Sales Agreement. As of September 30, 2024, the Company has not sold any securities under the April 2024 Sales Agreement.</w:t>
      </w:r>
    </w:p>
    <w:p>
      <w:pPr>
        <w:spacing w:after="0" w:line="7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(€64.2 million).</w:t>
      </w: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8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pre-funded warrants were exercised in January 2024 for gross exercise proceeds of $0.01 million and resulted in issuance of 1,375,000 ordinary shares.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86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9"/>
                <w:szCs w:val="19"/>
                <w:color w:val="auto"/>
              </w:rPr>
            </w:pPr>
          </w:p>
        </w:tc>
      </w:tr>
      <w:tr>
        <w:trPr>
          <w:trHeight w:val="223"/>
        </w:trPr>
        <w:tc>
          <w:tcPr>
            <w:tcW w:w="766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Number of shares</w:t>
            </w:r>
          </w:p>
        </w:tc>
        <w:tc>
          <w:tcPr>
            <w:tcW w:w="2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Number of shares</w:t>
            </w:r>
          </w:p>
        </w:tc>
        <w:tc>
          <w:tcPr>
            <w:tcW w:w="100" w:type="dxa"/>
            <w:vAlign w:val="bottom"/>
          </w:tcPr>
          <w:p>
            <w:pPr>
              <w:spacing w:after="0"/>
              <w:rPr>
                <w:sz w:val="19"/>
                <w:szCs w:val="19"/>
                <w:color w:val="auto"/>
              </w:rPr>
            </w:pPr>
          </w:p>
        </w:tc>
      </w:tr>
      <w:tr>
        <w:trPr>
          <w:trHeight w:val="22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54,233,105</w:t>
            </w:r>
          </w:p>
        </w:tc>
        <w:tc>
          <w:tcPr>
            <w:tcW w:w="26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52,290,212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54,233,105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52,290,212</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-179070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Trade and other payables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4,195,854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shd w:val="clear" w:color="auto" w:fill="CFF0FC"/>
          </w:tcPr>
          <w:p>
            <w:pPr>
              <w:spacing w:after="0"/>
              <w:rPr>
                <w:sz w:val="20"/>
                <w:szCs w:val="20"/>
                <w:color w:val="auto"/>
              </w:rPr>
            </w:pPr>
          </w:p>
        </w:tc>
      </w:tr>
      <w:tr>
        <w:trPr>
          <w:trHeight w:val="216"/>
        </w:trPr>
        <w:tc>
          <w:tcPr>
            <w:tcW w:w="766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4,195,854</w:t>
            </w:r>
          </w:p>
        </w:tc>
        <w:tc>
          <w:tcPr>
            <w:tcW w:w="26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2,115,556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351,064</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2,473,916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1,832,590</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1,777,044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2,079,900</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Nonclinical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722,094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493,907</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Personnel related accruals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4,617,614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5,892,087</w:t>
            </w:r>
          </w:p>
        </w:tc>
        <w:tc>
          <w:tcPr>
            <w:tcW w:w="100" w:type="dxa"/>
            <w:vAlign w:val="bottom"/>
            <w:shd w:val="clear" w:color="auto" w:fill="CFF0FC"/>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369,418</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417,962</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12,075,642</w:t>
            </w:r>
          </w:p>
        </w:tc>
        <w:tc>
          <w:tcPr>
            <w:tcW w:w="2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11,067,510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0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2023.</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0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Fair values of cash and cash equivalents, trade receivables, trade payables, and other current liabilities approximate their carrying amounts largely due to the short-term maturities of these instruments.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1980" w:type="dxa"/>
            <w:vAlign w:val="bottom"/>
            <w:gridSpan w:val="3"/>
          </w:tcPr>
          <w:p>
            <w:pPr>
              <w:ind w:left="1040"/>
              <w:spacing w:after="0"/>
              <w:rPr>
                <w:sz w:val="20"/>
                <w:szCs w:val="20"/>
                <w:color w:val="auto"/>
              </w:rPr>
            </w:pPr>
            <w:r>
              <w:rPr>
                <w:rFonts w:ascii="Times New Roman" w:cs="Times New Roman" w:eastAsia="Times New Roman" w:hAnsi="Times New Roman"/>
                <w:sz w:val="16"/>
                <w:szCs w:val="16"/>
                <w:color w:val="auto"/>
              </w:rPr>
              <w:t>Stock Options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RSUs</w:t>
            </w:r>
          </w:p>
        </w:tc>
      </w:tr>
      <w:tr>
        <w:trPr>
          <w:trHeight w:val="202"/>
        </w:trPr>
        <w:tc>
          <w:tcPr>
            <w:tcW w:w="65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Weighted</w:t>
            </w:r>
          </w:p>
        </w:tc>
        <w:tc>
          <w:tcPr>
            <w:tcW w:w="2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spacing w:after="0"/>
              <w:rPr>
                <w:sz w:val="17"/>
                <w:szCs w:val="17"/>
                <w:color w:val="auto"/>
              </w:rPr>
            </w:pPr>
          </w:p>
        </w:tc>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Outstanding</w:t>
            </w:r>
          </w:p>
        </w:tc>
        <w:tc>
          <w:tcPr>
            <w:tcW w:w="10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exercise</w:t>
            </w:r>
          </w:p>
        </w:tc>
        <w:tc>
          <w:tcPr>
            <w:tcW w:w="2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Outstanding</w:t>
            </w:r>
          </w:p>
        </w:tc>
      </w:tr>
      <w:tr>
        <w:trPr>
          <w:trHeight w:val="223"/>
        </w:trPr>
        <w:tc>
          <w:tcPr>
            <w:tcW w:w="6560" w:type="dxa"/>
            <w:vAlign w:val="bottom"/>
          </w:tcPr>
          <w:p>
            <w:pPr>
              <w:spacing w:after="0"/>
              <w:rPr>
                <w:sz w:val="19"/>
                <w:szCs w:val="19"/>
                <w:color w:val="auto"/>
              </w:rPr>
            </w:pPr>
          </w:p>
        </w:tc>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options</w:t>
            </w:r>
          </w:p>
        </w:tc>
        <w:tc>
          <w:tcPr>
            <w:tcW w:w="10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price</w:t>
            </w:r>
          </w:p>
        </w:tc>
        <w:tc>
          <w:tcPr>
            <w:tcW w:w="2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RSUs</w:t>
            </w:r>
          </w:p>
        </w:tc>
      </w:tr>
      <w:tr>
        <w:trPr>
          <w:trHeight w:val="220"/>
        </w:trPr>
        <w:tc>
          <w:tcPr>
            <w:tcW w:w="656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3,830,652</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1,033,814</w:t>
            </w:r>
          </w:p>
        </w:tc>
        <w:tc>
          <w:tcPr>
            <w:tcW w:w="100" w:type="dxa"/>
            <w:vAlign w:val="bottom"/>
            <w:shd w:val="clear" w:color="auto" w:fill="CFF0FC"/>
          </w:tcPr>
          <w:p>
            <w:pPr>
              <w:spacing w:after="0"/>
              <w:rPr>
                <w:sz w:val="20"/>
                <w:szCs w:val="20"/>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644,179</w:t>
            </w:r>
          </w:p>
        </w:tc>
        <w:tc>
          <w:tcPr>
            <w:tcW w:w="100" w:type="dxa"/>
            <w:vAlign w:val="bottom"/>
          </w:tcPr>
          <w:p>
            <w:pPr>
              <w:spacing w:after="0"/>
              <w:rPr>
                <w:sz w:val="19"/>
                <w:szCs w:val="19"/>
                <w:color w:val="auto"/>
              </w:rPr>
            </w:pPr>
          </w:p>
        </w:tc>
      </w:tr>
      <w:tr>
        <w:trPr>
          <w:trHeight w:val="23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Exercised (Vested and Settled)</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(426,224 )</w:t>
            </w: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(211,362 )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(177,837 )</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(154,784 )</w:t>
            </w:r>
          </w:p>
        </w:tc>
      </w:tr>
      <w:tr>
        <w:trPr>
          <w:trHeight w:val="263"/>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September 30, 2024</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4,086,591</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2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1,311,847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On April 11, 2024, a total of 70,000 stock options were granted to members of the Board of Directors with an exercise price of $22.31 per share with a final exercise date of April 11, 2034,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 April 11, 2024, a total of 485,000 stock options were granted to members of key management with an exercise price of $22.31 per share with a final exercise date of April 11,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 April 15, 2024 a total of 230,000 stock options were granted to a member of key management with an exercise price of $20.15 per share with a final exercise date of April 15,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On August 1, 2024 a total of 75,000 stock options were granted to a member of key management with an exercise price of $15.94 per share with a final exercise date of August 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2024, a total number of 2,346,733 stock options are exercisable (September 30, 2023: 2,116,819).</w:t>
      </w:r>
    </w:p>
    <w:p>
      <w:pPr>
        <w:spacing w:after="0" w:line="302"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color w:val="auto"/>
        </w:rPr>
        <w:t>The inputs and outputs used in the measurement of the fair value per option at each grant/ measurement date using the Black-Scholes formula (including the related number of options and the fair value of the options) were as follows:</w:t>
      </w:r>
    </w:p>
    <w:tbl>
      <w:tblPr>
        <w:tblLayout w:type="fixed"/>
        <w:tblInd w:w="0" w:type="dxa"/>
        <w:tblCellMar>
          <w:top w:w="0" w:type="dxa"/>
          <w:left w:w="0" w:type="dxa"/>
          <w:bottom w:w="0" w:type="dxa"/>
          <w:right w:w="0" w:type="dxa"/>
        </w:tblCellMar>
      </w:tblPr>
      <w:tr>
        <w:trPr>
          <w:trHeight w:val="191"/>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April 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April 11,</w:t>
            </w:r>
          </w:p>
        </w:tc>
      </w:tr>
      <w:tr>
        <w:trPr>
          <w:trHeight w:val="223"/>
        </w:trPr>
        <w:tc>
          <w:tcPr>
            <w:tcW w:w="5920" w:type="dxa"/>
            <w:vAlign w:val="bottom"/>
          </w:tcPr>
          <w:p>
            <w:pPr>
              <w:spacing w:after="0"/>
              <w:rPr>
                <w:sz w:val="19"/>
                <w:szCs w:val="19"/>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August 1, 2024</w:t>
            </w: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April 15, 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Number of options</w:t>
            </w:r>
          </w:p>
        </w:tc>
        <w:tc>
          <w:tcPr>
            <w:tcW w:w="4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3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the options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of the ordinary shares</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 (%)</w:t>
            </w:r>
          </w:p>
        </w:tc>
        <w:tc>
          <w:tcPr>
            <w:tcW w:w="4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9"/>
                <w:szCs w:val="19"/>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100 %</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100 %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4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9"/>
                <w:szCs w:val="19"/>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4.7 %</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4.7 %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4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During the nine months ended September 30, 2024 a total of 371,194 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During the nine months ended September 30, 2024, 249,650 RSUs were issued to existing and newly joining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w:t>
      </w:r>
    </w:p>
    <w:p>
      <w:pPr>
        <w:spacing w:after="0" w:line="7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During the nine months ended September 30, 2024, 23,335 RSUs were issued to members of the Board of Directors. The RSUs shall vest on the 12-month anniversary of the vesting start date.</w:t>
      </w:r>
    </w:p>
    <w:p>
      <w:pPr>
        <w:spacing w:after="0" w:line="35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35" w:right="299" w:bottom="1440" w:gutter="0" w:footer="0" w:header="0"/>
        </w:sectPr>
      </w:pPr>
    </w:p>
    <w:bookmarkStart w:id="36" w:name="page37"/>
    <w:bookmarkEnd w:id="36"/>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and share closing prices for grants during the first nine months of 2024 were: January 2 ($25.87), February 1 ($29.95), March 1 ($24.16), April 11 ($22.31), April 15 ($20.15), May 1 ($24.57), June 1 ($17.71), July 1 ($18.69), August 1 ($15.94) and September 3 ($17.55), respectively.</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For the nine months ended September 30, 2024, the Group recognized €11.4 million of share-based payment expense in the unaudited condensed consolidated statement of income or loss and other comprehensive income (nine months ended September 30, 2023: €8.2 million). For the three months ended September 30, 2024, the Group recognized €5.1 million of share-based payment expense in the unaudited condensed consolidated statement of income or loss and other comprehensive income (three months ended September 30, 2023: €2.9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0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and nine months ended September 30, 2024 and 2023.</w:t>
      </w:r>
    </w:p>
    <w:p>
      <w:pPr>
        <w:spacing w:after="0" w:line="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5060" w:type="dxa"/>
            <w:vAlign w:val="bottom"/>
          </w:tcPr>
          <w:p>
            <w:pPr>
              <w:spacing w:after="0"/>
              <w:rPr>
                <w:sz w:val="19"/>
                <w:szCs w:val="19"/>
                <w:color w:val="auto"/>
              </w:rPr>
            </w:pPr>
          </w:p>
        </w:tc>
        <w:tc>
          <w:tcPr>
            <w:tcW w:w="316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28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For the nine months ended September 30,</w:t>
            </w:r>
          </w:p>
        </w:tc>
      </w:tr>
      <w:tr>
        <w:trPr>
          <w:trHeight w:val="223"/>
        </w:trPr>
        <w:tc>
          <w:tcPr>
            <w:tcW w:w="50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506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(41,710,758 )</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(23,598,596 )</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(99,460,587 )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(68,127,418 )</w:t>
            </w:r>
          </w:p>
        </w:tc>
      </w:tr>
      <w:tr>
        <w:trPr>
          <w:trHeight w:val="22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54,069,979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40,909,957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53,919,736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36,455,922</w:t>
            </w:r>
          </w:p>
        </w:tc>
        <w:tc>
          <w:tcPr>
            <w:tcW w:w="100" w:type="dxa"/>
            <w:vAlign w:val="bottom"/>
          </w:tcPr>
          <w:p>
            <w:pPr>
              <w:spacing w:after="0"/>
              <w:rPr>
                <w:sz w:val="19"/>
                <w:szCs w:val="19"/>
                <w:color w:val="auto"/>
              </w:rPr>
            </w:pPr>
          </w:p>
        </w:tc>
      </w:tr>
      <w:tr>
        <w:trPr>
          <w:trHeight w:val="23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loss per share</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(0.77 )</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(0.58 )</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(1.87 )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Group’s contractual obligations and commitments as of September 30, 2024 amounted to €85.5 million, (December 31, 2023: €49 million) primarily related to research and development commitments.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September 30, 2024 and December 31, 2023.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0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3260" w:type="dxa"/>
            <w:vAlign w:val="bottom"/>
            <w:gridSpan w:val="4"/>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120" w:type="dxa"/>
            <w:vAlign w:val="bottom"/>
          </w:tcPr>
          <w:p>
            <w:pPr>
              <w:spacing w:after="0"/>
              <w:rPr>
                <w:sz w:val="17"/>
                <w:szCs w:val="17"/>
                <w:color w:val="auto"/>
              </w:rPr>
            </w:pP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For the nine months ended</w:t>
            </w:r>
          </w:p>
        </w:tc>
        <w:tc>
          <w:tcPr>
            <w:tcW w:w="0" w:type="dxa"/>
            <w:vAlign w:val="bottom"/>
          </w:tcPr>
          <w:p>
            <w:pPr>
              <w:spacing w:after="0"/>
              <w:rPr>
                <w:sz w:val="1"/>
                <w:szCs w:val="1"/>
                <w:color w:val="auto"/>
              </w:rPr>
            </w:pPr>
          </w:p>
        </w:tc>
      </w:tr>
      <w:tr>
        <w:trPr>
          <w:trHeight w:val="102"/>
        </w:trPr>
        <w:tc>
          <w:tcPr>
            <w:tcW w:w="5180" w:type="dxa"/>
            <w:vAlign w:val="bottom"/>
          </w:tcPr>
          <w:p>
            <w:pPr>
              <w:spacing w:after="0"/>
              <w:rPr>
                <w:sz w:val="8"/>
                <w:szCs w:val="8"/>
                <w:color w:val="auto"/>
              </w:rPr>
            </w:pPr>
          </w:p>
        </w:tc>
        <w:tc>
          <w:tcPr>
            <w:tcW w:w="32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color w:val="auto"/>
              </w:rPr>
              <w:t>September 30,</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18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auto"/>
            </w:tcBorders>
            <w:gridSpan w:val="3"/>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Pr>
          <w:p>
            <w:pPr>
              <w:spacing w:after="0"/>
              <w:rPr>
                <w:sz w:val="19"/>
                <w:szCs w:val="19"/>
                <w:color w:val="auto"/>
              </w:rPr>
            </w:pPr>
          </w:p>
        </w:tc>
        <w:tc>
          <w:tcPr>
            <w:tcW w:w="134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spacing w:after="0"/>
              <w:rPr>
                <w:sz w:val="19"/>
                <w:szCs w:val="19"/>
                <w:color w:val="auto"/>
              </w:rPr>
            </w:pPr>
          </w:p>
        </w:tc>
        <w:tc>
          <w:tcPr>
            <w:tcW w:w="1200" w:type="dxa"/>
            <w:vAlign w:val="bottom"/>
            <w:tcBorders>
              <w:top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employee benefits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1,509,102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1,111,573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4,171,088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3,287,755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 employee benefits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101,198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49,582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3,101,495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1,379,966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6,502,415</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4,604,754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4,711,795</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2,541,121</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10,900,890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8,035,612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Refer to note 18 for disclosures on the share-based payments related to RSUs and Options granted to key management during the three and nine months ended September 30, 2024.</w:t>
      </w:r>
    </w:p>
    <w:p>
      <w:pPr>
        <w:spacing w:after="0" w:line="358"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Group engages two management entities for the purpose of providing key management services to the Group. These management entities are considered related parties, as they provide key management services and key management personnel which have key management functions within these entities. Certain key management personnel are also shareholders of the Company.</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aggregate amount of expense recognized in the unaudited condensed consolidated interim financial statements related to these related parties were €0.3 million and €0.6 million in the three and nine months ended September 30, 2024 (2023: €0.2 million; €0.8 million), respectively.</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outstanding balances payable to key management personnel, or entities which they control, as at the nine months ended September 30, 2024 and December 31, 2023, were €1.2 million and €1.4 million, respectively.</w:t>
      </w: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38" w:name="page39"/>
    <w:bookmarkEnd w:id="38"/>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Morgan Conn, Ph.D., Chief Business Officer, resigned from the Company effective October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9" w:name="page40"/>
    <w:bookmarkEnd w:id="39"/>
    <w:p>
      <w:pPr>
        <w:spacing w:after="0" w:line="85" w:lineRule="exact"/>
        <w:rPr>
          <w:sz w:val="20"/>
          <w:szCs w:val="20"/>
          <w:color w:val="auto"/>
        </w:rPr>
      </w:pPr>
    </w:p>
    <w:p>
      <w:pPr>
        <w:ind w:right="3119"/>
        <w:spacing w:after="0" w:line="443"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November 13,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B.A.E. Modig</w:t>
      </w:r>
      <w:r>
        <w:rPr>
          <w:sz w:val="20"/>
          <w:szCs w:val="20"/>
          <w:color w:val="auto"/>
        </w:rPr>
        <w:tab/>
      </w:r>
      <w:r>
        <w:rPr>
          <w:rFonts w:ascii="Arial" w:cs="Arial" w:eastAsia="Arial" w:hAnsi="Arial"/>
          <w:sz w:val="17"/>
          <w:szCs w:val="17"/>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E. Björk</w:t>
      </w:r>
      <w:r>
        <w:rPr>
          <w:sz w:val="20"/>
          <w:szCs w:val="20"/>
          <w:color w:val="auto"/>
        </w:rPr>
        <w:tab/>
      </w:r>
      <w:r>
        <w:rPr>
          <w:rFonts w:ascii="Arial" w:cs="Arial" w:eastAsia="Arial" w:hAnsi="Arial"/>
          <w:sz w:val="17"/>
          <w:szCs w:val="17"/>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D.P. Meeker</w:t>
      </w:r>
      <w:r>
        <w:rPr>
          <w:sz w:val="20"/>
          <w:szCs w:val="20"/>
          <w:color w:val="auto"/>
        </w:rPr>
        <w:tab/>
      </w:r>
      <w:r>
        <w:rPr>
          <w:rFonts w:ascii="Arial" w:cs="Arial" w:eastAsia="Arial" w:hAnsi="Arial"/>
          <w:sz w:val="17"/>
          <w:szCs w:val="17"/>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2024-11-13T15:28:42Z</dcterms:created>
  <dcterms:modified xsi:type="dcterms:W3CDTF">2024-11-13T15:28:42Z</dcterms:modified>
</cp:coreProperties>
</file>