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32470dfwp.htm"/>
      <w:bookmarkStart w:id="1" w:name="ksd932470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July 22, 2025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July 22,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333-278650 </w:t>
      </w:r>
    </w:p>
    <w:p>
      <w:pPr>
        <w:pStyle w:val="TextBody"/>
        <w:bidi w:val="0"/>
        <w:spacing w:before="240" w:after="0"/>
        <w:jc w:val="center"/>
        <w:rPr>
          <w:rFonts w:ascii="Times New Roman" w:hAnsi="Times New Roman"/>
          <w:b/>
          <w:sz w:val="32"/>
        </w:rPr>
      </w:pPr>
      <w:r>
        <w:rPr>
          <w:rFonts w:ascii="Times New Roman" w:hAnsi="Times New Roman"/>
          <w:b/>
          <w:sz w:val="32"/>
        </w:rPr>
        <w:t xml:space="preserve">$175,000,000 ordinary shares </w:t>
      </w:r>
    </w:p>
    <w:p>
      <w:pPr>
        <w:pStyle w:val="TextBody"/>
        <w:bidi w:val="0"/>
        <w:spacing w:before="0" w:after="0"/>
        <w:jc w:val="center"/>
        <w:rPr>
          <w:rFonts w:ascii="Times New Roman" w:hAnsi="Times New Roman"/>
          <w:b/>
          <w:sz w:val="32"/>
        </w:rPr>
      </w:pPr>
      <w:r>
        <w:rPr>
          <w:rFonts w:ascii="Times New Roman" w:hAnsi="Times New Roman"/>
          <w:b/>
          <w:sz w:val="32"/>
        </w:rPr>
        <w:t xml:space="preserve">pre-funded warrants to purchase up to  ordinary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193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400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public offering described below and should be read together with the preliminary prospectus supplement dated July 22, 2025, or the Preliminary Prospectus Supplement, including the documents incorporated by reference therein, and the accompanying base prospectus. This free writing prospectus supplements the Preliminary Prospectus Supplement and, to the extent inconsistent, supersedes the information in the Preliminary Prospectus Supplement. This free writing prospectus supplements the Preliminary Prospectus Supplement primarily to reflect the addition of certain pre-funded warrants, and the ordinary shares issuable upon the exercise of such pre-funded warrants, to the securities being offered by Pharvaris N.V. Except as otherwise indicated, all information in this free writing prospectus and the Preliminary Prospectus Supplement assumes no exercise of outstanding options or warrants, no settlement of outstanding restricted stock units, no exercise of the underwriters option to purchase additional shares of our ordinary shares and no exercise of the pre-funded warrants included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is qualified in its entirety by reference to the Preliminary Prospectus Supplement, including the documents incorporated by reference therein, and the accompanying base prospectus.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including the documents incorporated by reference therein, and the accompanying base prospectus, before making a decision in connection with an investment in the securities. Capitalized terms used in this free writing prospectus but not defined have the meanings given to them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1"/>
        <w:gridCol w:w="122"/>
        <w:gridCol w:w="7372"/>
      </w:tblGrid>
      <w:tr>
        <w:trPr/>
        <w:tc>
          <w:tcPr>
            <w:tcW w:w="27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72" w:type="dxa"/>
            <w:tcBorders/>
            <w:vAlign w:val="center"/>
          </w:tcPr>
          <w:p>
            <w:pPr>
              <w:pStyle w:val="TableContents"/>
              <w:bidi w:val="0"/>
              <w:spacing w:before="0" w:after="283"/>
              <w:jc w:val="left"/>
              <w:rPr>
                <w:sz w:val="4"/>
                <w:szCs w:val="4"/>
              </w:rPr>
            </w:pPr>
            <w:r>
              <w:rPr>
                <w:sz w:val="4"/>
                <w:szCs w:val="4"/>
              </w:rPr>
            </w:r>
          </w:p>
        </w:tc>
      </w:tr>
      <w:tr>
        <w:trPr/>
        <w:tc>
          <w:tcPr>
            <w:tcW w:w="2711" w:type="dxa"/>
            <w:tcBorders/>
          </w:tcPr>
          <w:p>
            <w:pPr>
              <w:pStyle w:val="TableContents"/>
              <w:bidi w:val="0"/>
              <w:spacing w:before="0" w:after="283"/>
              <w:jc w:val="left"/>
              <w:rPr/>
            </w:pPr>
            <w:r>
              <w:rPr/>
              <w:t>Ordinary shares Offered by us:</w:t>
            </w:r>
          </w:p>
        </w:tc>
        <w:tc>
          <w:tcPr>
            <w:tcW w:w="122"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283"/>
              <w:jc w:val="left"/>
              <w:rPr/>
            </w:pPr>
            <w:r>
              <w:rPr/>
              <w:t>$175.0 million of ordinary shares</w:t>
            </w:r>
          </w:p>
        </w:tc>
      </w:tr>
      <w:tr>
        <w:trPr>
          <w:trHeight w:val="120" w:hRule="atLeast"/>
        </w:trPr>
        <w:tc>
          <w:tcPr>
            <w:tcW w:w="2711" w:type="dxa"/>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r>
      <w:tr>
        <w:trPr/>
        <w:tc>
          <w:tcPr>
            <w:tcW w:w="2711" w:type="dxa"/>
            <w:tcBorders/>
          </w:tcPr>
          <w:p>
            <w:pPr>
              <w:pStyle w:val="TableContents"/>
              <w:bidi w:val="0"/>
              <w:spacing w:before="0" w:after="283"/>
              <w:jc w:val="left"/>
              <w:rPr/>
            </w:pPr>
            <w:r>
              <w:rPr/>
              <w:t>Pre-funded warrants offered by us:</w:t>
            </w:r>
          </w:p>
        </w:tc>
        <w:tc>
          <w:tcPr>
            <w:tcW w:w="122" w:type="dxa"/>
            <w:tcBorders/>
            <w:vAlign w:val="bottom"/>
          </w:tcPr>
          <w:p>
            <w:pPr>
              <w:pStyle w:val="TableContents"/>
              <w:bidi w:val="0"/>
              <w:spacing w:before="0" w:after="283"/>
              <w:jc w:val="left"/>
              <w:rPr/>
            </w:pPr>
            <w:r>
              <w:rPr/>
              <w:t>  </w:t>
            </w:r>
          </w:p>
        </w:tc>
        <w:tc>
          <w:tcPr>
            <w:tcW w:w="7372" w:type="dxa"/>
            <w:tcBorders/>
          </w:tcPr>
          <w:p>
            <w:pPr>
              <w:pStyle w:val="TableContents"/>
              <w:bidi w:val="0"/>
              <w:spacing w:before="0" w:after="0"/>
              <w:jc w:val="left"/>
              <w:rPr>
                <w:rFonts w:ascii="Times New Roman" w:hAnsi="Times New Roman"/>
                <w:sz w:val="20"/>
              </w:rPr>
            </w:pPr>
            <w:r>
              <w:rPr>
                <w:rFonts w:ascii="Times New Roman" w:hAnsi="Times New Roman"/>
                <w:sz w:val="20"/>
              </w:rPr>
              <w:t>We are also offering to one investor, in lieu of ordinary shares, pre-funded warrants to purchase ordinary shares. The purchase price of each pre-funded warrant will equal the price per share at which the ordinary shares are being sold to the public in this offering, minus $0.01, which is the exercise price of each pre-funded warrant. The pre-funded warrants do not expire, and each pre-funded warrant will be exercisable at any time after the date of issuance until the date the warrant is exercised in full, subject to an ownership limitation and in some cases clearance under the Hart-Scott-Rodino Antitrust Improvements Act of 1976, as amended, or the HSR Act. See Description of pre-funded warrants for additional information. This free writing prospectus and the Preliminary Prospectus Supplement also relate to the offering of the ordinary shares issuable upon the exercise of such pre-funded warrants.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lock-up restrictions described in the Preliminary Prospectus Supplement under Underwriting will not apply to the issuance of ordinary shares upon the exercise of the pre-funded warrants during the 90-day period following the date of the final prospectus supplement to be filed in connection with this offering.</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553"/>
        <w:gridCol w:w="120"/>
        <w:gridCol w:w="7532"/>
      </w:tblGrid>
      <w:tr>
        <w:trPr/>
        <w:tc>
          <w:tcPr>
            <w:tcW w:w="25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553" w:type="dxa"/>
            <w:tcBorders/>
          </w:tcPr>
          <w:p>
            <w:pPr>
              <w:pStyle w:val="TableContents"/>
              <w:bidi w:val="0"/>
              <w:spacing w:before="0" w:after="283"/>
              <w:jc w:val="left"/>
              <w:rPr/>
            </w:pPr>
            <w:r>
              <w:rPr/>
              <w:t>Underwriters option to Purchase Additional Ordinary Shares</w:t>
            </w:r>
          </w:p>
        </w:tc>
        <w:tc>
          <w:tcPr>
            <w:tcW w:w="120" w:type="dxa"/>
            <w:tcBorders/>
            <w:vAlign w:val="bottom"/>
          </w:tcPr>
          <w:p>
            <w:pPr>
              <w:pStyle w:val="TableContents"/>
              <w:bidi w:val="0"/>
              <w:spacing w:before="0" w:after="283"/>
              <w:jc w:val="left"/>
              <w:rPr/>
            </w:pPr>
            <w:r>
              <w:rPr/>
              <w:t>  </w:t>
            </w:r>
          </w:p>
        </w:tc>
        <w:tc>
          <w:tcPr>
            <w:tcW w:w="7532" w:type="dxa"/>
            <w:tcBorders/>
          </w:tcPr>
          <w:p>
            <w:pPr>
              <w:pStyle w:val="TableContents"/>
              <w:bidi w:val="0"/>
              <w:spacing w:before="0" w:after="283"/>
              <w:jc w:val="left"/>
              <w:rPr/>
            </w:pPr>
            <w:r>
              <w:rPr/>
              <w:t>We have granted the underwriters an option to purchase up to an additional $22,500,000 of ordinary shares from us, at the public offering price, less the underwriting discounts and commissions, for a period of 30 days after the date of this prospectus supplement.</w:t>
            </w:r>
          </w:p>
        </w:tc>
      </w:tr>
      <w:tr>
        <w:trPr>
          <w:trHeight w:val="120" w:hRule="atLeast"/>
        </w:trPr>
        <w:tc>
          <w:tcPr>
            <w:tcW w:w="2553" w:type="dxa"/>
            <w:tcBorders/>
            <w:vAlign w:val="center"/>
          </w:tcPr>
          <w:p>
            <w:pPr>
              <w:pStyle w:val="TableContents"/>
              <w:bidi w:val="0"/>
              <w:spacing w:before="0" w:after="283"/>
              <w:jc w:val="left"/>
              <w:rPr>
                <w:sz w:val="4"/>
                <w:szCs w:val="4"/>
              </w:rPr>
            </w:pPr>
            <w:r>
              <w:rPr>
                <w:sz w:val="4"/>
                <w:szCs w:val="4"/>
              </w:rPr>
            </w:r>
          </w:p>
        </w:tc>
        <w:tc>
          <w:tcPr>
            <w:tcW w:w="7652" w:type="dxa"/>
            <w:gridSpan w:val="2"/>
            <w:tcBorders/>
            <w:vAlign w:val="center"/>
          </w:tcPr>
          <w:p>
            <w:pPr>
              <w:pStyle w:val="TableContents"/>
              <w:bidi w:val="0"/>
              <w:spacing w:before="0" w:after="283"/>
              <w:jc w:val="left"/>
              <w:rPr>
                <w:sz w:val="4"/>
                <w:szCs w:val="4"/>
              </w:rPr>
            </w:pPr>
            <w:r>
              <w:rPr>
                <w:sz w:val="4"/>
                <w:szCs w:val="4"/>
              </w:rPr>
            </w:r>
          </w:p>
        </w:tc>
      </w:tr>
      <w:tr>
        <w:trPr/>
        <w:tc>
          <w:tcPr>
            <w:tcW w:w="2553" w:type="dxa"/>
            <w:tcBorders/>
          </w:tcPr>
          <w:p>
            <w:pPr>
              <w:pStyle w:val="TableContents"/>
              <w:bidi w:val="0"/>
              <w:spacing w:before="0" w:after="283"/>
              <w:jc w:val="left"/>
              <w:rPr/>
            </w:pPr>
            <w:r>
              <w:rPr/>
              <w:t>Ordinary shares to be outstanding after this offering</w:t>
            </w:r>
          </w:p>
        </w:tc>
        <w:tc>
          <w:tcPr>
            <w:tcW w:w="120" w:type="dxa"/>
            <w:tcBorders/>
            <w:vAlign w:val="bottom"/>
          </w:tcPr>
          <w:p>
            <w:pPr>
              <w:pStyle w:val="TableContents"/>
              <w:bidi w:val="0"/>
              <w:spacing w:before="0" w:after="283"/>
              <w:jc w:val="left"/>
              <w:rPr/>
            </w:pPr>
            <w:r>
              <w:rPr/>
              <w:t>  </w:t>
            </w:r>
          </w:p>
        </w:tc>
        <w:tc>
          <w:tcPr>
            <w:tcW w:w="7532" w:type="dxa"/>
            <w:tcBorders/>
          </w:tcPr>
          <w:p>
            <w:pPr>
              <w:pStyle w:val="TableContents"/>
              <w:bidi w:val="0"/>
              <w:spacing w:before="0" w:after="283"/>
              <w:jc w:val="left"/>
              <w:rPr/>
            </w:pPr>
            <w:r>
              <w:rPr/>
              <w:t>  </w:t>
            </w:r>
            <w:r>
              <w:rPr/>
              <w:t>ordinary shares, or   ordinary shares if the underwriters exercise their option to purchase additional ordinary shares in full, in each case excluding any ordinary shares issuable upon exercise of the pre-funded warrants.</w:t>
            </w:r>
          </w:p>
        </w:tc>
      </w:tr>
      <w:tr>
        <w:trPr>
          <w:trHeight w:val="120" w:hRule="atLeast"/>
        </w:trPr>
        <w:tc>
          <w:tcPr>
            <w:tcW w:w="2553" w:type="dxa"/>
            <w:tcBorders/>
            <w:vAlign w:val="center"/>
          </w:tcPr>
          <w:p>
            <w:pPr>
              <w:pStyle w:val="TableContents"/>
              <w:bidi w:val="0"/>
              <w:spacing w:before="0" w:after="283"/>
              <w:jc w:val="left"/>
              <w:rPr>
                <w:sz w:val="4"/>
                <w:szCs w:val="4"/>
              </w:rPr>
            </w:pPr>
            <w:r>
              <w:rPr>
                <w:sz w:val="4"/>
                <w:szCs w:val="4"/>
              </w:rPr>
            </w:r>
          </w:p>
        </w:tc>
        <w:tc>
          <w:tcPr>
            <w:tcW w:w="7652" w:type="dxa"/>
            <w:gridSpan w:val="2"/>
            <w:tcBorders/>
            <w:vAlign w:val="center"/>
          </w:tcPr>
          <w:p>
            <w:pPr>
              <w:pStyle w:val="TableContents"/>
              <w:bidi w:val="0"/>
              <w:spacing w:before="0" w:after="283"/>
              <w:jc w:val="left"/>
              <w:rPr>
                <w:sz w:val="4"/>
                <w:szCs w:val="4"/>
              </w:rPr>
            </w:pPr>
            <w:r>
              <w:rPr>
                <w:sz w:val="4"/>
                <w:szCs w:val="4"/>
              </w:rPr>
            </w:r>
          </w:p>
        </w:tc>
      </w:tr>
      <w:tr>
        <w:trPr/>
        <w:tc>
          <w:tcPr>
            <w:tcW w:w="2553"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7532" w:type="dxa"/>
            <w:tcBorders/>
          </w:tcPr>
          <w:p>
            <w:pPr>
              <w:pStyle w:val="TableContents"/>
              <w:bidi w:val="0"/>
              <w:spacing w:before="0" w:after="283"/>
              <w:jc w:val="left"/>
              <w:rPr/>
            </w:pPr>
            <w:r>
              <w:rPr/>
              <w:t>We intend to use the net proceeds of this offering primarily to fund research and development expenses for our late-stage clinical programs, the hiring of a sales and marketing team in the U.S. and related commercialization expenses, and for working capital and general corporate purposes. See Use of proceeds for additional information.</w:t>
            </w:r>
          </w:p>
        </w:tc>
      </w:tr>
      <w:tr>
        <w:trPr>
          <w:trHeight w:val="120" w:hRule="atLeast"/>
        </w:trPr>
        <w:tc>
          <w:tcPr>
            <w:tcW w:w="2553" w:type="dxa"/>
            <w:tcBorders/>
            <w:vAlign w:val="center"/>
          </w:tcPr>
          <w:p>
            <w:pPr>
              <w:pStyle w:val="TableContents"/>
              <w:bidi w:val="0"/>
              <w:spacing w:before="0" w:after="283"/>
              <w:jc w:val="left"/>
              <w:rPr>
                <w:sz w:val="4"/>
                <w:szCs w:val="4"/>
              </w:rPr>
            </w:pPr>
            <w:r>
              <w:rPr>
                <w:sz w:val="4"/>
                <w:szCs w:val="4"/>
              </w:rPr>
            </w:r>
          </w:p>
        </w:tc>
        <w:tc>
          <w:tcPr>
            <w:tcW w:w="7652" w:type="dxa"/>
            <w:gridSpan w:val="2"/>
            <w:tcBorders/>
            <w:vAlign w:val="center"/>
          </w:tcPr>
          <w:p>
            <w:pPr>
              <w:pStyle w:val="TableContents"/>
              <w:bidi w:val="0"/>
              <w:spacing w:before="0" w:after="283"/>
              <w:jc w:val="left"/>
              <w:rPr>
                <w:sz w:val="4"/>
                <w:szCs w:val="4"/>
              </w:rPr>
            </w:pPr>
            <w:r>
              <w:rPr>
                <w:sz w:val="4"/>
                <w:szCs w:val="4"/>
              </w:rPr>
            </w:r>
          </w:p>
        </w:tc>
      </w:tr>
      <w:tr>
        <w:trPr/>
        <w:tc>
          <w:tcPr>
            <w:tcW w:w="2553" w:type="dxa"/>
            <w:tcBorders/>
          </w:tcPr>
          <w:p>
            <w:pPr>
              <w:pStyle w:val="TableContents"/>
              <w:bidi w:val="0"/>
              <w:spacing w:before="0" w:after="283"/>
              <w:jc w:val="left"/>
              <w:rPr/>
            </w:pPr>
            <w:r>
              <w:rPr/>
              <w:t>Risk Factors</w:t>
            </w:r>
          </w:p>
        </w:tc>
        <w:tc>
          <w:tcPr>
            <w:tcW w:w="120" w:type="dxa"/>
            <w:tcBorders/>
            <w:vAlign w:val="bottom"/>
          </w:tcPr>
          <w:p>
            <w:pPr>
              <w:pStyle w:val="TableContents"/>
              <w:bidi w:val="0"/>
              <w:spacing w:before="0" w:after="283"/>
              <w:jc w:val="left"/>
              <w:rPr/>
            </w:pPr>
            <w:r>
              <w:rPr/>
              <w:t>  </w:t>
            </w:r>
          </w:p>
        </w:tc>
        <w:tc>
          <w:tcPr>
            <w:tcW w:w="7532" w:type="dxa"/>
            <w:tcBorders/>
          </w:tcPr>
          <w:p>
            <w:pPr>
              <w:pStyle w:val="TableContents"/>
              <w:bidi w:val="0"/>
              <w:spacing w:before="0" w:after="283"/>
              <w:jc w:val="left"/>
              <w:rPr/>
            </w:pPr>
            <w:r>
              <w:rPr/>
              <w:t>Your investment involves a high degree of risk. See Risk factors below, as well as Risk factors beginning on page S-5 of the Preliminary Prospectus Supplement and other information included and incorporated by reference in the Preliminary Prospectus Supplement and the accompanying prospectus, for a discussion of factors that you should carefully consider before deciding to invest in our securities.</w:t>
            </w:r>
          </w:p>
        </w:tc>
      </w:tr>
      <w:tr>
        <w:trPr>
          <w:trHeight w:val="120" w:hRule="atLeast"/>
        </w:trPr>
        <w:tc>
          <w:tcPr>
            <w:tcW w:w="2553" w:type="dxa"/>
            <w:tcBorders/>
            <w:vAlign w:val="center"/>
          </w:tcPr>
          <w:p>
            <w:pPr>
              <w:pStyle w:val="TableContents"/>
              <w:bidi w:val="0"/>
              <w:spacing w:before="0" w:after="283"/>
              <w:jc w:val="left"/>
              <w:rPr>
                <w:sz w:val="4"/>
                <w:szCs w:val="4"/>
              </w:rPr>
            </w:pPr>
            <w:r>
              <w:rPr>
                <w:sz w:val="4"/>
                <w:szCs w:val="4"/>
              </w:rPr>
            </w:r>
          </w:p>
        </w:tc>
        <w:tc>
          <w:tcPr>
            <w:tcW w:w="7652" w:type="dxa"/>
            <w:gridSpan w:val="2"/>
            <w:tcBorders/>
            <w:vAlign w:val="center"/>
          </w:tcPr>
          <w:p>
            <w:pPr>
              <w:pStyle w:val="TableContents"/>
              <w:bidi w:val="0"/>
              <w:spacing w:before="0" w:after="283"/>
              <w:jc w:val="left"/>
              <w:rPr>
                <w:sz w:val="4"/>
                <w:szCs w:val="4"/>
              </w:rPr>
            </w:pPr>
            <w:r>
              <w:rPr>
                <w:sz w:val="4"/>
                <w:szCs w:val="4"/>
              </w:rPr>
            </w:r>
          </w:p>
        </w:tc>
      </w:tr>
      <w:tr>
        <w:trPr/>
        <w:tc>
          <w:tcPr>
            <w:tcW w:w="2553" w:type="dxa"/>
            <w:tcBorders/>
          </w:tcPr>
          <w:p>
            <w:pPr>
              <w:pStyle w:val="TableContents"/>
              <w:bidi w:val="0"/>
              <w:spacing w:before="0" w:after="283"/>
              <w:jc w:val="left"/>
              <w:rPr/>
            </w:pPr>
            <w:r>
              <w:rPr/>
              <w:t>The Nasdaq Global Select Market Symbol</w:t>
            </w:r>
          </w:p>
        </w:tc>
        <w:tc>
          <w:tcPr>
            <w:tcW w:w="120" w:type="dxa"/>
            <w:tcBorders/>
            <w:vAlign w:val="bottom"/>
          </w:tcPr>
          <w:p>
            <w:pPr>
              <w:pStyle w:val="TableContents"/>
              <w:bidi w:val="0"/>
              <w:spacing w:before="0" w:after="283"/>
              <w:jc w:val="left"/>
              <w:rPr/>
            </w:pPr>
            <w:r>
              <w:rPr/>
              <w:t>  </w:t>
            </w:r>
          </w:p>
        </w:tc>
        <w:tc>
          <w:tcPr>
            <w:tcW w:w="7532" w:type="dxa"/>
            <w:tcBorders/>
          </w:tcPr>
          <w:p>
            <w:pPr>
              <w:pStyle w:val="TableContents"/>
              <w:bidi w:val="0"/>
              <w:spacing w:before="0" w:after="283"/>
              <w:jc w:val="left"/>
              <w:rPr/>
            </w:pPr>
            <w:r>
              <w:rPr/>
              <w:t>PHVS. We do not intend to list the pre-funded warrants on The Nasdaq Global Select Market or any other national securities exchange or nationally recognized trading system. Without an active market, the liquidity of the pre-funded warrants will be limited.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our ordinary shares to be outstanding after this offering is based on our ordinary shares outstanding as of March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4,263,286 million of our ordinary shares issuable upon the exercise of options outstanding as of March 31, 2025, at a weighted-average exercise price of $9.22 per ordinary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1,837,441 million ordinary shares issuable upon vesting of restricted stock units under our equity incentive plan as of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all information contained in this prospectus supplement reflects and assumes no exercise of the outstanding options or settlement of the outstanding restricted stock units referred to above after March 31, 2025, no exercise by the underwriters of their option to purchase up to an additional $22,500,000 of ordinary shares in this offering and no exercise of the pre-funded warrants offered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ordinary shares or pre-funded warrants in this offering, you will suffer immediate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our ordinary shares or pre-funded warrants in this offering, you will incur immediate and substantial dilution in the as adjusted net tangible book value of your securities because the price that you pay will be substantially greater than the net tangible book value per share of the securities you acquire. This dilution is due to our investors who purchased our ordinary shares prior to this offering having paid substantially less when they purchased their shares than the price at which our ordinary shares are being offered to the public in this offering. Based on the public offering price of $  per ordinary share and $  per pre-funded warrant, purchasers of ordinary shares or pre-funded warrants in this offering will experience immediate dilution of $  per share in net tangible book value. To the extent outstanding options are exercised, or outstanding restricted stock units vest and are settled, there will be further dilution to new investors. As a result of the dilution to your holdings, you may receive significantly less than the purchase price paid in this offering, if anything, in the event of our liquidation. For a further description of the dilution that you will experience immediately after this offering,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pre-funded warrants purchased in this offering will have no rights as shareholders until such holders exercise their pre-funded warrants and acquire our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acquire our ordinary shares upon exercise of the pre-funded warrants, holders of pre-funded warrants will have no rights with respect to our ordinary shares underlying such pre-funded warrants. Upon exercise of the pre-funded warrants, the holders will be entitled to exercise the rights of a shareholder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ordinary shares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pre-funded warrants will not be entitled to exercise any portion of any pre-funded warrant that, upon giving effect to such exercise, would cause the exercising holder to acquire beneficial ownership of ordinary shares (together with all other equity of the Company owned by such holder at such time) with a value of or in excess of the Hart-Scott-Rodino Antitrust Improvements Act of 1976, as amended, or HSR Act, notification threshold applicable to the holder (absent an applicable exemption to filing a notice and report form under the HSR Act). As a result, holders of pre-funded warrants may not be able to exercise their pre-funded warrants for our ordinary shares at a time when it would be financially beneficial for them to do so. In such a circumstance, holders could seek to sell their pre-funded warrants to realize value, but may be unable to do so in the absence of an established trading market and due to applicable transfer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the net proceeds to us from this offering will be approximately $  million, after deducting the underwriting discounts and commissions and estimated offering expenses payable by us, or approximately $  million if the underwriters exercise their option to purchase additional ordinary shares from us in full. We will receive nominal proceeds, if any, from any exercise of pre-funded warrants. We intend to use the net proceeds of this offering primarily to fund research and development expenses for our late-stage clinical programs, the hiring of a sales and marketing team in the U.S. and related commercialization expenses, and for working capital and general corporate purposes. Our expected use of the net proceeds from this offering represents our current intentions based upon our present plans and business conditions, which could change in the future as our plans and business conditions evolve. We expect that our total research and development expenses will increase in 2025 and 2026 as we continue to focus on the development of our product candidates IR and XR, including continuing to progress IR and XR through clinical development, as well as explore potential expansion programs. There may be unforeseen expenses beyond our control, including third-party costs that we cannot predict, inherent in the clinical development and regulatory approval process. Based on our planned use of the net proceeds from this offering and our existing cash, cash equivalents and investments, we expect that such funds will be sufficient to enable us to fund our operations into the first half of 2027, subject to certain assumptions, including clinical development plans and timelines. We have based this estimate on assumptions that may prove to be incorrect, and we could use our available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will have broad discretion in applying the net proceeds of this offering, and investors will be relying on our judgment regarding the application of the net proceeds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Pending their use, we might plan to invest a portion of the net proceeds from this offering in short- and intermediate-term interest-bearing financial assets and certificates of deposit.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you invest in our ordinary shares or exercise of the pre-funded warrants acquired in this offering, your ownership interest will be diluted immediately to the extent of the difference between the price you pay in this offering and the net tangible book value per ordinary share after this offering. Our net tangible book value as of March 31, 2025 was $243.7 million (225.3 million), or $4.47 per ordinary share (4.14 per ordinary share), based on 54,493,142 ordinary shares then outstanding. Net tangible book value per share represents the amount of our total assets less our total liabilities, excluding intangible assets, divided by 54,493,142, the total number of our ordinary shares issued and outstanding at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of  of our ordinary shares in this offering at an offering price of $  per share and pre-funded warrants to purchase    ordinary shares at the offering price of $  per pre-funded warrant (which equals the public offering price per ordinary share less the $0.01 per share exercise price of each such pre-funded warrant), less the estimated commissions and estimated offering expenses payable by us, our net tangible book value at March 31, 2025 would have been $  million, or $  per ordinary share (assuming equity classification). This represents an immediate increase in net tangible book value of $  per share to existing shareholders and an immediate dilution of $  per share to investors in this offering. The following table illustrates this per share dilution.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53"/>
        <w:gridCol w:w="304"/>
        <w:gridCol w:w="143"/>
        <w:gridCol w:w="575"/>
        <w:gridCol w:w="64"/>
      </w:tblGrid>
      <w:tr>
        <w:trPr/>
        <w:tc>
          <w:tcPr>
            <w:tcW w:w="585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30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2025</w:t>
            </w:r>
          </w:p>
        </w:tc>
        <w:tc>
          <w:tcPr>
            <w:tcW w:w="30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243.7</w:t>
            </w:r>
          </w:p>
        </w:tc>
        <w:tc>
          <w:tcPr>
            <w:tcW w:w="64" w:type="dxa"/>
            <w:tcBorders/>
            <w:vAlign w:val="bottom"/>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30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853"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5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30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853"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the offering</w:t>
            </w:r>
          </w:p>
        </w:tc>
        <w:tc>
          <w:tcPr>
            <w:tcW w:w="30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853"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up to an additional $22,500,000 of ordinary shares in full at the public offering price of $  per ordinary share, and after deducting underwriting discounts and commissions and estimated offering expenses payable by us, the as-adjusted net tangible book value would be $  per share, representing an immediate increase in net tangible book value of $  per share to existing shareholders and an immediate dilution in as-adjusted net tangible book value of $   per share to new investors purchasing ordinary shares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our ordinary shares outstanding as of March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4,263,286 million of our ordinary shares issuable upon the exercise of options outstanding as of March 31, 2025, at a weighted-average exercise price of $9.22 per ordinary share;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1,837,441 million ordinary shares issuable upon vesting of restricted stock units under our equity incentive plan as of March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issuable upon exercise of the pre-funded warrants being offered in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the pre-funded warrants were immediately and fully exercised, this would result in an as adjusted net tangible book value per share, after giving effect to this offering and warrant exercise of $  per ordinary share, which represents a dilution per share to new investors of $  , and an increase in net tangible book value per share to existing shareholders of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240" w:after="0"/>
        <w:jc w:val="left"/>
        <w:rPr>
          <w:rFonts w:ascii="Times New Roman" w:hAnsi="Times New Roman"/>
          <w:sz w:val="20"/>
        </w:rPr>
      </w:pPr>
      <w:r>
        <w:rPr>
          <w:rFonts w:ascii="Times New Roman" w:hAnsi="Times New Roman"/>
          <w:i/>
          <w:sz w:val="20"/>
        </w:rPr>
        <w:t>Form</w:t>
      </w:r>
      <w:r>
        <w:rPr>
          <w:rFonts w:ascii="Times New Roman" w:hAnsi="Times New Roman"/>
          <w:sz w:val="20"/>
        </w:rPr>
        <w:t xml:space="preserve">. The form of pre-funded warrant will be filed as an exhibit to our Current Report on Form 6-K that we expect to file with the SEC. </w:t>
      </w:r>
    </w:p>
    <w:p>
      <w:pPr>
        <w:pStyle w:val="TextBody"/>
        <w:bidi w:val="0"/>
        <w:spacing w:before="240" w:after="0"/>
        <w:jc w:val="left"/>
        <w:rPr>
          <w:rFonts w:ascii="Times New Roman" w:hAnsi="Times New Roman"/>
          <w:sz w:val="20"/>
        </w:rPr>
      </w:pPr>
      <w:r>
        <w:rPr>
          <w:rFonts w:ascii="Times New Roman" w:hAnsi="Times New Roman"/>
          <w:i/>
          <w:sz w:val="20"/>
        </w:rPr>
        <w:t>Exercise Price</w:t>
      </w:r>
      <w:r>
        <w:rPr>
          <w:rFonts w:ascii="Times New Roman" w:hAnsi="Times New Roman"/>
          <w:sz w:val="20"/>
        </w:rPr>
        <w:t xml:space="preserve">. The exercise price per whole ordinary share purchasable upon the exercise of the pre-funded warrants is $0.01 per ordinary share. The exercise price of the pre-funded warrants is subject to appropriate adjustment in the event of certain share dividends and distributions, share splits, share combinations, reclassifications or similar events affecting our ordinary shares and also upon any distributions of assets, including cash, share or other property to our shareholders. </w:t>
      </w:r>
    </w:p>
    <w:p>
      <w:pPr>
        <w:pStyle w:val="TextBody"/>
        <w:bidi w:val="0"/>
        <w:spacing w:before="240" w:after="0"/>
        <w:jc w:val="left"/>
        <w:rPr>
          <w:rFonts w:ascii="Times New Roman" w:hAnsi="Times New Roman"/>
          <w:sz w:val="20"/>
        </w:rPr>
      </w:pPr>
      <w:r>
        <w:rPr>
          <w:rFonts w:ascii="Times New Roman" w:hAnsi="Times New Roman"/>
          <w:i/>
          <w:sz w:val="20"/>
        </w:rPr>
        <w:t>Exercisability; Exercise Limitations</w:t>
      </w:r>
      <w:r>
        <w:rPr>
          <w:rFonts w:ascii="Times New Roman" w:hAnsi="Times New Roman"/>
          <w:sz w:val="20"/>
        </w:rPr>
        <w:t xml:space="preserve">. The pre-funded warrants are exercisable at any time after their original issuance until fully exercised, subject to the ownership limitation described below. The pre-funded warrants will be exercisable, at the option of each holder, in whole or in part by delivering to us a duly executed exercise notice and by payment in full of the exercise price in immediately available funds for the number of ordinary shares purchased upon such exercise; </w:t>
      </w:r>
      <w:r>
        <w:rPr>
          <w:rFonts w:ascii="Times New Roman" w:hAnsi="Times New Roman"/>
          <w:i/>
          <w:sz w:val="20"/>
        </w:rPr>
        <w:t xml:space="preserve">provided </w:t>
      </w:r>
      <w:r>
        <w:rPr>
          <w:rFonts w:ascii="Times New Roman" w:hAnsi="Times New Roman"/>
          <w:sz w:val="20"/>
        </w:rPr>
        <w:t xml:space="preserve">that if such exercise would result in a holder acquiring beneficial ownership of ordinary shares of the Company with a value of or in excess of the HSR Act, notification threshold applicable to the holder (the HSR Threshold), and no exemption to filing a notice and report form under the HSR Act is applicable, then only such portion of the pre-funded warrants, which when exercised does not exceed the HSR Threshold, will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periods or receipt of applicable approval. After such expiration or early termination of the applicable waiting period or receipt of applicable approval, the HSR Threshold will no longer be applicable to the pre-funded warrants, notwithstanding any other provision thereof. No fractional ordinary shares will be issued in connection with the exercise of a pre-funded warrant. In lieu of fractional shares, we will pay the holder an amount in cash equal to the fractional amount multiplied by the fair market value of any such fractional shares.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applicable laws, the pre-funded warrants may be offered for sale, sold, transferred or assigned without our consent. </w:t>
      </w:r>
    </w:p>
    <w:p>
      <w:pPr>
        <w:pStyle w:val="TextBody"/>
        <w:bidi w:val="0"/>
        <w:spacing w:before="240" w:after="0"/>
        <w:jc w:val="left"/>
        <w:rPr>
          <w:rFonts w:ascii="Times New Roman" w:hAnsi="Times New Roman"/>
          <w:sz w:val="20"/>
        </w:rPr>
      </w:pPr>
      <w:r>
        <w:rPr>
          <w:rFonts w:ascii="Times New Roman" w:hAnsi="Times New Roman"/>
          <w:i/>
          <w:sz w:val="20"/>
        </w:rPr>
        <w:t>Exchange Listing</w:t>
      </w:r>
      <w:r>
        <w:rPr>
          <w:rFonts w:ascii="Times New Roman" w:hAnsi="Times New Roman"/>
          <w:sz w:val="20"/>
        </w:rPr>
        <w:t xml:space="preserve">. We do not plan on applying to list the pre-funded warrants on the Nasdaq Global Select Market, any other national securities exchange or any other nationally recognized trading system.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Fundamental Transactions</w:t>
      </w:r>
      <w:r>
        <w:rPr>
          <w:rFonts w:ascii="Times New Roman" w:hAnsi="Times New Roman"/>
          <w:sz w:val="20"/>
        </w:rPr>
        <w:t xml:space="preserve">. In the event of a fundamental transaction, as described in the pre-funded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ordinary shares, or any person or group becoming the beneficial owner of 50% of the voting power represented by our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exercised contained in the pre-funded warrants. </w:t>
      </w:r>
    </w:p>
    <w:p>
      <w:pPr>
        <w:pStyle w:val="TextBody"/>
        <w:bidi w:val="0"/>
        <w:spacing w:before="240" w:after="0"/>
        <w:jc w:val="left"/>
        <w:rPr>
          <w:rFonts w:ascii="Times New Roman" w:hAnsi="Times New Roman"/>
          <w:sz w:val="20"/>
        </w:rPr>
      </w:pPr>
      <w:r>
        <w:rPr>
          <w:rFonts w:ascii="Times New Roman" w:hAnsi="Times New Roman"/>
          <w:i/>
          <w:sz w:val="20"/>
        </w:rPr>
        <w:t>No Rights as a Shareholder</w:t>
      </w:r>
      <w:r>
        <w:rPr>
          <w:rFonts w:ascii="Times New Roman" w:hAnsi="Times New Roman"/>
          <w:sz w:val="20"/>
        </w:rPr>
        <w:t xml:space="preserve">. Except by virtue of such holders ownership of our ordinary shares, the holder of a pre-funded warrant does not have the rights or privileges of a holder of our ordinary shares, including any voting rights, until the holder exercises the pre-funded warrant and receives the underlying ordinary shares. </w:t>
      </w:r>
    </w:p>
    <w:p>
      <w:pPr>
        <w:pStyle w:val="TextBody"/>
        <w:bidi w:val="0"/>
        <w:spacing w:before="240" w:after="0"/>
        <w:jc w:val="left"/>
        <w:rPr>
          <w:rFonts w:ascii="Times New Roman" w:hAnsi="Times New Roman"/>
          <w:sz w:val="20"/>
        </w:rPr>
      </w:pPr>
      <w:r>
        <w:rPr>
          <w:rFonts w:ascii="Times New Roman" w:hAnsi="Times New Roman"/>
          <w:i/>
          <w:sz w:val="20"/>
        </w:rPr>
        <w:t>Registration Rights</w:t>
      </w:r>
      <w:r>
        <w:rPr>
          <w:rFonts w:ascii="Times New Roman" w:hAnsi="Times New Roman"/>
          <w:sz w:val="20"/>
        </w:rPr>
        <w:t xml:space="preserve">. The Company intends to grant the investor purchasing pre-funded warrants customary registration rights, including demand registration rights, with respect to the ordinary shares issuable upon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United States Federal Income Tax and Dutch Income Tax Considerations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adviser regarding the applicable tax consequences to you of investing in our ordinary shares or pre-funded warrants under the laws of the United States (federal, state and local), the Netherlands, and any other applicable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and it does not describe the tax consequences of owning and disposing of pre-funded warrants.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or 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ordinary shares as part of a hedging transaction, straddle, wash sale, conversion transaction or other integrated transaction or persons entering into a constructive sale with respect to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or acquire our pre-funded warrants;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S corporations or other pass-through entities for U.S. federal income tax purposes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 retirement accounts or Roth IRAs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persons that acquire ordinary shares directly or indirectly in connection with the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ten percent or more of our shares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real estate investment trusts, real estate mortgage investment conduits;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ordinary shares in connection with a trade or business conducted outside of the United States.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ordinary shares, the U.S. federal income tax treatment of a partner will generally depend on the status of the partner and the activities of the partner and the partnership. Partnerships (or other entity or arrangement that is classified as partnership for U.S. federal income tax purposes) holding ordinary shares and partners in such partnerships or other entity should consult their tax advisers as to the particular U.S. federal income tax consequences of owning and disposing of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a holder who, for U.S. federal income tax purposes, is a beneficial owner of ordinary shares, who is eligible for the benefits of the Treaty and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PFIC rules described below, dividends will be included in a U.S. Holders income on the date of the U.S. Holders receipt of the dividend. The amount of any dividend income paid in euro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2024 and we do not expect to be a PFIC in 2025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 </w:t>
      </w:r>
    </w:p>
    <w:p>
      <w:pPr>
        <w:pStyle w:val="TextBody"/>
        <w:bidi w:val="0"/>
        <w:spacing w:before="240" w:after="0"/>
        <w:jc w:val="left"/>
        <w:rPr>
          <w:rFonts w:ascii="Times New Roman" w:hAnsi="Times New Roman"/>
          <w:sz w:val="20"/>
        </w:rPr>
      </w:pPr>
      <w:r>
        <w:rPr>
          <w:rFonts w:ascii="Times New Roman" w:hAnsi="Times New Roman"/>
          <w:sz w:val="20"/>
        </w:rPr>
        <w:t xml:space="preserve">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backup withholding from a payment to a U.S. Holder will be allowed as a credit against the U.S. Holders U.S. federal income tax liability and may entitle it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Material Dutch Tax Considerations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Scope of Discussion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only outlines certain material Dutch tax consequences of the acquisition, holding and disposal of our ordinary shares and the acquisition, holding, exercise and disposal of our pre-funded warrants. This section does not purport to describe all possible tax considerations or consequences that may be relevant to a holder or prospective holder of our ordinary shares or pre-funded warrants and does not purport to deal with the tax consequences applicable to all categories of investors, some of which (such as trusts or similar arrangements) may be subject to special rules. In view of its general nature, this section should be treated with corresponding caution.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 </w:t>
      </w:r>
    </w:p>
    <w:p>
      <w:pPr>
        <w:pStyle w:val="TextBody"/>
        <w:bidi w:val="0"/>
        <w:spacing w:before="120" w:after="0"/>
        <w:jc w:val="left"/>
        <w:rPr>
          <w:rFonts w:ascii="Times New Roman" w:hAnsi="Times New Roman"/>
          <w:sz w:val="20"/>
        </w:rPr>
      </w:pPr>
      <w:r>
        <w:rPr>
          <w:rFonts w:ascii="Times New Roman" w:hAnsi="Times New Roman"/>
          <w:sz w:val="20"/>
        </w:rPr>
        <w:t xml:space="preserve">THIS SECTION IS INTENDED AS GENERAL INFORMATION ONLY AND IS NOT DUTCH TAX ADVICE OR A COMPLETE DESCRIPTION OF ALL DUTCH TAX CONSEQUENCES RELATING TO THE ACQUISITION, HOLDING AND DISPOSAL OF OUR ORDINARY SHARES AND THE ACQUISITION, HOLDING, EXERCISE AND DISPOSAL OF OUR PRE-FUNDED WARRANTS. HOLDERS OR PROSPECTIVE HOLDERS OF OUR ORDINARY SHARES OR PRE-FUNDED WARRANTS SHOULD CONSULT THEIR OWN TAX ADVISERS REGARDING THE DUTCH TAX CONSEQUENCES RELATING TO THE ACQUISITION, HOLDING AND DISPOSAL OF THE ORDINARY SHARES AND THE ACQUISITION, HOLDING, EXERCISE AND DISPOSAL OF OUR PRE-FUNDED WARRANTS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This section does not describe any Dutch tax considerations or consequences arising from the Dutch Minimum Tax Act 2024 (</w:t>
      </w:r>
      <w:r>
        <w:rPr>
          <w:rFonts w:ascii="Times New Roman" w:hAnsi="Times New Roman"/>
          <w:i/>
          <w:sz w:val="20"/>
        </w:rPr>
        <w:t>Wet minimumbelasting 2024</w:t>
      </w:r>
      <w:r>
        <w:rPr>
          <w:rFonts w:ascii="Times New Roman" w:hAnsi="Times New Roman"/>
          <w:sz w:val="20"/>
        </w:rPr>
        <w:t xml:space="preserve">; the Dutch implementation of Directive (EU) 2022/2523 of 14 December 2022 on ensuring a global minimum level of taxation for multinational enterprise groups and large- scale domestic groups in the European Union) which may be relevant for a particular holder.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this section does not describe the Dutch tax consequences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our ordinary shares or pre-funded warrants if such holder has a substantial interest (</w:t>
            </w:r>
            <w:r>
              <w:rPr>
                <w:rFonts w:ascii="Times New Roman" w:hAnsi="Times New Roman"/>
                <w:i/>
                <w:sz w:val="20"/>
              </w:rPr>
              <w:t>aanmerkelijk belang</w:t>
            </w:r>
            <w:r>
              <w:rPr>
                <w:rFonts w:ascii="Times New Roman" w:hAnsi="Times New Roman"/>
                <w:sz w:val="20"/>
              </w:rPr>
              <w:t>) or deemed substantial interest (</w:t>
            </w:r>
            <w:r>
              <w:rPr>
                <w:rFonts w:ascii="Times New Roman" w:hAnsi="Times New Roman"/>
                <w:i/>
                <w:sz w:val="20"/>
              </w:rPr>
              <w:t>fictief aanmerkelijk belang</w:t>
            </w:r>
            <w:r>
              <w:rPr>
                <w:rFonts w:ascii="Times New Roman" w:hAnsi="Times New Roman"/>
                <w:sz w:val="20"/>
              </w:rPr>
              <w:t>) in us under the Dutch Income Tax Act 2001 (</w:t>
            </w:r>
            <w:r>
              <w:rPr>
                <w:rFonts w:ascii="Times New Roman" w:hAnsi="Times New Roman"/>
                <w:i/>
                <w:sz w:val="20"/>
              </w:rPr>
              <w:t>Wet inkomstenbelasting 2001</w:t>
            </w:r>
            <w:r>
              <w:rPr>
                <w:rFonts w:ascii="Times New Roman" w:hAnsi="Times New Roman"/>
                <w:sz w:val="20"/>
              </w:rPr>
              <w:t xml:space="preserve">). Generally, a holder of securities in a 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including pre-funded warrants,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our ordinary shares or pre-funded warrants, if the ordinary shares or pre-funded warrants held by such holder qualify or qualified as a participation (</w:t>
            </w:r>
            <w:r>
              <w:rPr>
                <w:rFonts w:ascii="Times New Roman" w:hAnsi="Times New Roman"/>
                <w:i/>
                <w:sz w:val="20"/>
              </w:rPr>
              <w:t>deelneming</w:t>
            </w:r>
            <w:r>
              <w:rPr>
                <w:rFonts w:ascii="Times New Roman" w:hAnsi="Times New Roman"/>
                <w:sz w:val="20"/>
              </w:rPr>
              <w:t>) for purposes of the Dutch Corporate Income Tax Act 1969 (</w:t>
            </w:r>
            <w:r>
              <w:rPr>
                <w:rFonts w:ascii="Times New Roman" w:hAnsi="Times New Roman"/>
                <w:i/>
                <w:sz w:val="20"/>
              </w:rPr>
              <w:t>Wet op de vennootschapsbelasting 1969</w:t>
            </w:r>
            <w:r>
              <w:rPr>
                <w:rFonts w:ascii="Times New Roman" w:hAnsi="Times New Roman"/>
                <w:sz w:val="20"/>
              </w:rPr>
              <w:t xml:space="preserve">). Generally, a holders shareholding of, or right to acquire,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our ordinary shares which is or who is entitled to or required to apply the dividend withholding tax exemption (</w:t>
            </w:r>
            <w:r>
              <w:rPr>
                <w:rFonts w:ascii="Times New Roman" w:hAnsi="Times New Roman"/>
                <w:i/>
                <w:sz w:val="20"/>
              </w:rPr>
              <w:t>inhoudingsvrijstelling</w:t>
            </w:r>
            <w:r>
              <w:rPr>
                <w:rFonts w:ascii="Times New Roman" w:hAnsi="Times New Roman"/>
                <w:sz w:val="20"/>
              </w:rPr>
              <w:t>) with respect to any income (</w:t>
            </w:r>
            <w:r>
              <w:rPr>
                <w:rFonts w:ascii="Times New Roman" w:hAnsi="Times New Roman"/>
                <w:i/>
                <w:sz w:val="20"/>
              </w:rPr>
              <w:t>opbrengst</w:t>
            </w:r>
            <w:r>
              <w:rPr>
                <w:rFonts w:ascii="Times New Roman" w:hAnsi="Times New Roman"/>
                <w:sz w:val="20"/>
              </w:rPr>
              <w:t>) derived from the ordinary shares (as defined in Article 4 of the Dutch Dividend Withholding Tax Act 1965 (</w:t>
            </w:r>
            <w:r>
              <w:rPr>
                <w:rFonts w:ascii="Times New Roman" w:hAnsi="Times New Roman"/>
                <w:i/>
                <w:sz w:val="20"/>
              </w:rPr>
              <w:t>Wet op de dividendbelasting</w:t>
            </w:r>
            <w:r>
              <w:rPr>
                <w:rFonts w:ascii="Times New Roman" w:hAnsi="Times New Roman"/>
                <w:sz w:val="20"/>
              </w:rPr>
              <w:t xml:space="preserve">). Generally, a holder of our ordinary shares may be entitled or required to apply, subject to certain other requirements, the dividend withholding tax exemption if it is an entity and holds an interest of 5% or more in our nominal paid-up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pension funds, investment institutions (</w:t>
            </w:r>
            <w:r>
              <w:rPr>
                <w:rFonts w:ascii="Times New Roman" w:hAnsi="Times New Roman"/>
                <w:i/>
                <w:sz w:val="20"/>
              </w:rPr>
              <w:t>fiscale beleggingsinstellingen</w:t>
            </w:r>
            <w:r>
              <w:rPr>
                <w:rFonts w:ascii="Times New Roman" w:hAnsi="Times New Roman"/>
                <w:sz w:val="20"/>
              </w:rPr>
              <w:t>), tax exempt investment institutions (</w:t>
            </w:r>
            <w:r>
              <w:rPr>
                <w:rFonts w:ascii="Times New Roman" w:hAnsi="Times New Roman"/>
                <w:i/>
                <w:sz w:val="20"/>
              </w:rPr>
              <w:t>vrijgestelde beleggingsinstellingen</w:t>
            </w:r>
            <w:r>
              <w:rPr>
                <w:rFonts w:ascii="Times New Roman" w:hAnsi="Times New Roman"/>
                <w:sz w:val="20"/>
              </w:rPr>
              <w:t xml:space="preserve">)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our ordinary shares or pre-funded warrants if such holder is an individual for whom the ordinary shares or pre-funded warrants or any benefit derived from the ordinary shares or pre-funded warrants is a remuneration or deemed to be a remuneration for (employment) activities performed by such holder or certain individuals related to such holders (as defined in the Dutch Income Tax Act 2001);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our outstanding options or restricted stock units.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Tax on Dividends </w:t>
      </w:r>
    </w:p>
    <w:p>
      <w:pPr>
        <w:pStyle w:val="TextBody"/>
        <w:bidi w:val="0"/>
        <w:spacing w:before="120" w:after="0"/>
        <w:jc w:val="left"/>
        <w:rPr>
          <w:rFonts w:ascii="Times New Roman" w:hAnsi="Times New Roman"/>
          <w:i/>
          <w:sz w:val="20"/>
        </w:rPr>
      </w:pPr>
      <w:r>
        <w:rPr>
          <w:rFonts w:ascii="Times New Roman" w:hAnsi="Times New Roman"/>
          <w:i/>
          <w:sz w:val="20"/>
        </w:rPr>
        <w:t xml:space="preserve">Regular Dutch Dividend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expression dividends distributed includes,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in cash or in kind, deemed and constructive distributions and repayments of paid-in capital not recognized for Dutch dividend withholding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proceeds, proceeds of redemption of our ordinary shares, or proceeds of the repurchase of ordinary shares (other than as temporary portfolio investment; </w:t>
            </w:r>
            <w:r>
              <w:rPr>
                <w:rFonts w:ascii="Times New Roman" w:hAnsi="Times New Roman"/>
                <w:i/>
                <w:sz w:val="20"/>
              </w:rPr>
              <w:t>tijdelijke belegging</w:t>
            </w:r>
            <w:r>
              <w:rPr>
                <w:rFonts w:ascii="Times New Roman" w:hAnsi="Times New Roman"/>
                <w:sz w:val="20"/>
              </w:rPr>
              <w:t xml:space="preserve">) by us or one of our subsidiaries or other affiliated entities, in each case to the extent such proceeds exceed the average paid-in capital of those ordinary shares as recognized for Dutch dividend withholding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par value of our ordinary shares issued or an increase of the par value of ordinary shares, to the extent that no related contribution, recognized for Dutch dividend withholding tax purposes, has been made or will be made;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partial repayment of the paid-in capital, recognized for Dutch dividend withholding tax purposes, if and to the extent that we have net profits (</w:t>
            </w:r>
            <w:r>
              <w:rPr>
                <w:rFonts w:ascii="Times New Roman" w:hAnsi="Times New Roman"/>
                <w:i/>
                <w:sz w:val="20"/>
              </w:rPr>
              <w:t>zuivere winst</w:t>
            </w:r>
            <w:r>
              <w:rPr>
                <w:rFonts w:ascii="Times New Roman" w:hAnsi="Times New Roman"/>
                <w:sz w:val="20"/>
              </w:rPr>
              <w:t xml:space="preserve">),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 </w:t>
      </w:r>
    </w:p>
    <w:p>
      <w:pPr>
        <w:pStyle w:val="TextBody"/>
        <w:bidi w:val="0"/>
        <w:spacing w:before="120" w:after="0"/>
        <w:jc w:val="left"/>
        <w:rPr>
          <w:rFonts w:ascii="Times New Roman" w:hAnsi="Times New Roman"/>
          <w:sz w:val="20"/>
        </w:rPr>
      </w:pPr>
      <w:r>
        <w:rPr>
          <w:rFonts w:ascii="Times New Roman" w:hAnsi="Times New Roman"/>
          <w:sz w:val="20"/>
        </w:rPr>
        <w:t xml:space="preserve">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stripping </w:t>
      </w:r>
    </w:p>
    <w:p>
      <w:pPr>
        <w:pStyle w:val="TextBody"/>
        <w:bidi w:val="0"/>
        <w:spacing w:before="120" w:after="0"/>
        <w:jc w:val="left"/>
        <w:rPr>
          <w:rFonts w:ascii="Times New Roman" w:hAnsi="Times New Roman"/>
          <w:sz w:val="20"/>
        </w:rPr>
      </w:pPr>
      <w:r>
        <w:rPr>
          <w:rFonts w:ascii="Times New Roman" w:hAnsi="Times New Roman"/>
          <w:sz w:val="20"/>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hAnsi="Times New Roman"/>
          <w:i/>
          <w:sz w:val="20"/>
        </w:rPr>
        <w:t>uiteindelijk gerechtigde</w:t>
      </w:r>
      <w:r>
        <w:rPr>
          <w:rFonts w:ascii="Times New Roman" w:hAnsi="Times New Roman"/>
          <w:sz w:val="20"/>
        </w:rPr>
        <w:t xml:space="preserve">;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our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our ordinary shares, it has been codified that the record date is used when determining the person who is entitled to the dividend. </w:t>
      </w:r>
    </w:p>
    <w:p>
      <w:pPr>
        <w:pStyle w:val="TextBody"/>
        <w:bidi w:val="0"/>
        <w:spacing w:before="360" w:after="0"/>
        <w:jc w:val="left"/>
        <w:rPr>
          <w:rFonts w:ascii="Times New Roman" w:hAnsi="Times New Roman"/>
          <w:i/>
          <w:sz w:val="20"/>
        </w:rPr>
      </w:pPr>
      <w:r>
        <w:rPr>
          <w:rFonts w:ascii="Times New Roman" w:hAnsi="Times New Roman"/>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the pre-funded warrants does in our view not give rise to Dutch dividend withholding tax (or Dutch conditional dividend withholding tax as described below), except to the extent (i) the purchase price for the pre-funded warrant (consisting of the pre-funded purchase price and the exercise price) is below the par value of our ordinary shares (currently, the par value per ordinary share is 0.12 and the purchase price is the price per share at which ordinary shares are being sold to the public in this offering, minus $0.01) and (ii) such difference is not charged against our share premium reserve recognized for Dutch (conditional) dividend withholding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any Dutch (conditional) dividend withholding tax due is not effectively withheld for the account of the relevant holder of a pre-funded warrant, Dutch (conditional) dividend withholding tax shall be due by us on a grossed-up basis.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cannot be excluded that payments made in consideration for a repurchase or redemption of a pre-funded warrant or a full or partial cash settlement of the pre-funded warrants, if any, are in part subject to Dutch (conditional) dividend withholding tax. To date, no authoritative case law of the Dutch courts has been made publicly available in this respect. </w:t>
      </w:r>
    </w:p>
    <w:p>
      <w:pPr>
        <w:pStyle w:val="TextBody"/>
        <w:bidi w:val="0"/>
        <w:spacing w:before="240" w:after="0"/>
        <w:jc w:val="left"/>
        <w:rPr>
          <w:rFonts w:ascii="Times New Roman" w:hAnsi="Times New Roman"/>
          <w:sz w:val="20"/>
        </w:rPr>
      </w:pPr>
      <w:r>
        <w:rPr>
          <w:rFonts w:ascii="Times New Roman" w:hAnsi="Times New Roman"/>
          <w:sz w:val="20"/>
        </w:rPr>
        <w:t xml:space="preserve">Exceptions and relief from Dutch dividend withholding tax may apply as set forth in the preceding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Conditional Withholding Tax on Dividends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regular Dutch dividend withholding tax as described above, a Dutch conditional withholding tax will be imposed on dividends distributed by us to a Related Entity (as defined below), if such Related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is considered to be resident (</w:t>
            </w:r>
            <w:r>
              <w:rPr>
                <w:rFonts w:ascii="Times New Roman" w:hAnsi="Times New Roman"/>
                <w:i/>
                <w:sz w:val="20"/>
              </w:rPr>
              <w:t>gevestigd</w:t>
            </w:r>
            <w:r>
              <w:rPr>
                <w:rFonts w:ascii="Times New Roman" w:hAnsi="Times New Roman"/>
                <w:sz w:val="20"/>
              </w:rPr>
              <w:t>) in a jurisdiction that is listed in the yearly updated Dutch Regulation on low-taxing states and non-cooperative jurisdictions for tax purposes (</w:t>
            </w:r>
            <w:r>
              <w:rPr>
                <w:rFonts w:ascii="Times New Roman" w:hAnsi="Times New Roman"/>
                <w:i/>
                <w:sz w:val="20"/>
              </w:rPr>
              <w:t>Regeling laagbelastende staten en niet-coöperatieve rechtsgebieden voor belastingdoeleinden</w:t>
            </w:r>
            <w:r>
              <w:rPr>
                <w:rFonts w:ascii="Times New Roman" w:hAnsi="Times New Roman"/>
                <w:sz w:val="20"/>
              </w:rPr>
              <w:t xml:space="preserve">) (a Listed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permanent establishment located in a Listed Jurisdiction to which the ordinary shares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holds the ordinary shares with the main purpose or one of the main purposes of avoiding taxation for another person or entity and there is an artificial arrangement or transaction or a series of artificial arrangements or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considered to be the beneficial owner of the ordinary shares in its jurisdiction of residence because such jurisdiction treats another entity as the beneficial owner of the ordinary shares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resident in any jurisdiction (also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 reverse hybrid (within the meaning of Article 2(11) of the Dutch Corporate Income Tax Act 1969), if and to the extent (x) there is a participant in the reverse hybrid holding a Qualifying Interest in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Entity means an entity (i) that has a Qualifying Interest in us or (ii) in which a third party has a Qualifying Interest if such third party also has a Qualifying Interest in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Qualifying Interest means a direct or indirectly held interesteither by an entity individually or, if an entity is part of a Qualifying Unity, jointlythat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hAnsi="Times New Roman"/>
                <w:i/>
                <w:sz w:val="20"/>
              </w:rPr>
              <w:t>vrijheid van vestiging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Qualifying Unity means entities acting together with the main purpose or one of the main purposes of avoiding Dutch conditional withholding tax at the level of any of those entities (</w:t>
            </w:r>
            <w:r>
              <w:rPr>
                <w:rFonts w:ascii="Times New Roman" w:hAnsi="Times New Roman"/>
                <w:i/>
                <w:sz w:val="20"/>
              </w:rPr>
              <w:t>kwalificerende</w:t>
            </w:r>
            <w:r>
              <w:rPr>
                <w:rFonts w:ascii="Times New Roman" w:hAnsi="Times New Roman"/>
                <w:sz w:val="20"/>
              </w:rPr>
              <w:t xml:space="preserve"> </w:t>
            </w:r>
            <w:r>
              <w:rPr>
                <w:rFonts w:ascii="Times New Roman" w:hAnsi="Times New Roman"/>
                <w:i/>
                <w:sz w:val="20"/>
              </w:rPr>
              <w:t>eenheid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Dutch conditional withholding tax on dividends will be imposed at the highest Dutch corporate income tax rate in effect at the time of the distribution (2025: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(2025: 25.8%).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bidi w:val="0"/>
        <w:spacing w:before="120" w:after="0"/>
        <w:jc w:val="left"/>
        <w:rPr>
          <w:rFonts w:ascii="Times New Roman" w:hAnsi="Times New Roman"/>
          <w:i/>
          <w:sz w:val="20"/>
        </w:rPr>
      </w:pPr>
      <w:r>
        <w:rPr>
          <w:rFonts w:ascii="Times New Roman" w:hAnsi="Times New Roman"/>
          <w:i/>
          <w:sz w:val="20"/>
        </w:rPr>
        <w:t xml:space="preserve">Dutch Resident Entities </w:t>
      </w:r>
    </w:p>
    <w:p>
      <w:pPr>
        <w:pStyle w:val="TextBody"/>
        <w:bidi w:val="0"/>
        <w:spacing w:before="120" w:after="0"/>
        <w:jc w:val="left"/>
        <w:rPr>
          <w:rFonts w:ascii="Times New Roman" w:hAnsi="Times New Roman"/>
          <w:sz w:val="20"/>
        </w:rPr>
      </w:pPr>
      <w:r>
        <w:rPr>
          <w:rFonts w:ascii="Times New Roman" w:hAnsi="Times New Roman"/>
          <w:sz w:val="20"/>
        </w:rPr>
        <w:t xml:space="preserve">Generally, if the holder of ordinary shares or pre-funded warrants is a Dutch Resident Entity, any income derived or deemed to be derived from the ordinary shares and pre-funded warrants or any capital gains realized on the disposal or exercise, as applicable, or deemed disposal of the ordinary shares or pre-funded warrants is subject to Dutch corporate income tax at a rate of 19% with respect to taxable profits up to 200,000 and 25.8% with respect to taxable profits in excess of that amount (rates and brackets for 2025). </w:t>
      </w:r>
    </w:p>
    <w:p>
      <w:pPr>
        <w:pStyle w:val="TextBody"/>
        <w:bidi w:val="0"/>
        <w:spacing w:before="360" w:after="0"/>
        <w:jc w:val="left"/>
        <w:rPr>
          <w:rFonts w:ascii="Times New Roman" w:hAnsi="Times New Roman"/>
          <w:i/>
          <w:sz w:val="20"/>
        </w:rPr>
      </w:pPr>
      <w:r>
        <w:rPr>
          <w:rFonts w:ascii="Times New Roman" w:hAnsi="Times New Roman"/>
          <w:i/>
          <w:sz w:val="20"/>
        </w:rPr>
        <w:t xml:space="preserve">Dutch Resident Individuals </w:t>
      </w:r>
    </w:p>
    <w:p>
      <w:pPr>
        <w:pStyle w:val="TextBody"/>
        <w:bidi w:val="0"/>
        <w:spacing w:before="120" w:after="0"/>
        <w:jc w:val="left"/>
        <w:rPr>
          <w:rFonts w:ascii="Times New Roman" w:hAnsi="Times New Roman"/>
          <w:sz w:val="20"/>
        </w:rPr>
      </w:pPr>
      <w:r>
        <w:rPr>
          <w:rFonts w:ascii="Times New Roman" w:hAnsi="Times New Roman"/>
          <w:sz w:val="20"/>
        </w:rPr>
        <w:t xml:space="preserve">If the holder of our ordinary shares or pre-funded warrants is a Dutch Resident Individual, any income derived or deemed to be derived from the ordinary shares or pre-funded warrants or any capital gains realized on the disposal or deemed disposal or exercise, as applicable, of the ordinary shares or pre-funded warrants is subject to Dutch personal income tax at the progressive rates (with a maximum of 49.50% in 2025),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ordinary shares or pre-funded warrants are attributable to an enterprise from which the holder of ordinary shares or pre-funded warrants derives a share of the profit, whether as an entrepreneur (</w:t>
            </w:r>
            <w:r>
              <w:rPr>
                <w:rFonts w:ascii="Times New Roman" w:hAnsi="Times New Roman"/>
                <w:i/>
                <w:sz w:val="20"/>
              </w:rPr>
              <w:t>ondernemer</w:t>
            </w:r>
            <w:r>
              <w:rPr>
                <w:rFonts w:ascii="Times New Roman" w:hAnsi="Times New Roman"/>
                <w:sz w:val="20"/>
              </w:rPr>
              <w:t>) or as a person who has a co-entitlement to the net worth (</w:t>
            </w:r>
            <w:r>
              <w:rPr>
                <w:rFonts w:ascii="Times New Roman" w:hAnsi="Times New Roman"/>
                <w:i/>
                <w:sz w:val="20"/>
              </w:rPr>
              <w:t>medegerechtigd tot het vermogen</w:t>
            </w:r>
            <w:r>
              <w:rPr>
                <w:rFonts w:ascii="Times New Roman" w:hAnsi="Times New Roman"/>
                <w:sz w:val="20"/>
              </w:rPr>
              <w:t xml:space="preserve">) of such enterprise without being a shareholder (as defined in the Dutch Income Tax Act 2001);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holder of ordinary shares or pre-funded warrants is considered to perform activities with respect to the ordinary shares or pre-funded warrants that go beyond ordinary asset management (</w:t>
            </w:r>
            <w:r>
              <w:rPr>
                <w:rFonts w:ascii="Times New Roman" w:hAnsi="Times New Roman"/>
                <w:i/>
                <w:sz w:val="20"/>
              </w:rPr>
              <w:t>normaal, actief vermogensbeheer</w:t>
            </w:r>
            <w:r>
              <w:rPr>
                <w:rFonts w:ascii="Times New Roman" w:hAnsi="Times New Roman"/>
                <w:sz w:val="20"/>
              </w:rPr>
              <w:t>) or otherwise derives benefits from the ordinary shares or pre-funded warrants that are taxable as benefits from miscellaneous activities (</w:t>
            </w:r>
            <w:r>
              <w:rPr>
                <w:rFonts w:ascii="Times New Roman" w:hAnsi="Times New Roman"/>
                <w:i/>
                <w:sz w:val="20"/>
              </w:rPr>
              <w:t>resultaat uit overige werkzaamheden</w:t>
            </w:r>
            <w:r>
              <w:rPr>
                <w:rFonts w:ascii="Times New Roman" w:hAnsi="Times New Roman"/>
                <w:sz w:val="20"/>
              </w:rPr>
              <w:t xml:space="preserv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Taxation of savings and investments </w:t>
      </w:r>
    </w:p>
    <w:p>
      <w:pPr>
        <w:pStyle w:val="TextBody"/>
        <w:bidi w:val="0"/>
        <w:spacing w:before="120" w:after="0"/>
        <w:jc w:val="left"/>
        <w:rPr>
          <w:rFonts w:ascii="Times New Roman" w:hAnsi="Times New Roman"/>
          <w:sz w:val="20"/>
        </w:rPr>
      </w:pPr>
      <w:r>
        <w:rPr>
          <w:rFonts w:ascii="Times New Roman" w:hAnsi="Times New Roman"/>
          <w:sz w:val="20"/>
        </w:rPr>
        <w:t>If the above-mentioned conditions (i) and (ii) do not apply to the Dutch Resident Individual, the ordinary shares and pre-funded warrants will be subject to an annual Dutch income tax under the regime for savings and investments (</w:t>
      </w:r>
      <w:r>
        <w:rPr>
          <w:rFonts w:ascii="Times New Roman" w:hAnsi="Times New Roman"/>
          <w:i/>
          <w:sz w:val="20"/>
        </w:rPr>
        <w:t>inkomen uit sparen en beleggen</w:t>
      </w:r>
      <w:r>
        <w:rPr>
          <w:rFonts w:ascii="Times New Roman" w:hAnsi="Times New Roman"/>
          <w:sz w:val="20"/>
        </w:rPr>
        <w:t>). Taxation only occurs insofar the Dutch Resident Individuals net investment assets for the year exceed a statutory threshold (</w:t>
      </w:r>
      <w:r>
        <w:rPr>
          <w:rFonts w:ascii="Times New Roman" w:hAnsi="Times New Roman"/>
          <w:i/>
          <w:sz w:val="20"/>
        </w:rPr>
        <w:t>heffingvrij vermogen</w:t>
      </w:r>
      <w:r>
        <w:rPr>
          <w:rFonts w:ascii="Times New Roman" w:hAnsi="Times New Roman"/>
          <w:sz w:val="20"/>
        </w:rPr>
        <w:t xml:space="preserve">). The net investment assets for the year are the fair market value of the investment assets less the fair market value of the liabilities on January 1 of the relevant calendar year (reference date; </w:t>
      </w:r>
      <w:r>
        <w:rPr>
          <w:rFonts w:ascii="Times New Roman" w:hAnsi="Times New Roman"/>
          <w:i/>
          <w:sz w:val="20"/>
        </w:rPr>
        <w:t>peildatum</w:t>
      </w:r>
      <w:r>
        <w:rPr>
          <w:rFonts w:ascii="Times New Roman" w:hAnsi="Times New Roman"/>
          <w:sz w:val="20"/>
        </w:rPr>
        <w:t xml:space="preserve">). Actual income or capital gains realized in respect of the ordinary shares or pre-funded warrants are in principle not subject to Dutch income tax. </w:t>
      </w:r>
    </w:p>
    <w:p>
      <w:pPr>
        <w:pStyle w:val="TextBody"/>
        <w:bidi w:val="0"/>
        <w:spacing w:before="240" w:after="0"/>
        <w:jc w:val="left"/>
        <w:rPr>
          <w:rFonts w:ascii="Times New Roman" w:hAnsi="Times New Roman"/>
          <w:sz w:val="20"/>
        </w:rPr>
      </w:pPr>
      <w:r>
        <w:rPr>
          <w:rFonts w:ascii="Times New Roman" w:hAnsi="Times New Roman"/>
          <w:sz w:val="20"/>
        </w:rPr>
        <w:t>The Dutch Resident Individuals assets and liabilities taxed under this regime, including the ordinary shares or pre-funded warrants, are allocated over the following three categories: (a) bank savings (</w:t>
      </w:r>
      <w:r>
        <w:rPr>
          <w:rFonts w:ascii="Times New Roman" w:hAnsi="Times New Roman"/>
          <w:i/>
          <w:sz w:val="20"/>
        </w:rPr>
        <w:t>banktegoeden</w:t>
      </w:r>
      <w:r>
        <w:rPr>
          <w:rFonts w:ascii="Times New Roman" w:hAnsi="Times New Roman"/>
          <w:sz w:val="20"/>
        </w:rPr>
        <w:t>), (b) other investments (</w:t>
      </w:r>
      <w:r>
        <w:rPr>
          <w:rFonts w:ascii="Times New Roman" w:hAnsi="Times New Roman"/>
          <w:i/>
          <w:sz w:val="20"/>
        </w:rPr>
        <w:t>overige bezittingen</w:t>
      </w:r>
      <w:r>
        <w:rPr>
          <w:rFonts w:ascii="Times New Roman" w:hAnsi="Times New Roman"/>
          <w:sz w:val="20"/>
        </w:rPr>
        <w:t>), including the ordinary shares or pre-funded warrants, and (c) liabilities (</w:t>
      </w:r>
      <w:r>
        <w:rPr>
          <w:rFonts w:ascii="Times New Roman" w:hAnsi="Times New Roman"/>
          <w:i/>
          <w:sz w:val="20"/>
        </w:rPr>
        <w:t>schulden</w:t>
      </w:r>
      <w:r>
        <w:rPr>
          <w:rFonts w:ascii="Times New Roman" w:hAnsi="Times New Roman"/>
          <w:sz w:val="20"/>
        </w:rPr>
        <w:t>). The taxable benefit for the year (</w:t>
      </w:r>
      <w:r>
        <w:rPr>
          <w:rFonts w:ascii="Times New Roman" w:hAnsi="Times New Roman"/>
          <w:i/>
          <w:sz w:val="20"/>
        </w:rPr>
        <w:t>voordeel uit sparen en beleggen</w:t>
      </w:r>
      <w:r>
        <w:rPr>
          <w:rFonts w:ascii="Times New Roman" w:hAnsi="Times New Roman"/>
          <w:sz w:val="20"/>
        </w:rPr>
        <w:t xml:space="preserve">) is equal to the product of (x) the total deemed return divided by the sum of bank savings, other investments and liabilities and (y) the sum of bank savings, other investments and liabilities minus the statutory threshold, and is taxed at a flat rate of 36% (rate for 2025). </w:t>
      </w:r>
    </w:p>
    <w:p>
      <w:pPr>
        <w:pStyle w:val="TextBody"/>
        <w:bidi w:val="0"/>
        <w:spacing w:before="240" w:after="0"/>
        <w:jc w:val="left"/>
        <w:rPr>
          <w:rFonts w:ascii="Times New Roman" w:hAnsi="Times New Roman"/>
          <w:sz w:val="20"/>
        </w:rPr>
      </w:pPr>
      <w:r>
        <w:rPr>
          <w:rFonts w:ascii="Times New Roman" w:hAnsi="Times New Roman"/>
          <w:sz w:val="20"/>
        </w:rPr>
        <w:t xml:space="preserve">The deemed return applicable to other investments, including the ordinary shares and pre-funded warrants,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or pre-funded warrants cannot sufficiently demonstrate that such transactions are implemented for other than tax reasons.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June 6 and 14, 2024, the Dutch Supreme Court (</w:t>
      </w:r>
      <w:r>
        <w:rPr>
          <w:rFonts w:ascii="Times New Roman" w:hAnsi="Times New Roman"/>
          <w:i/>
          <w:sz w:val="20"/>
        </w:rPr>
        <w:t>Hoge Raad</w:t>
      </w:r>
      <w:r>
        <w:rPr>
          <w:rFonts w:ascii="Times New Roman" w:hAnsi="Times New Roman"/>
          <w:sz w:val="20"/>
        </w:rPr>
        <w:t>) ruled that the current Dutch income tax regime for savings and investments in certain specific circumstances contravenes with Section 1 of the First Protocol to the European Convention on Human Rights in combination with Section 14 of the European Convention on Human Rights (the Rulings). This is, in short, the case in the event the deemed return on the investment assets exceeds the actual return realized in respect thereof (calculated in accordance with the rules set out in the Rulings and successfully demonstrated by the taxpayer). The rules set out in the Rulings have been implemented in Dutch tax law by the Dutch Box 3 Rebuttal Scheme Act (</w:t>
      </w:r>
      <w:r>
        <w:rPr>
          <w:rFonts w:ascii="Times New Roman" w:hAnsi="Times New Roman"/>
          <w:i/>
          <w:sz w:val="20"/>
        </w:rPr>
        <w:t>Wet tegenbewijsregeling box 3</w:t>
      </w:r>
      <w:r>
        <w:rPr>
          <w:rFonts w:ascii="Times New Roman" w:hAnsi="Times New Roman"/>
          <w:sz w:val="20"/>
        </w:rPr>
        <w:t xml:space="preserve">). Holders of our ordinary shares and pre-funded warrants are advised to consult their own tax advisor to ensure that the tax in respect of their ordinary shares and pre-funded warrants is levied in accordance with the applicable Dutch tax rules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A holder of our ordinary shares or pre-funded warrants that is neither a Dutch Resident Entity nor a Dutch Resident Individual will not be subject to Dutch income tax in respect of income derived or deemed to be derived from our ordinary shares or pre-funded warrants or in respect of capital gains realized on the disposal or deemed disposal or exercise, as applicable, of the ordinary shares or pre-funded warrants,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or pre-funded warrants are attributable;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 holder is an individual, such holder does not carry out any activities in the Netherlands with respect to the ordinary shares or pre-funded warrants that go beyond ordinary asset management and does not otherwise derive benefits from the ordinary shares or pre-funded warrants that are taxable as benefits from miscellaneous activities in the Netherlands.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Gift and Inheritance Taxes </w:t>
      </w:r>
    </w:p>
    <w:p>
      <w:pPr>
        <w:pStyle w:val="TextBody"/>
        <w:bidi w:val="0"/>
        <w:spacing w:before="120" w:after="0"/>
        <w:jc w:val="left"/>
        <w:rPr>
          <w:rFonts w:ascii="Times New Roman" w:hAnsi="Times New Roman"/>
          <w:i/>
          <w:sz w:val="20"/>
        </w:rPr>
      </w:pPr>
      <w:r>
        <w:rPr>
          <w:rFonts w:ascii="Times New Roman" w:hAnsi="Times New Roman"/>
          <w:i/>
          <w:sz w:val="20"/>
        </w:rPr>
        <w:t xml:space="preserve">Residents of the Netherlands </w:t>
      </w:r>
    </w:p>
    <w:p>
      <w:pPr>
        <w:pStyle w:val="TextBody"/>
        <w:bidi w:val="0"/>
        <w:spacing w:before="120" w:after="0"/>
        <w:jc w:val="left"/>
        <w:rPr>
          <w:rFonts w:ascii="Times New Roman" w:hAnsi="Times New Roman"/>
          <w:sz w:val="20"/>
        </w:rPr>
      </w:pPr>
      <w:r>
        <w:rPr>
          <w:rFonts w:ascii="Times New Roman" w:hAnsi="Times New Roman"/>
          <w:sz w:val="20"/>
        </w:rPr>
        <w:t>Gift or inheritance taxes will arise in the Netherlands with respect to a transfer of ordinary shares or pre-funded warrants by way of a gift by, or on the death of, a holder of such ordinary shares or pre-funded warrants who is resident or deemed resident of the Netherlands at the time of the gift or the holder</w:t>
      </w:r>
      <w:r>
        <w:rPr>
          <w:rFonts w:ascii="Times New Roman" w:hAnsi="Times New Roman"/>
          <w:i/>
          <w:sz w:val="20"/>
        </w:rPr>
        <w:t></w:t>
      </w:r>
      <w:r>
        <w:rPr>
          <w:rFonts w:ascii="Times New Roman" w:hAnsi="Times New Roman"/>
          <w:sz w:val="20"/>
        </w:rPr>
        <w:t xml:space="preserve">s death. </w:t>
      </w:r>
    </w:p>
    <w:p>
      <w:pPr>
        <w:pStyle w:val="TextBody"/>
        <w:bidi w:val="0"/>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No gift or inheritance taxes will arise in the Netherlands with respect to a transfer of our ordinary shares or pre-funded warrants by way of gift by, or on the death of, a holder of our ordinary shares or pre-funded warrants who is neither resident nor deemed to be resident of the Netherlands,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gift of our ordinary shares or pre-funded warrants by an individual who at the date of the gift was neither resident nor deemed to be resident of the Netherlands, such individual dies within 180 days after the date of the gift, while being resident or deemed to be resident of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gift of our ordinary shares or pre-funded warrants made under a condition precedent, the holder of ordinary shares or pre-funded warrants is resident or deemed to be resident of the Netherlands at the time the condition is fulfilled;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is otherwise construed as a gift or inheritance made by, or on behalf of, a person who, at the time of the gift or death, is or is deemed to be resident of the Netherlands.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Value Added Tax (VAT) </w:t>
      </w:r>
    </w:p>
    <w:p>
      <w:pPr>
        <w:pStyle w:val="TextBody"/>
        <w:bidi w:val="0"/>
        <w:spacing w:before="120" w:after="0"/>
        <w:jc w:val="left"/>
        <w:rPr>
          <w:rFonts w:ascii="Times New Roman" w:hAnsi="Times New Roman"/>
          <w:sz w:val="20"/>
        </w:rPr>
      </w:pPr>
      <w:r>
        <w:rPr>
          <w:rFonts w:ascii="Times New Roman" w:hAnsi="Times New Roman"/>
          <w:sz w:val="20"/>
        </w:rPr>
        <w:t xml:space="preserve">No Dutch VAT will be payable by a holder of our ordinary shares or pre-funded warrants in respect of any payment in consideration for the holding or disposal or exercise, as applicable, of our ordinary shares or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Taxes and Duties </w:t>
      </w:r>
    </w:p>
    <w:p>
      <w:pPr>
        <w:pStyle w:val="TextBody"/>
        <w:bidi w:val="0"/>
        <w:spacing w:before="120" w:after="0"/>
        <w:jc w:val="left"/>
        <w:rPr>
          <w:rFonts w:ascii="Times New Roman" w:hAnsi="Times New Roman"/>
          <w:sz w:val="20"/>
        </w:rPr>
      </w:pPr>
      <w:r>
        <w:rPr>
          <w:rFonts w:ascii="Times New Roman" w:hAnsi="Times New Roman"/>
          <w:sz w:val="20"/>
        </w:rPr>
        <w:t xml:space="preserve">No Dutch documentation taxes (commonly referred to as stamp duties) will be payable by a holder of our ordinary shares or pre-funded warrants in respect of any payment in consideration for the holding or disposal or exercise, as applicable, of our ordinary shares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will purchase the pre-funded warrants pursuant to the underwriting agreement described in the Preliminary Prospectus Supplement on terms generally consistent with those applicable to the ordinary shares being sold in the offering. The underwriting discounts and commissions per pre-funded warrant will be equal to the underwriting discounts and commissions per ordinary share sold in the offering. The underwriters have not been engaged to act as warrant agent for the pre-funded warrants or to act as underwriter or agent or otherwise participate in the issuance of the shares of our ordinary shares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Additional conforming changes are hereby made to the Preliminary Prospectus Supplement to reflect the changes described in this free writing prospectus. All terms of the Preliminary Prospectus Supplement applicable to our ordinary shares will be applicable to the shares underlying the pre-funded warrants upon issuance. </w:t>
      </w:r>
    </w:p>
    <w:p>
      <w:pPr>
        <w:pStyle w:val="TextBody"/>
        <w:bidi w:val="0"/>
        <w:spacing w:before="240" w:after="0"/>
        <w:jc w:val="left"/>
        <w:rPr>
          <w:rFonts w:ascii="Times New Roman" w:hAnsi="Times New Roman"/>
          <w:b/>
          <w:sz w:val="20"/>
        </w:rPr>
      </w:pPr>
      <w:r>
        <w:rPr>
          <w:rFonts w:ascii="Times New Roman" w:hAnsi="Times New Roman"/>
          <w:b/>
          <w:sz w:val="20"/>
        </w:rPr>
        <w:t xml:space="preserve">Pharvaris N.V. has filed a registration statement (including a preliminary prospectus supplement dated July 22, 2025 and the accompanying base prospectus) with the SEC for the offering to which this communication relates. Before you invest, you should read the preliminary prospectus supplement and the accompanying base prospectus and other documents the Issuer has filed with the SEC for more complete information about the Issuer and the offering. You may obtain these documents for free by visiting EDGAR on the SEC website at www.sec.gov. Alternatively, copies may be obtained from: Morgan Stanley &amp; Co. LLC, 1585 Broadway, 29thFloor, New York, New York 10036, Attention: Equity Syndicate Desk, with a copy to the Legal Department, Leerink Partners LLC, Attention: Syndicate Department, 53 State Street, 40th Floor, Boston, Massachusetts 02109, by telephone at (800) 808-7525, ext. 6105, or by email atsyndicate@leerink.com, Cantor Fitzgerald &amp; Co. by mail at Attention: Capital Markets, 110 East 59th Street, New York 10022 or by email at prospectus@cantor.com, Oppenheimer &amp; Co. Inc., Attention: Syndicate Prospectus Department, 85 Broad Street, 26th Floor, New York, New York 10004, by telephone at (212) 667-8055, or by email atEquityProspectus@opco.com, and Van Lanschot Kempen (USA) Inc., 880 Third Avenue, 17th floor, New York, New York 10022, or by email at equitycapitalmarkets@vanlanschotkempen.com.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11607</Words>
  <Characters>60131</Characters>
  <CharactersWithSpaces>71711</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