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60" w:type="dxa"/>
            <w:vAlign w:val="bottom"/>
          </w:tcPr>
          <w:p>
            <w:pPr>
              <w:ind w:left="40"/>
              <w:spacing w:after="0"/>
              <w:rPr>
                <w:sz w:val="20"/>
                <w:szCs w:val="20"/>
                <w:color w:val="auto"/>
              </w:rPr>
            </w:pPr>
            <w:r>
              <w:rPr>
                <w:rFonts w:ascii="Arial" w:cs="Arial" w:eastAsia="Arial" w:hAnsi="Arial"/>
                <w:sz w:val="22"/>
                <w:szCs w:val="22"/>
                <w:color w:val="auto"/>
              </w:rPr>
              <w:t>0001643072</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Arial" w:cs="Arial" w:eastAsia="Arial" w:hAnsi="Arial"/>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Arial" w:cs="Arial" w:eastAsia="Arial" w:hAnsi="Arial"/>
                <w:sz w:val="22"/>
                <w:szCs w:val="22"/>
                <w:color w:val="auto"/>
              </w:rPr>
              <w:t>001-40010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20"/>
              <w:spacing w:after="0"/>
              <w:rPr>
                <w:sz w:val="20"/>
                <w:szCs w:val="20"/>
                <w:color w:val="auto"/>
              </w:rPr>
            </w:pPr>
            <w:r>
              <w:rPr>
                <w:rFonts w:ascii="Arial" w:cs="Arial" w:eastAsia="Arial" w:hAnsi="Arial"/>
                <w:sz w:val="22"/>
                <w:szCs w:val="22"/>
                <w:color w:val="auto"/>
                <w:w w:val="90"/>
              </w:rPr>
              <w:t>Emmy Noetherweg 2, 2333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Arial" w:cs="Arial" w:eastAsia="Arial" w:hAnsi="Arial"/>
                <w:sz w:val="22"/>
                <w:szCs w:val="22"/>
                <w:color w:val="auto"/>
              </w:rPr>
              <w:t>Leiden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Arial" w:cs="Arial" w:eastAsia="Arial" w:hAnsi="Arial"/>
                <w:sz w:val="22"/>
                <w:szCs w:val="22"/>
                <w:color w:val="auto"/>
              </w:rPr>
              <w:t>NETHERLANDS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20"/>
              <w:spacing w:after="0"/>
              <w:rPr>
                <w:sz w:val="20"/>
                <w:szCs w:val="20"/>
                <w:color w:val="auto"/>
              </w:rPr>
            </w:pPr>
            <w:r>
              <w:rPr>
                <w:rFonts w:ascii="Arial" w:cs="Arial" w:eastAsia="Arial" w:hAnsi="Arial"/>
                <w:sz w:val="22"/>
                <w:szCs w:val="22"/>
                <w:color w:val="auto"/>
              </w:rPr>
              <w:t>00000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Arial" w:cs="Arial" w:eastAsia="Arial" w:hAnsi="Arial"/>
                <w:sz w:val="22"/>
                <w:szCs w:val="22"/>
                <w:color w:val="auto"/>
              </w:rPr>
              <w:t>31-(0)71 2036 410</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Arial" w:cs="Arial" w:eastAsia="Arial" w:hAnsi="Arial"/>
                <w:sz w:val="22"/>
                <w:szCs w:val="22"/>
                <w:color w:val="auto"/>
              </w:rPr>
              <w:t>Berndt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00"/>
          </w:cols>
          <w:pgMar w:left="320" w:top="267" w:right="37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rPr>
              <w:t>Title of the Class of</w:t>
            </w:r>
          </w:p>
        </w:tc>
        <w:tc>
          <w:tcPr>
            <w:tcW w:w="2320" w:type="dxa"/>
            <w:vAlign w:val="bottom"/>
            <w:vMerge w:val="restart"/>
          </w:tcPr>
          <w:p>
            <w:pPr>
              <w:ind w:left="24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240"/>
              <w:spacing w:after="0" w:line="243" w:lineRule="exact"/>
              <w:rPr>
                <w:sz w:val="20"/>
                <w:szCs w:val="20"/>
                <w:color w:val="auto"/>
              </w:rPr>
            </w:pPr>
            <w:r>
              <w:rPr>
                <w:rFonts w:ascii="Arial" w:cs="Arial" w:eastAsia="Arial" w:hAnsi="Arial"/>
                <w:sz w:val="22"/>
                <w:szCs w:val="22"/>
                <w:b w:val="1"/>
                <w:bCs w:val="1"/>
                <w:color w:val="auto"/>
                <w:w w:val="94"/>
              </w:rPr>
              <w:t>Securities To Be Sold</w:t>
            </w:r>
          </w:p>
        </w:tc>
        <w:tc>
          <w:tcPr>
            <w:tcW w:w="2320" w:type="dxa"/>
            <w:vAlign w:val="bottom"/>
            <w:vMerge w:val="restart"/>
          </w:tcPr>
          <w:p>
            <w:pPr>
              <w:ind w:left="72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line="243" w:lineRule="exact"/>
              <w:rPr>
                <w:sz w:val="20"/>
                <w:szCs w:val="20"/>
                <w:color w:val="auto"/>
              </w:rPr>
            </w:pPr>
            <w:r>
              <w:rPr>
                <w:rFonts w:ascii="Arial" w:cs="Arial" w:eastAsia="Arial" w:hAnsi="Arial"/>
                <w:sz w:val="22"/>
                <w:szCs w:val="22"/>
                <w:color w:val="auto"/>
              </w:rPr>
              <w:t>1285 Avenue of the</w:t>
            </w:r>
          </w:p>
        </w:tc>
        <w:tc>
          <w:tcPr>
            <w:tcW w:w="1300" w:type="dxa"/>
            <w:vAlign w:val="bottom"/>
            <w:vMerge w:val="restart"/>
          </w:tcPr>
          <w:p>
            <w:pPr>
              <w:ind w:left="120"/>
              <w:spacing w:after="0"/>
              <w:rPr>
                <w:sz w:val="20"/>
                <w:szCs w:val="20"/>
                <w:color w:val="auto"/>
              </w:rPr>
            </w:pPr>
            <w:r>
              <w:rPr>
                <w:rFonts w:ascii="Arial" w:cs="Arial" w:eastAsia="Arial" w:hAnsi="Arial"/>
                <w:sz w:val="22"/>
                <w:szCs w:val="22"/>
                <w:color w:val="auto"/>
              </w:rPr>
              <w:t>12711</w:t>
            </w:r>
          </w:p>
        </w:tc>
        <w:tc>
          <w:tcPr>
            <w:tcW w:w="1140" w:type="dxa"/>
            <w:vAlign w:val="bottom"/>
            <w:vMerge w:val="restart"/>
          </w:tcPr>
          <w:p>
            <w:pPr>
              <w:jc w:val="right"/>
              <w:ind w:right="352"/>
              <w:spacing w:after="0"/>
              <w:rPr>
                <w:sz w:val="20"/>
                <w:szCs w:val="20"/>
                <w:color w:val="auto"/>
              </w:rPr>
            </w:pPr>
            <w:r>
              <w:rPr>
                <w:rFonts w:ascii="Arial" w:cs="Arial" w:eastAsia="Arial" w:hAnsi="Arial"/>
                <w:sz w:val="22"/>
                <w:szCs w:val="22"/>
                <w:color w:val="auto"/>
                <w:w w:val="89"/>
              </w:rPr>
              <w:t>235535</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line="243" w:lineRule="exact"/>
              <w:rPr>
                <w:sz w:val="20"/>
                <w:szCs w:val="20"/>
                <w:color w:val="auto"/>
              </w:rPr>
            </w:pPr>
            <w:r>
              <w:rPr>
                <w:rFonts w:ascii="Arial" w:cs="Arial" w:eastAsia="Arial" w:hAnsi="Arial"/>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Arial" w:cs="Arial" w:eastAsia="Arial" w:hAnsi="Arial"/>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New York  NY  10019</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line="243" w:lineRule="exact"/>
              <w:rPr>
                <w:sz w:val="20"/>
                <w:szCs w:val="20"/>
                <w:color w:val="auto"/>
              </w:rPr>
            </w:pPr>
            <w:r>
              <w:rPr>
                <w:rFonts w:ascii="Arial" w:cs="Arial" w:eastAsia="Arial" w:hAnsi="Arial"/>
                <w:sz w:val="22"/>
                <w:szCs w:val="22"/>
                <w:color w:val="auto"/>
              </w:rPr>
              <w:t>1285 Avenue of the</w:t>
            </w:r>
          </w:p>
        </w:tc>
        <w:tc>
          <w:tcPr>
            <w:tcW w:w="1300" w:type="dxa"/>
            <w:vAlign w:val="bottom"/>
            <w:vMerge w:val="restart"/>
          </w:tcPr>
          <w:p>
            <w:pPr>
              <w:ind w:left="120"/>
              <w:spacing w:after="0"/>
              <w:rPr>
                <w:sz w:val="20"/>
                <w:szCs w:val="20"/>
                <w:color w:val="auto"/>
              </w:rPr>
            </w:pPr>
            <w:r>
              <w:rPr>
                <w:rFonts w:ascii="Arial" w:cs="Arial" w:eastAsia="Arial" w:hAnsi="Arial"/>
                <w:sz w:val="22"/>
                <w:szCs w:val="22"/>
                <w:color w:val="auto"/>
              </w:rPr>
              <w:t>40000</w:t>
            </w:r>
          </w:p>
        </w:tc>
        <w:tc>
          <w:tcPr>
            <w:tcW w:w="1140" w:type="dxa"/>
            <w:vAlign w:val="bottom"/>
            <w:vMerge w:val="restart"/>
          </w:tcPr>
          <w:p>
            <w:pPr>
              <w:jc w:val="right"/>
              <w:ind w:right="352"/>
              <w:spacing w:after="0"/>
              <w:rPr>
                <w:sz w:val="20"/>
                <w:szCs w:val="20"/>
                <w:color w:val="auto"/>
              </w:rPr>
            </w:pPr>
            <w:r>
              <w:rPr>
                <w:rFonts w:ascii="Arial" w:cs="Arial" w:eastAsia="Arial" w:hAnsi="Arial"/>
                <w:sz w:val="22"/>
                <w:szCs w:val="22"/>
                <w:color w:val="auto"/>
                <w:w w:val="89"/>
              </w:rPr>
              <w:t>741200</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line="243" w:lineRule="exact"/>
              <w:rPr>
                <w:sz w:val="20"/>
                <w:szCs w:val="20"/>
                <w:color w:val="auto"/>
              </w:rPr>
            </w:pPr>
            <w:r>
              <w:rPr>
                <w:rFonts w:ascii="Arial" w:cs="Arial" w:eastAsia="Arial" w:hAnsi="Arial"/>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Arial" w:cs="Arial" w:eastAsia="Arial" w:hAnsi="Arial"/>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New York  NY  10019</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line="243" w:lineRule="exact"/>
              <w:rPr>
                <w:sz w:val="20"/>
                <w:szCs w:val="20"/>
                <w:color w:val="auto"/>
              </w:rPr>
            </w:pPr>
            <w:r>
              <w:rPr>
                <w:rFonts w:ascii="Arial" w:cs="Arial" w:eastAsia="Arial" w:hAnsi="Arial"/>
                <w:sz w:val="22"/>
                <w:szCs w:val="22"/>
                <w:color w:val="auto"/>
              </w:rPr>
              <w:t>1285 Avenue of the</w:t>
            </w:r>
          </w:p>
        </w:tc>
        <w:tc>
          <w:tcPr>
            <w:tcW w:w="1300" w:type="dxa"/>
            <w:vAlign w:val="bottom"/>
            <w:vMerge w:val="restart"/>
          </w:tcPr>
          <w:p>
            <w:pPr>
              <w:ind w:left="120"/>
              <w:spacing w:after="0"/>
              <w:rPr>
                <w:sz w:val="20"/>
                <w:szCs w:val="20"/>
                <w:color w:val="auto"/>
              </w:rPr>
            </w:pPr>
            <w:r>
              <w:rPr>
                <w:rFonts w:ascii="Arial" w:cs="Arial" w:eastAsia="Arial" w:hAnsi="Arial"/>
                <w:sz w:val="22"/>
                <w:szCs w:val="22"/>
                <w:color w:val="auto"/>
              </w:rPr>
              <w:t>30000</w:t>
            </w:r>
          </w:p>
        </w:tc>
        <w:tc>
          <w:tcPr>
            <w:tcW w:w="1140" w:type="dxa"/>
            <w:vAlign w:val="bottom"/>
            <w:vMerge w:val="restart"/>
          </w:tcPr>
          <w:p>
            <w:pPr>
              <w:jc w:val="right"/>
              <w:ind w:right="352"/>
              <w:spacing w:after="0"/>
              <w:rPr>
                <w:sz w:val="20"/>
                <w:szCs w:val="20"/>
                <w:color w:val="auto"/>
              </w:rPr>
            </w:pPr>
            <w:r>
              <w:rPr>
                <w:rFonts w:ascii="Arial" w:cs="Arial" w:eastAsia="Arial" w:hAnsi="Arial"/>
                <w:sz w:val="22"/>
                <w:szCs w:val="22"/>
                <w:color w:val="auto"/>
                <w:w w:val="89"/>
              </w:rPr>
              <w:t>555900</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line="243" w:lineRule="exact"/>
              <w:rPr>
                <w:sz w:val="20"/>
                <w:szCs w:val="20"/>
                <w:color w:val="auto"/>
              </w:rPr>
            </w:pPr>
            <w:r>
              <w:rPr>
                <w:rFonts w:ascii="Arial" w:cs="Arial" w:eastAsia="Arial" w:hAnsi="Arial"/>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Arial" w:cs="Arial" w:eastAsia="Arial" w:hAnsi="Arial"/>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New York  NY  10019</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ind w:left="120"/>
              <w:spacing w:after="0"/>
              <w:rPr>
                <w:sz w:val="20"/>
                <w:szCs w:val="20"/>
                <w:color w:val="auto"/>
              </w:rPr>
            </w:pPr>
            <w:r>
              <w:rPr>
                <w:rFonts w:ascii="Arial" w:cs="Arial" w:eastAsia="Arial" w:hAnsi="Arial"/>
                <w:sz w:val="22"/>
                <w:szCs w:val="22"/>
                <w:color w:val="auto"/>
              </w:rPr>
              <w:t>40000</w:t>
            </w:r>
          </w:p>
        </w:tc>
        <w:tc>
          <w:tcPr>
            <w:tcW w:w="1140" w:type="dxa"/>
            <w:vAlign w:val="bottom"/>
          </w:tcPr>
          <w:p>
            <w:pPr>
              <w:jc w:val="right"/>
              <w:ind w:right="352"/>
              <w:spacing w:after="0"/>
              <w:rPr>
                <w:sz w:val="20"/>
                <w:szCs w:val="20"/>
                <w:color w:val="auto"/>
              </w:rPr>
            </w:pPr>
            <w:r>
              <w:rPr>
                <w:rFonts w:ascii="Arial" w:cs="Arial" w:eastAsia="Arial" w:hAnsi="Arial"/>
                <w:sz w:val="22"/>
                <w:szCs w:val="22"/>
                <w:color w:val="auto"/>
                <w:w w:val="89"/>
              </w:rPr>
              <w:t>741200</w:t>
            </w: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0.12 per share</w:t>
            </w:r>
          </w:p>
        </w:tc>
        <w:tc>
          <w:tcPr>
            <w:tcW w:w="2320" w:type="dxa"/>
            <w:vAlign w:val="bottom"/>
          </w:tcPr>
          <w:p>
            <w:pPr>
              <w:ind w:left="60"/>
              <w:spacing w:after="0"/>
              <w:rPr>
                <w:sz w:val="20"/>
                <w:szCs w:val="20"/>
                <w:color w:val="auto"/>
              </w:rPr>
            </w:pPr>
            <w:r>
              <w:rPr>
                <w:rFonts w:ascii="Arial" w:cs="Arial" w:eastAsia="Arial" w:hAnsi="Arial"/>
                <w:sz w:val="22"/>
                <w:szCs w:val="22"/>
                <w:color w:val="auto"/>
              </w:rPr>
              <w:t>1285 Avenue of the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40909957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11/17/2023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tabs>
          <w:tab w:leader="none" w:pos="1200" w:val="left"/>
          <w:tab w:leader="none" w:pos="2500" w:val="left"/>
        </w:tabs>
        <w:rPr>
          <w:sz w:val="20"/>
          <w:szCs w:val="20"/>
          <w:color w:val="auto"/>
        </w:rPr>
      </w:pPr>
      <w:r>
        <w:rPr>
          <w:rFonts w:ascii="Arial" w:cs="Arial" w:eastAsia="Arial" w:hAnsi="Arial"/>
          <w:sz w:val="22"/>
          <w:szCs w:val="22"/>
          <w:color w:val="auto"/>
        </w:rPr>
        <w:t>40909957</w:t>
      </w:r>
      <w:r>
        <w:rPr>
          <w:sz w:val="20"/>
          <w:szCs w:val="20"/>
          <w:color w:val="auto"/>
        </w:rPr>
        <w:tab/>
      </w:r>
      <w:r>
        <w:rPr>
          <w:rFonts w:ascii="Arial" w:cs="Arial" w:eastAsia="Arial" w:hAnsi="Arial"/>
          <w:sz w:val="22"/>
          <w:szCs w:val="22"/>
          <w:color w:val="auto"/>
        </w:rPr>
        <w:t>11/17/2023</w:t>
      </w:r>
      <w:r>
        <w:rPr>
          <w:sz w:val="20"/>
          <w:szCs w:val="20"/>
          <w:color w:val="auto"/>
        </w:rPr>
        <w:tab/>
      </w:r>
      <w:r>
        <w:rPr>
          <w:rFonts w:ascii="Arial" w:cs="Arial" w:eastAsia="Arial" w:hAnsi="Arial"/>
          <w:sz w:val="18"/>
          <w:szCs w:val="18"/>
          <w:color w:val="auto"/>
        </w:rPr>
        <w:t>Nasdaq</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1200" w:val="left"/>
          <w:tab w:leader="none" w:pos="2500" w:val="left"/>
        </w:tabs>
        <w:rPr>
          <w:sz w:val="20"/>
          <w:szCs w:val="20"/>
          <w:color w:val="auto"/>
        </w:rPr>
      </w:pPr>
      <w:r>
        <w:rPr>
          <w:rFonts w:ascii="Arial" w:cs="Arial" w:eastAsia="Arial" w:hAnsi="Arial"/>
          <w:sz w:val="22"/>
          <w:szCs w:val="22"/>
          <w:color w:val="auto"/>
        </w:rPr>
        <w:t>40909957</w:t>
      </w:r>
      <w:r>
        <w:rPr>
          <w:sz w:val="20"/>
          <w:szCs w:val="20"/>
          <w:color w:val="auto"/>
        </w:rPr>
        <w:tab/>
      </w:r>
      <w:r>
        <w:rPr>
          <w:rFonts w:ascii="Arial" w:cs="Arial" w:eastAsia="Arial" w:hAnsi="Arial"/>
          <w:sz w:val="22"/>
          <w:szCs w:val="22"/>
          <w:color w:val="auto"/>
        </w:rPr>
        <w:t>11/17/2023</w:t>
      </w:r>
      <w:r>
        <w:rPr>
          <w:sz w:val="20"/>
          <w:szCs w:val="20"/>
          <w:color w:val="auto"/>
        </w:rPr>
        <w:tab/>
      </w:r>
      <w:r>
        <w:rPr>
          <w:rFonts w:ascii="Arial" w:cs="Arial" w:eastAsia="Arial" w:hAnsi="Arial"/>
          <w:sz w:val="18"/>
          <w:szCs w:val="18"/>
          <w:color w:val="auto"/>
        </w:rPr>
        <w:t>Nasdaq</w:t>
      </w:r>
    </w:p>
    <w:p>
      <w:pPr>
        <w:spacing w:after="0" w:line="200" w:lineRule="exact"/>
        <w:rPr>
          <w:sz w:val="24"/>
          <w:szCs w:val="24"/>
          <w:color w:val="auto"/>
        </w:rPr>
      </w:pPr>
    </w:p>
    <w:p>
      <w:pPr>
        <w:spacing w:after="0" w:line="209" w:lineRule="exact"/>
        <w:rPr>
          <w:sz w:val="24"/>
          <w:szCs w:val="24"/>
          <w:color w:val="auto"/>
        </w:rPr>
      </w:pPr>
    </w:p>
    <w:p>
      <w:pPr>
        <w:spacing w:after="0"/>
        <w:tabs>
          <w:tab w:leader="none" w:pos="1200" w:val="left"/>
          <w:tab w:leader="none" w:pos="2500" w:val="left"/>
        </w:tabs>
        <w:rPr>
          <w:sz w:val="20"/>
          <w:szCs w:val="20"/>
          <w:color w:val="auto"/>
        </w:rPr>
      </w:pPr>
      <w:r>
        <w:rPr>
          <w:rFonts w:ascii="Arial" w:cs="Arial" w:eastAsia="Arial" w:hAnsi="Arial"/>
          <w:sz w:val="22"/>
          <w:szCs w:val="22"/>
          <w:color w:val="auto"/>
        </w:rPr>
        <w:t>40909957</w:t>
      </w:r>
      <w:r>
        <w:rPr>
          <w:sz w:val="20"/>
          <w:szCs w:val="20"/>
          <w:color w:val="auto"/>
        </w:rPr>
        <w:tab/>
      </w:r>
      <w:r>
        <w:rPr>
          <w:rFonts w:ascii="Arial" w:cs="Arial" w:eastAsia="Arial" w:hAnsi="Arial"/>
          <w:sz w:val="22"/>
          <w:szCs w:val="22"/>
          <w:color w:val="auto"/>
        </w:rPr>
        <w:t>11/17/2023</w:t>
      </w:r>
      <w:r>
        <w:rPr>
          <w:sz w:val="20"/>
          <w:szCs w:val="20"/>
          <w:color w:val="auto"/>
        </w:rPr>
        <w:tab/>
      </w:r>
      <w:r>
        <w:rPr>
          <w:rFonts w:ascii="Arial" w:cs="Arial" w:eastAsia="Arial" w:hAnsi="Arial"/>
          <w:sz w:val="18"/>
          <w:szCs w:val="18"/>
          <w:color w:val="auto"/>
        </w:rPr>
        <w:t>Nasdaq</w:t>
      </w:r>
    </w:p>
    <w:p>
      <w:pPr>
        <w:sectPr>
          <w:pgSz w:w="11900" w:h="16838" w:orient="portrait"/>
          <w:cols w:equalWidth="0" w:num="2">
            <w:col w:w="7200" w:space="220"/>
            <w:col w:w="3780"/>
          </w:cols>
          <w:pgMar w:left="320" w:top="267" w:right="379" w:bottom="0" w:gutter="0" w:footer="0" w:header="0"/>
          <w:type w:val="continuous"/>
        </w:sectPr>
      </w:pPr>
    </w:p>
    <w:bookmarkStart w:id="1" w:name="page2"/>
    <w:bookmarkEnd w:id="1"/>
    <w:p>
      <w:pPr>
        <w:ind w:left="2500"/>
        <w:spacing w:after="0"/>
        <w:rPr>
          <w:sz w:val="20"/>
          <w:szCs w:val="20"/>
          <w:color w:val="auto"/>
        </w:rPr>
      </w:pPr>
      <w:r>
        <w:rPr>
          <w:rFonts w:ascii="Arial" w:cs="Arial" w:eastAsia="Arial" w:hAnsi="Arial"/>
          <w:sz w:val="22"/>
          <w:szCs w:val="22"/>
          <w:color w:val="auto"/>
        </w:rPr>
        <w:t>Americas</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New York  NY  10019</w:t>
      </w:r>
    </w:p>
    <w:p>
      <w:pPr>
        <w:spacing w:after="0" w:line="200" w:lineRule="exact"/>
        <w:rPr>
          <w:sz w:val="20"/>
          <w:szCs w:val="20"/>
          <w:color w:val="auto"/>
        </w:rPr>
      </w:pPr>
    </w:p>
    <w:p>
      <w:pPr>
        <w:spacing w:after="0" w:line="29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4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20" w:type="dxa"/>
            <w:vAlign w:val="bottom"/>
            <w:vMerge w:val="restart"/>
          </w:tcPr>
          <w:p>
            <w:pPr>
              <w:ind w:left="1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40" w:type="dxa"/>
            <w:vAlign w:val="bottom"/>
          </w:tcPr>
          <w:p>
            <w:pPr>
              <w:spacing w:after="0"/>
              <w:rPr>
                <w:sz w:val="20"/>
                <w:szCs w:val="20"/>
                <w:color w:val="auto"/>
              </w:rPr>
            </w:pPr>
            <w:r>
              <w:rPr>
                <w:rFonts w:ascii="Arial" w:cs="Arial" w:eastAsia="Arial" w:hAnsi="Arial"/>
                <w:sz w:val="22"/>
                <w:szCs w:val="22"/>
                <w:color w:val="auto"/>
              </w:rPr>
              <w:t>Ordinary</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line="210" w:lineRule="exact"/>
              <w:rPr>
                <w:sz w:val="20"/>
                <w:szCs w:val="20"/>
                <w:color w:val="auto"/>
              </w:rPr>
            </w:pPr>
            <w:r>
              <w:rPr>
                <w:rFonts w:ascii="Arial" w:cs="Arial" w:eastAsia="Arial" w:hAnsi="Arial"/>
                <w:sz w:val="22"/>
                <w:szCs w:val="22"/>
                <w:color w:val="auto"/>
              </w:rPr>
              <w:t>Shares, par</w:t>
            </w:r>
          </w:p>
        </w:tc>
        <w:tc>
          <w:tcPr>
            <w:tcW w:w="1020" w:type="dxa"/>
            <w:vAlign w:val="bottom"/>
          </w:tcPr>
          <w:p>
            <w:pPr>
              <w:spacing w:after="0"/>
              <w:rPr>
                <w:sz w:val="18"/>
                <w:szCs w:val="18"/>
                <w:color w:val="auto"/>
              </w:rPr>
            </w:pPr>
          </w:p>
        </w:tc>
        <w:tc>
          <w:tcPr>
            <w:tcW w:w="1440" w:type="dxa"/>
            <w:vAlign w:val="bottom"/>
          </w:tcPr>
          <w:p>
            <w:pPr>
              <w:ind w:left="60"/>
              <w:spacing w:after="0" w:line="210" w:lineRule="exact"/>
              <w:rPr>
                <w:sz w:val="20"/>
                <w:szCs w:val="20"/>
                <w:color w:val="auto"/>
              </w:rPr>
            </w:pPr>
            <w:r>
              <w:rPr>
                <w:rFonts w:ascii="Arial" w:cs="Arial" w:eastAsia="Arial" w:hAnsi="Arial"/>
                <w:sz w:val="22"/>
                <w:szCs w:val="22"/>
                <w:color w:val="auto"/>
              </w:rPr>
              <w:t>Vested stock</w:t>
            </w:r>
          </w:p>
        </w:tc>
        <w:tc>
          <w:tcPr>
            <w:tcW w:w="0" w:type="dxa"/>
            <w:vAlign w:val="bottom"/>
          </w:tcPr>
          <w:p>
            <w:pPr>
              <w:spacing w:after="0"/>
              <w:rPr>
                <w:sz w:val="1"/>
                <w:szCs w:val="1"/>
                <w:color w:val="auto"/>
              </w:rPr>
            </w:pPr>
          </w:p>
        </w:tc>
      </w:tr>
      <w:tr>
        <w:trPr>
          <w:trHeight w:val="294"/>
        </w:trPr>
        <w:tc>
          <w:tcPr>
            <w:tcW w:w="1440" w:type="dxa"/>
            <w:vAlign w:val="bottom"/>
          </w:tcPr>
          <w:p>
            <w:pPr>
              <w:spacing w:after="0"/>
              <w:rPr>
                <w:sz w:val="20"/>
                <w:szCs w:val="20"/>
                <w:color w:val="auto"/>
              </w:rPr>
            </w:pPr>
            <w:r>
              <w:rPr>
                <w:rFonts w:ascii="Arial" w:cs="Arial" w:eastAsia="Arial" w:hAnsi="Arial"/>
                <w:sz w:val="22"/>
                <w:szCs w:val="22"/>
                <w:color w:val="auto"/>
                <w:w w:val="92"/>
              </w:rPr>
              <w:t>value Euro 0.12</w:t>
            </w:r>
          </w:p>
        </w:tc>
        <w:tc>
          <w:tcPr>
            <w:tcW w:w="2460" w:type="dxa"/>
            <w:vAlign w:val="bottom"/>
            <w:gridSpan w:val="2"/>
          </w:tcPr>
          <w:p>
            <w:pPr>
              <w:ind w:left="40"/>
              <w:spacing w:after="0" w:line="294" w:lineRule="exact"/>
              <w:rPr>
                <w:sz w:val="20"/>
                <w:szCs w:val="20"/>
                <w:color w:val="auto"/>
              </w:rPr>
            </w:pPr>
            <w:r>
              <w:rPr>
                <w:rFonts w:ascii="Arial" w:cs="Arial" w:eastAsia="Arial" w:hAnsi="Arial"/>
                <w:sz w:val="18"/>
                <w:szCs w:val="18"/>
                <w:color w:val="auto"/>
              </w:rPr>
              <w:t xml:space="preserve">01/01/2020 </w:t>
            </w:r>
            <w:r>
              <w:rPr>
                <w:rFonts w:ascii="Arial" w:cs="Arial" w:eastAsia="Arial" w:hAnsi="Arial"/>
                <w:sz w:val="34"/>
                <w:szCs w:val="34"/>
                <w:color w:val="auto"/>
                <w:vertAlign w:val="subscript"/>
              </w:rPr>
              <w:t>options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per share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Arial" w:cs="Arial" w:eastAsia="Arial" w:hAnsi="Arial"/>
                <w:sz w:val="22"/>
                <w:szCs w:val="22"/>
                <w:color w:val="auto"/>
                <w:w w:val="97"/>
              </w:rPr>
              <w:t>Pharvaris N.V.</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Arial" w:cs="Arial" w:eastAsia="Arial" w:hAnsi="Arial"/>
                <w:sz w:val="22"/>
                <w:szCs w:val="22"/>
                <w:color w:val="auto"/>
                <w:w w:val="89"/>
              </w:rPr>
              <w:t>125000</w:t>
            </w:r>
          </w:p>
        </w:tc>
        <w:tc>
          <w:tcPr>
            <w:tcW w:w="2660" w:type="dxa"/>
            <w:vAlign w:val="bottom"/>
            <w:gridSpan w:val="2"/>
          </w:tcPr>
          <w:p>
            <w:pPr>
              <w:ind w:left="80"/>
              <w:spacing w:after="0"/>
              <w:rPr>
                <w:sz w:val="20"/>
                <w:szCs w:val="20"/>
                <w:color w:val="auto"/>
              </w:rPr>
            </w:pPr>
            <w:r>
              <w:rPr>
                <w:rFonts w:ascii="Arial" w:cs="Arial" w:eastAsia="Arial" w:hAnsi="Arial"/>
                <w:sz w:val="22"/>
                <w:szCs w:val="22"/>
                <w:color w:val="auto"/>
                <w:w w:val="86"/>
              </w:rPr>
              <w:t>01/01/2020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-151765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3940" w:space="320"/>
            <w:col w:w="6980"/>
          </w:cols>
          <w:pgMar w:left="320" w:top="118"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Berndt Modig</w:t>
      </w:r>
    </w:p>
    <w:p>
      <w:pPr>
        <w:ind w:left="40"/>
        <w:spacing w:after="0" w:line="238" w:lineRule="auto"/>
        <w:rPr>
          <w:sz w:val="20"/>
          <w:szCs w:val="20"/>
          <w:color w:val="auto"/>
        </w:rPr>
      </w:pPr>
      <w:r>
        <w:rPr>
          <w:rFonts w:ascii="Arial" w:cs="Arial" w:eastAsia="Arial" w:hAnsi="Arial"/>
          <w:sz w:val="22"/>
          <w:szCs w:val="22"/>
          <w:color w:val="auto"/>
        </w:rPr>
        <w:t>Emmy Noetherweg 2,</w:t>
      </w:r>
    </w:p>
    <w:p>
      <w:pPr>
        <w:ind w:left="40"/>
        <w:spacing w:after="0"/>
        <w:rPr>
          <w:sz w:val="20"/>
          <w:szCs w:val="20"/>
          <w:color w:val="auto"/>
        </w:rPr>
      </w:pPr>
      <w:r>
        <w:rPr>
          <w:rFonts w:ascii="Arial" w:cs="Arial" w:eastAsia="Arial" w:hAnsi="Arial"/>
          <w:sz w:val="22"/>
          <w:szCs w:val="22"/>
          <w:color w:val="auto"/>
        </w:rPr>
        <w:t>2333 BK Leiden  P7  00000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0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6"/>
        </w:trPr>
        <w:tc>
          <w:tcPr>
            <w:tcW w:w="3600" w:type="dxa"/>
            <w:vAlign w:val="bottom"/>
          </w:tcPr>
          <w:p>
            <w:pPr>
              <w:spacing w:after="0"/>
              <w:rPr>
                <w:sz w:val="20"/>
                <w:szCs w:val="20"/>
                <w:color w:val="auto"/>
              </w:rPr>
            </w:pPr>
            <w:r>
              <w:rPr>
                <w:rFonts w:ascii="Arial" w:cs="Arial" w:eastAsia="Arial" w:hAnsi="Arial"/>
                <w:sz w:val="22"/>
                <w:szCs w:val="22"/>
                <w:color w:val="auto"/>
                <w:w w:val="88"/>
              </w:rPr>
              <w:t>Ordinary Shares, par value Euro 0.12 per</w:t>
            </w:r>
          </w:p>
        </w:tc>
        <w:tc>
          <w:tcPr>
            <w:tcW w:w="2320" w:type="dxa"/>
            <w:vAlign w:val="bottom"/>
            <w:gridSpan w:val="2"/>
          </w:tcPr>
          <w:p>
            <w:pPr>
              <w:jc w:val="right"/>
              <w:ind w:right="712"/>
              <w:spacing w:after="0"/>
              <w:rPr>
                <w:sz w:val="20"/>
                <w:szCs w:val="20"/>
                <w:color w:val="auto"/>
              </w:rPr>
            </w:pPr>
            <w:r>
              <w:rPr>
                <w:rFonts w:ascii="Arial" w:cs="Arial" w:eastAsia="Arial" w:hAnsi="Arial"/>
                <w:sz w:val="22"/>
                <w:szCs w:val="22"/>
                <w:color w:val="auto"/>
                <w:w w:val="89"/>
              </w:rPr>
              <w:t>08/15/2023 2289</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58025.90</w:t>
            </w:r>
          </w:p>
        </w:tc>
        <w:tc>
          <w:tcPr>
            <w:tcW w:w="0" w:type="dxa"/>
            <w:vAlign w:val="bottom"/>
          </w:tcPr>
          <w:p>
            <w:pPr>
              <w:spacing w:after="0"/>
              <w:rPr>
                <w:sz w:val="1"/>
                <w:szCs w:val="1"/>
                <w:color w:val="auto"/>
              </w:rPr>
            </w:pPr>
          </w:p>
        </w:tc>
      </w:tr>
      <w:tr>
        <w:trPr>
          <w:trHeight w:val="274"/>
        </w:trPr>
        <w:tc>
          <w:tcPr>
            <w:tcW w:w="3600" w:type="dxa"/>
            <w:vAlign w:val="bottom"/>
          </w:tcPr>
          <w:p>
            <w:pPr>
              <w:spacing w:after="0"/>
              <w:rPr>
                <w:sz w:val="20"/>
                <w:szCs w:val="20"/>
                <w:color w:val="auto"/>
              </w:rPr>
            </w:pPr>
            <w:r>
              <w:rPr>
                <w:rFonts w:ascii="Arial" w:cs="Arial" w:eastAsia="Arial" w:hAnsi="Arial"/>
                <w:sz w:val="22"/>
                <w:szCs w:val="22"/>
                <w:color w:val="auto"/>
              </w:rPr>
              <w:t>share</w:t>
            </w: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ectPr>
          <w:pgSz w:w="11900" w:h="16838" w:orient="portrait"/>
          <w:cols w:equalWidth="0" w:num="2">
            <w:col w:w="3120" w:space="540"/>
            <w:col w:w="7580"/>
          </w:cols>
          <w:pgMar w:left="320" w:top="118"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6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shares reported on this Form 144 will be sold pursuant to a Rule 10b5-1 trading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11/17/2023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05/11/2023</w:t>
      </w:r>
    </w:p>
    <w:p>
      <w:pPr>
        <w:spacing w:after="0" w:line="618" w:lineRule="exact"/>
        <w:rPr>
          <w:sz w:val="20"/>
          <w:szCs w:val="20"/>
          <w:color w:val="auto"/>
        </w:rPr>
      </w:pPr>
    </w:p>
    <w:p>
      <w:pPr>
        <w:sectPr>
          <w:pgSz w:w="11900" w:h="16838" w:orient="portrait"/>
          <w:cols w:equalWidth="0" w:num="2">
            <w:col w:w="4420" w:space="720"/>
            <w:col w:w="6100"/>
          </w:cols>
          <w:pgMar w:left="320" w:top="118"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Berndt Modig</w:t>
      </w:r>
    </w:p>
    <w:p>
      <w:pPr>
        <w:sectPr>
          <w:pgSz w:w="11900" w:h="16838" w:orient="portrait"/>
          <w:cols w:equalWidth="0" w:num="1">
            <w:col w:w="11240"/>
          </w:cols>
          <w:pgMar w:left="320" w:top="118"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2023-11-17T08:47:40Z</dcterms:created>
  <dcterms:modified xsi:type="dcterms:W3CDTF">2023-11-17T08:47:40Z</dcterms:modified>
</cp:coreProperties>
</file>