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hvs-20260630.htm"/>
      <w:bookmarkStart w:id="1" w:name="ksphvs20260630"/>
      <w:bookmarkEnd w:id="0"/>
      <w:bookmarkEnd w:id="1"/>
      <w:r>
        <w:rPr/>
        <w:t> </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FORM 6-K</w:t>
      </w:r>
    </w:p>
    <w:p>
      <w:pPr>
        <w:pStyle w:val="TextBody"/>
        <w:pBdr>
          <w:bottom w:val="single" w:sz="4" w:space="1" w:color="000000"/>
        </w:pBdr>
        <w:bidi w:val="0"/>
        <w:spacing w:before="0" w:after="200"/>
        <w:jc w:val="center"/>
        <w:rPr/>
      </w:pPr>
      <w:r>
        <w:rPr/>
        <w:t> </w:t>
      </w:r>
    </w:p>
    <w:p>
      <w:pPr>
        <w:pStyle w:val="TextBody"/>
        <w:bidi w:val="0"/>
        <w:spacing w:before="0" w:after="240"/>
        <w:jc w:val="center"/>
        <w:rPr>
          <w:rFonts w:ascii="Arial" w:hAnsi="Arial"/>
          <w:b/>
          <w:color w:val="000000"/>
          <w:sz w:val="18"/>
        </w:rPr>
      </w:pPr>
      <w:r>
        <w:rPr>
          <w:rFonts w:ascii="Arial" w:hAnsi="Arial"/>
          <w:b/>
          <w:color w:val="000000"/>
          <w:sz w:val="18"/>
        </w:rPr>
        <w:t>REPORT OF FOREIGN PRIVATE ISSUER</w:t>
        <w:br/>
        <w:t>PURSUANT TO RULE 13A-16 OR 15D-16 UNDER</w:t>
        <w:br/>
        <w:t>THE SECURITIES EXCHANGE ACT OF 1934</w:t>
      </w:r>
    </w:p>
    <w:p>
      <w:pPr>
        <w:pStyle w:val="TextBody"/>
        <w:bidi w:val="0"/>
        <w:jc w:val="center"/>
        <w:rPr>
          <w:rFonts w:ascii="Arial" w:hAnsi="Arial"/>
          <w:b/>
          <w:color w:val="000000"/>
          <w:sz w:val="18"/>
        </w:rPr>
      </w:pPr>
      <w:r>
        <w:rPr>
          <w:rFonts w:ascii="Arial" w:hAnsi="Arial"/>
          <w:b/>
          <w:color w:val="000000"/>
          <w:sz w:val="18"/>
        </w:rPr>
        <w:t>For the month of August 2026</w:t>
        <w:br/>
        <w:br/>
        <w:t>Commission File Number: 001-40010</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Arial" w:hAnsi="Arial"/>
          <w:b/>
          <w:color w:val="000000"/>
          <w:sz w:val="48"/>
        </w:rPr>
      </w:pPr>
      <w:r>
        <w:rPr>
          <w:rFonts w:ascii="Arial" w:hAnsi="Arial"/>
          <w:b/>
          <w:color w:val="000000"/>
          <w:sz w:val="48"/>
        </w:rPr>
        <w:t>Pharvaris N.V.</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(Translation of registrant’s name into English)</w:t>
      </w:r>
    </w:p>
    <w:p>
      <w:pPr>
        <w:pStyle w:val="TextBody"/>
        <w:pBdr>
          <w:bottom w:val="single" w:sz="4" w:space="1" w:color="000000"/>
        </w:pBdr>
        <w:bidi w:val="0"/>
        <w:spacing w:before="0" w:after="200"/>
        <w:jc w:val="center"/>
        <w:rPr/>
      </w:pPr>
      <w:r>
        <w:rPr/>
        <w:t> </w:t>
      </w:r>
    </w:p>
    <w:p>
      <w:pPr>
        <w:pStyle w:val="TextBody"/>
        <w:bidi w:val="0"/>
        <w:jc w:val="center"/>
        <w:rPr>
          <w:rFonts w:ascii="Arial" w:hAnsi="Arial"/>
          <w:b/>
          <w:color w:val="000000"/>
          <w:sz w:val="18"/>
        </w:rPr>
      </w:pPr>
      <w:r>
        <w:rPr>
          <w:rFonts w:ascii="Arial" w:hAnsi="Arial"/>
          <w:b/>
          <w:color w:val="000000"/>
          <w:sz w:val="18"/>
        </w:rPr>
        <w:t>Emmy Noetherweg 2</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2333 BK Leiden</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The Netherlands</w:t>
        <w:br/>
      </w:r>
      <w:r>
        <w:rPr>
          <w:rFonts w:ascii="Arial" w:hAnsi="Arial"/>
          <w:color w:val="000000"/>
          <w:sz w:val="18"/>
        </w:rPr>
        <w:t>(Address of principal executive office)</w:t>
      </w:r>
    </w:p>
    <w:p>
      <w:pPr>
        <w:pStyle w:val="TextBody"/>
        <w:bidi w:val="0"/>
        <w:spacing w:before="200" w:after="283"/>
        <w:jc w:val="left"/>
        <w:rPr>
          <w:rFonts w:ascii="Arial" w:hAnsi="Arial"/>
          <w:color w:val="000000"/>
          <w:sz w:val="18"/>
        </w:rPr>
      </w:pPr>
      <w:r>
        <w:rPr>
          <w:rFonts w:ascii="Arial" w:hAnsi="Arial"/>
          <w:color w:val="000000"/>
          <w:sz w:val="18"/>
        </w:rPr>
        <w:t>Indicate by check mark whether the registrant files or will file annual reports under cover of Form 20-F or Form 40-F.</w:t>
      </w:r>
    </w:p>
    <w:p>
      <w:pPr>
        <w:pStyle w:val="TextBody"/>
        <w:bidi w:val="0"/>
        <w:spacing w:before="200" w:after="283"/>
        <w:jc w:val="left"/>
        <w:rPr>
          <w:rFonts w:ascii="Times New Roman" w:hAnsi="Times New Roman"/>
          <w:sz w:val="20"/>
        </w:rPr>
      </w:pPr>
      <w:r>
        <w:rPr>
          <w:rFonts w:ascii="Arial" w:hAnsi="Arial"/>
          <w:color w:val="000000"/>
          <w:sz w:val="18"/>
        </w:rPr>
        <w:t xml:space="preserve">Form 20-F </w:t>
      </w:r>
      <w:r>
        <w:rPr>
          <w:rFonts w:ascii="Times New Roman" w:hAnsi="Times New Roman"/>
          <w:sz w:val="20"/>
        </w:rPr>
        <w:t>☒</w:t>
      </w:r>
      <w:r>
        <w:rPr>
          <w:rFonts w:ascii="Times New Roman" w:hAnsi="Times New Roman"/>
          <w:color w:val="000000"/>
          <w:sz w:val="20"/>
        </w:rPr>
        <w:t xml:space="preserve"> </w:t>
      </w:r>
      <w:r>
        <w:rPr>
          <w:rFonts w:ascii="Arial" w:hAnsi="Arial"/>
          <w:color w:val="000000"/>
          <w:sz w:val="18"/>
        </w:rPr>
        <w:t xml:space="preserve">Form 40-F </w:t>
      </w:r>
      <w:r>
        <w:rPr>
          <w:rFonts w:ascii="Times New Roman" w:hAnsi="Times New Roman"/>
          <w:sz w:val="20"/>
        </w:rPr>
        <w:t>☐</w:t>
      </w:r>
    </w:p>
    <w:p>
      <w:pPr>
        <w:pStyle w:val="TextBody"/>
        <w:bidi w:val="0"/>
        <w:spacing w:before="200" w:after="283"/>
        <w:jc w:val="left"/>
        <w:rPr>
          <w:rFonts w:ascii="Times New Roman" w:hAnsi="Times New Roman"/>
          <w:sz w:val="20"/>
        </w:rPr>
      </w:pPr>
      <w:r>
        <w:rPr>
          <w:rFonts w:ascii="Arial" w:hAnsi="Arial"/>
          <w:color w:val="000000"/>
          <w:sz w:val="18"/>
        </w:rPr>
        <w:t xml:space="preserve">Indicate by check mark if the registrant is submitting the Form 6-K in paper as permitted by Regulation S-T Rule 101(b)(1): </w:t>
      </w:r>
      <w:r>
        <w:rPr>
          <w:rFonts w:ascii="Times New Roman" w:hAnsi="Times New Roman"/>
          <w:sz w:val="20"/>
        </w:rPr>
        <w:t>☐</w:t>
      </w:r>
    </w:p>
    <w:p>
      <w:pPr>
        <w:pStyle w:val="TextBody"/>
        <w:bidi w:val="0"/>
        <w:spacing w:before="200" w:after="283"/>
        <w:jc w:val="left"/>
        <w:rPr>
          <w:rFonts w:ascii="Arial" w:hAnsi="Arial"/>
          <w:color w:val="000000"/>
          <w:sz w:val="18"/>
        </w:rPr>
      </w:pPr>
      <w:r>
        <w:rPr>
          <w:rFonts w:ascii="Arial" w:hAnsi="Arial"/>
          <w:color w:val="000000"/>
          <w:sz w:val="18"/>
        </w:rPr>
        <w:t>Note: Regulation S-T Rule 101(b)(1) only permits the submission in paper of a Form 6-K if submitted solely to provide an attached annual report to security holders</w:t>
      </w:r>
    </w:p>
    <w:p>
      <w:pPr>
        <w:pStyle w:val="TextBody"/>
        <w:bidi w:val="0"/>
        <w:spacing w:before="200" w:after="283"/>
        <w:jc w:val="left"/>
        <w:rPr>
          <w:rFonts w:ascii="Times New Roman" w:hAnsi="Times New Roman"/>
          <w:sz w:val="20"/>
        </w:rPr>
      </w:pPr>
      <w:r>
        <w:rPr>
          <w:rFonts w:ascii="Arial" w:hAnsi="Arial"/>
          <w:color w:val="000000"/>
          <w:sz w:val="18"/>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pBdr>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PHARVARIS N.V.</w:t>
      </w:r>
    </w:p>
    <w:p>
      <w:pPr>
        <w:pStyle w:val="TextBody"/>
        <w:bidi w:val="0"/>
        <w:spacing w:before="0" w:after="240"/>
        <w:jc w:val="left"/>
        <w:rPr/>
      </w:pPr>
      <w:r>
        <w:rPr/>
        <w:t> </w:t>
      </w:r>
    </w:p>
    <w:p>
      <w:pPr>
        <w:pStyle w:val="TextBody"/>
        <w:bidi w:val="0"/>
        <w:spacing w:before="0" w:after="240"/>
        <w:jc w:val="left"/>
        <w:rPr>
          <w:rFonts w:ascii="Arial" w:hAnsi="Arial"/>
          <w:color w:val="000000"/>
          <w:sz w:val="18"/>
        </w:rPr>
      </w:pPr>
      <w:r>
        <w:rPr>
          <w:rFonts w:ascii="Arial" w:hAnsi="Arial"/>
          <w:color w:val="000000"/>
          <w:sz w:val="18"/>
        </w:rPr>
        <w:t>On August 12, 2026, Pharvaris N.V. issued a press release reporting financial results and other business updates for the three and six months ended June 30, 2026.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pStyle w:val="TextBody"/>
        <w:bidi w:val="0"/>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Arial" w:hAnsi="Arial"/>
          <w:b/>
          <w:color w:val="000000"/>
          <w:sz w:val="20"/>
        </w:rPr>
      </w:pPr>
      <w:r>
        <w:rPr>
          <w:rFonts w:ascii="Arial" w:hAnsi="Arial"/>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w:t>
            </w:r>
          </w:p>
        </w:tc>
        <w:tc>
          <w:tcPr>
            <w:tcW w:w="146"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9308"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Arial" w:hAnsi="Arial"/>
                  <w:color w:val="0000FF"/>
                  <w:sz w:val="18"/>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Arial" w:hAnsi="Arial"/>
                  <w:color w:val="0000FF"/>
                  <w:sz w:val="18"/>
                  <w:u w:val="single"/>
                </w:rPr>
                <w:t>Press Release, dated August 12, 2026, (Financial results).</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hyperlink w:anchor="phvs-ex99_2.htm">
              <w:r>
                <w:rPr>
                  <w:rStyle w:val="InternetLink"/>
                  <w:rFonts w:ascii="Arial" w:hAnsi="Arial"/>
                  <w:color w:val="0000FF"/>
                  <w:sz w:val="18"/>
                  <w:u w:val="single"/>
                </w:rPr>
                <w:t>99.2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hvs-ex99_2.htm">
              <w:r>
                <w:rPr>
                  <w:rStyle w:val="InternetLink"/>
                  <w:rFonts w:ascii="Arial" w:hAnsi="Arial"/>
                  <w:color w:val="0000FF"/>
                  <w:sz w:val="18"/>
                  <w:u w:val="single"/>
                </w:rPr>
                <w:t>Management’s Discussion and Analysis of Financial Condition and Results of Operations as of and for the Three and Six Months Ended June 30, 2026 and 2025.</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hyperlink w:anchor="phvs-ex99_3.htm">
              <w:r>
                <w:rPr>
                  <w:rStyle w:val="InternetLink"/>
                  <w:rFonts w:ascii="Arial" w:hAnsi="Arial"/>
                  <w:color w:val="0000FF"/>
                  <w:sz w:val="18"/>
                  <w:u w:val="single"/>
                </w:rPr>
                <w:t>99.3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hvs-ex99_3.htm">
              <w:r>
                <w:rPr>
                  <w:rStyle w:val="InternetLink"/>
                  <w:rFonts w:ascii="Arial" w:hAnsi="Arial"/>
                  <w:color w:val="0000FF"/>
                  <w:sz w:val="18"/>
                  <w:u w:val="single"/>
                </w:rPr>
                <w:t>Unaudited Condensed Consolidated Interim Financial Statements as of and for the Three and Six Months Ended June 30, 2026 and 2025 and as of December 31, 2025.</w:t>
              </w:r>
            </w:hyperlink>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578" w:type="dxa"/>
        <w:jc w:val="left"/>
        <w:tblInd w:w="0" w:type="dxa"/>
        <w:tblLayout w:type="fixed"/>
        <w:tblCellMar>
          <w:top w:w="28" w:type="dxa"/>
          <w:left w:w="28" w:type="dxa"/>
          <w:bottom w:w="28" w:type="dxa"/>
          <w:right w:w="28" w:type="dxa"/>
        </w:tblCellMar>
      </w:tblPr>
      <w:tblGrid>
        <w:gridCol w:w="1936"/>
        <w:gridCol w:w="646"/>
        <w:gridCol w:w="1996"/>
      </w:tblGrid>
      <w:tr>
        <w:trPr/>
        <w:tc>
          <w:tcPr>
            <w:tcW w:w="19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PHARVARIS N.V.</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12, 2026</w:t>
            </w:r>
          </w:p>
        </w:tc>
        <w:tc>
          <w:tcPr>
            <w:tcW w:w="6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9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Berndt Modig</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Berndt Modig</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phvs-ex99_1.htm"/>
      <w:bookmarkStart w:id="3" w:name="ksphvsex99_1"/>
      <w:bookmarkEnd w:id="2"/>
      <w:bookmarkEnd w:id="3"/>
      <w:r>
        <w:rPr/>
        <w:t> </w:t>
      </w:r>
      <w:r>
        <w:br w:type="page"/>
      </w:r>
    </w:p>
    <w:p>
      <w:pPr>
        <w:pStyle w:val="TextBody"/>
        <w:bidi w:val="0"/>
        <w:jc w:val="right"/>
        <w:rPr/>
      </w:pPr>
      <w:r>
        <w:rPr/>
        <w:t> </w:t>
      </w:r>
    </w:p>
    <w:p>
      <w:pPr>
        <w:pStyle w:val="TextBody"/>
        <w:bidi w:val="0"/>
        <w:jc w:val="right"/>
        <w:rPr/>
      </w:pPr>
      <w:r>
        <w:rPr/>
        <w:drawing>
          <wp:inline distT="0" distB="0" distL="0" distR="0">
            <wp:extent cx="30099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9900" cy="447675"/>
                    </a:xfrm>
                    <a:prstGeom prst="rect">
                      <a:avLst/>
                    </a:prstGeom>
                  </pic:spPr>
                </pic:pic>
              </a:graphicData>
            </a:graphic>
          </wp:inline>
        </w:drawing>
      </w:r>
    </w:p>
    <w:p>
      <w:pPr>
        <w:pStyle w:val="TextBody"/>
        <w:bidi w:val="0"/>
        <w:jc w:val="right"/>
        <w:rPr>
          <w:rFonts w:ascii="Times New Roman" w:hAnsi="Times New Roman"/>
          <w:color w:val="000000"/>
          <w:sz w:val="22"/>
        </w:rPr>
      </w:pPr>
      <w:r>
        <w:rPr>
          <w:rFonts w:ascii="Times New Roman" w:hAnsi="Times New Roman"/>
          <w:color w:val="000000"/>
          <w:sz w:val="22"/>
        </w:rPr>
        <w:t>Exhibit 99.1</w:t>
      </w:r>
    </w:p>
    <w:p>
      <w:pPr>
        <w:pStyle w:val="TextBody"/>
        <w:bidi w:val="0"/>
        <w:jc w:val="center"/>
        <w:rPr/>
      </w:pPr>
      <w:r>
        <w:rPr/>
        <w:t> </w:t>
      </w:r>
    </w:p>
    <w:p>
      <w:pPr>
        <w:pStyle w:val="TextBody"/>
        <w:bidi w:val="0"/>
        <w:jc w:val="center"/>
        <w:rPr>
          <w:rFonts w:ascii="Times New Roman" w:hAnsi="Times New Roman"/>
          <w:b/>
          <w:color w:val="000000"/>
          <w:sz w:val="27"/>
        </w:rPr>
      </w:pPr>
      <w:r>
        <w:rPr>
          <w:rFonts w:ascii="Times New Roman" w:hAnsi="Times New Roman"/>
          <w:b/>
          <w:color w:val="000000"/>
          <w:sz w:val="27"/>
        </w:rPr>
        <w:t>Pharvaris Reports Second Quarter 2026 Financial Results and Provides Business Update</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Topline data from CHAPTER-3, a pivotal Phase 3 study of deucrictibant XR for the prophylaxis of HAE attacks, expected in 3Q2026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Deucrictibant IR NDA under review by the FDA with PDUFA date of April 23, 2027; MAA validated by the EMA in July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Enrollment ongoing in CREAATE, a pivotal study of deucrictibant for the prophylactic and on-demand treatment of AAE-C1INH attacks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Strong financial position with cash and cash equivalents of €318 million as of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ZUG, Switzerland, August 12, 2026 – </w:t>
      </w:r>
      <w:r>
        <w:rPr>
          <w:rFonts w:ascii="Times New Roman" w:hAnsi="Times New Roman"/>
          <w:sz w:val="22"/>
        </w:rPr>
        <w:t>Pharvaris</w:t>
      </w:r>
      <w:r>
        <w:rPr>
          <w:rFonts w:ascii="Times New Roman" w:hAnsi="Times New Roman"/>
          <w:color w:val="000000"/>
          <w:sz w:val="20"/>
        </w:rPr>
        <w:t xml:space="preserve"> </w:t>
      </w:r>
      <w:r>
        <w:rPr>
          <w:rFonts w:ascii="Times New Roman" w:hAnsi="Times New Roman"/>
          <w:color w:val="000000"/>
          <w:sz w:val="22"/>
        </w:rPr>
        <w:t>(Nasdaq: PHVS), a late-stage biopharmaceutical company developing novel, oral bradykinin B2 receptor antagonists to help address unmet needs of those living with bradykinin-mediated angioedema (AE-BK), such as hereditary angioedema (HAE) and acquired angioedema due to C1 inhibitor deficiency (AAE-C1INH), today announced financial results for the second quarter ending on June 30, 2026, and provided a business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Times New Roman" w:hAnsi="Times New Roman"/>
          <w:i/>
          <w:color w:val="000000"/>
          <w:sz w:val="22"/>
        </w:rPr>
        <w:t xml:space="preserve">Pharvaris continues to make strong progress advancing deucrictibant IR toward potential regulatory approval, moving closer to our goal of helping address unmet needs of people living with HAE by providing a therapy that can offer rapid and sustained attack relief and resolution with a single oral capsule. In parallel to our recent regulatory successes, our ongoing pre-commercial activities are designed to support a timely, successful U.S. launch,” </w:t>
      </w:r>
      <w:r>
        <w:rPr>
          <w:rFonts w:ascii="Times New Roman" w:hAnsi="Times New Roman"/>
          <w:color w:val="000000"/>
          <w:sz w:val="22"/>
        </w:rPr>
        <w:t xml:space="preserve">said Berndt Modig, Chief Executive Officer of Pharvaris. </w:t>
      </w:r>
      <w:r>
        <w:rPr>
          <w:rFonts w:ascii="Times New Roman" w:hAnsi="Times New Roman"/>
          <w:color w:val="000000"/>
          <w:sz w:val="20"/>
        </w:rPr>
        <w:t>“</w:t>
      </w:r>
      <w:r>
        <w:rPr>
          <w:rFonts w:ascii="Times New Roman" w:hAnsi="Times New Roman"/>
          <w:i/>
          <w:color w:val="000000"/>
          <w:sz w:val="22"/>
        </w:rPr>
        <w:t>Announcing pivotal data from CHAPTER-3, expected this quarter, will mark another key milestone for Pharvaris as we develop deucrictibant for both the prevention and on-demand treatment of bradykinin-mediated angioedema attacks. The financing we completed in May extends our cash runway into 2028, enabling us to properly prepare for deucrictibant’s launch and consider lifecycle management opportunities while maintaining capital discipline.”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Recent Business Updates</w:t>
      </w:r>
    </w:p>
    <w:p>
      <w:pPr>
        <w:pStyle w:val="TextBody"/>
        <w:bidi w:val="0"/>
        <w:jc w:val="left"/>
        <w:rPr>
          <w:rFonts w:ascii="Times New Roman" w:hAnsi="Times New Roman"/>
          <w:i/>
          <w:color w:val="000000"/>
          <w:sz w:val="22"/>
        </w:rPr>
      </w:pPr>
      <w:r>
        <w:rPr>
          <w:rFonts w:ascii="Times New Roman" w:hAnsi="Times New Roman"/>
          <w:i/>
          <w:color w:val="000000"/>
          <w:sz w:val="22"/>
        </w:rPr>
        <w:t>Development Pipeline</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Topline data from CHAPTER-3 (</w:t>
      </w:r>
      <w:r>
        <w:rPr>
          <w:rFonts w:ascii="Times New Roman" w:hAnsi="Times New Roman"/>
          <w:b/>
          <w:sz w:val="22"/>
        </w:rPr>
        <w:t>NCT06669754</w:t>
      </w:r>
      <w:r>
        <w:rPr>
          <w:rFonts w:ascii="Times New Roman" w:hAnsi="Times New Roman"/>
          <w:b/>
          <w:color w:val="000000"/>
          <w:sz w:val="22"/>
        </w:rPr>
        <w:t xml:space="preserve">) expected in 3Q2026. </w:t>
      </w:r>
      <w:r>
        <w:rPr>
          <w:rFonts w:ascii="Times New Roman" w:hAnsi="Times New Roman"/>
          <w:color w:val="000000"/>
          <w:sz w:val="22"/>
        </w:rPr>
        <w:t>CHAPTER-3 is a randomized, double-blind, placebo-controlled Phase 3 study of orally administered deucrictibant extended-release (XR) tablet for the prophylaxis against angioedema attacks in adults and adolescents (12 years and older) with HAE. Eighty-five participants were enrolled and randomized in a 2:1 ratio to receive deucrictibant XR (40 mg/day), the intended commercial formulation, or placebo, once daily for 24 weeks. Pharvaris expects to announce topline data from CHAPTER-3 in the third quarter of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Enrollment in CHAPTER-4 (</w:t>
      </w:r>
      <w:r>
        <w:rPr>
          <w:rFonts w:ascii="Times New Roman" w:hAnsi="Times New Roman"/>
          <w:b/>
          <w:sz w:val="22"/>
        </w:rPr>
        <w:t>NCT06679881</w:t>
      </w:r>
      <w:r>
        <w:rPr>
          <w:rFonts w:ascii="Times New Roman" w:hAnsi="Times New Roman"/>
          <w:b/>
          <w:color w:val="000000"/>
          <w:sz w:val="22"/>
        </w:rPr>
        <w:t xml:space="preserve">) progressing as planned. </w:t>
      </w:r>
      <w:r>
        <w:rPr>
          <w:rFonts w:ascii="Times New Roman" w:hAnsi="Times New Roman"/>
          <w:color w:val="000000"/>
          <w:sz w:val="22"/>
        </w:rPr>
        <w:t>CHAPTER-4 is a long-term, open-label extension study of orally administered deucrictibant XR (40 mg/day) for the prophylactic treatment of HAE attacks. The goal of the study is to evaluate the long-term safety and effectiveness of deucrictibant XR in the prophylactic treatment of HAE attacks.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Review of marketing authorization applications of deucrictibant immediate-release (IR) capsule as a potential on-demand treatment of HAE attacks underway by regulatory authorities. </w:t>
      </w:r>
      <w:r>
        <w:rPr>
          <w:rFonts w:ascii="Times New Roman" w:hAnsi="Times New Roman"/>
          <w:color w:val="000000"/>
          <w:sz w:val="22"/>
        </w:rPr>
        <w:t>In July 2026, the U.S. Food and Drug Administration (FDA) accepted to review the Company’s New Drug Application (NDA) for deucrictibant IR for the on-demand treatment of HAE attacks, with the Prescription Drug User Fee Act (PDUFA) action date set for April 23, 2027. In July 2026, the European Medicines Agency (EMA) validated the</w:t>
      </w:r>
      <w:r>
        <w:rPr>
          <w:color w:val="000000"/>
        </w:rPr>
        <w:t xml:space="preserve"> </w:t>
      </w:r>
      <w:r>
        <w:rPr>
          <w:rFonts w:ascii="Times New Roman" w:hAnsi="Times New Roman"/>
          <w:color w:val="000000"/>
          <w:sz w:val="22"/>
        </w:rPr>
        <w:t xml:space="preserve">marketing authorization application (MAA) for deucrictibant IR and began its formal review of the MAA under the centralized procedure.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Expanded Access Program (EAP) for deucrictibant IR for the on-demand treatment of HAE attacks opened in the U.S. </w:t>
      </w:r>
      <w:r>
        <w:rPr>
          <w:rFonts w:ascii="Times New Roman" w:hAnsi="Times New Roman"/>
          <w:color w:val="000000"/>
          <w:sz w:val="22"/>
        </w:rPr>
        <w:t xml:space="preserve">EAPs are a potential pathway for people with a serious or immediately life-threatening disease or condition to gain access to an investigational medical product for treatment outside of clinical trials when no comparable or satisfactory alternative therapy options are available. The U.S. EAP for deucrictibant IR is available to people in U.S. living with HAE meeting eligibility requirements. Healthcare professionals interested in making requests for access to deucrictibant IR through EAP can refer to </w:t>
      </w:r>
      <w:r>
        <w:rPr>
          <w:rFonts w:ascii="Times New Roman" w:hAnsi="Times New Roman"/>
          <w:sz w:val="22"/>
        </w:rPr>
        <w:t>https://mytomorrows.com/pharvaris/healthcareprofessional/</w:t>
      </w:r>
      <w:r>
        <w:rPr>
          <w:color w:val="000000"/>
        </w:rPr>
        <w:t xml:space="preserve"> </w:t>
      </w:r>
      <w:r>
        <w:rPr>
          <w:rFonts w:ascii="Times New Roman" w:hAnsi="Times New Roman"/>
          <w:color w:val="000000"/>
          <w:sz w:val="22"/>
        </w:rPr>
        <w:t xml:space="preserve">and/or email Pharvaris’ Medical Affairs at </w:t>
      </w:r>
      <w:r>
        <w:rPr>
          <w:rFonts w:ascii="Times New Roman" w:hAnsi="Times New Roman"/>
          <w:sz w:val="22"/>
        </w:rPr>
        <w:t>expandedaccess@pharvaris.com</w:t>
      </w:r>
      <w:r>
        <w:rPr>
          <w:rFonts w:ascii="Times New Roman" w:hAnsi="Times New Roman"/>
          <w:color w:val="000000"/>
          <w:sz w:val="22"/>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Enrollment in CREAATE (</w:t>
      </w:r>
      <w:r>
        <w:rPr>
          <w:rFonts w:ascii="Times New Roman" w:hAnsi="Times New Roman"/>
          <w:b/>
          <w:sz w:val="22"/>
        </w:rPr>
        <w:t>NCT07266805</w:t>
      </w:r>
      <w:r>
        <w:rPr>
          <w:rFonts w:ascii="Times New Roman" w:hAnsi="Times New Roman"/>
          <w:b/>
          <w:color w:val="000000"/>
          <w:sz w:val="22"/>
        </w:rPr>
        <w:t xml:space="preserve">) progressing as planned. </w:t>
      </w:r>
      <w:r>
        <w:rPr>
          <w:rFonts w:ascii="Times New Roman" w:hAnsi="Times New Roman"/>
          <w:color w:val="000000"/>
          <w:sz w:val="22"/>
        </w:rPr>
        <w:t xml:space="preserve">CREAATE is a global, pivotal Phase 3 study evaluating orally administered deucrictibant for the prophylactic and on-demand treatment of AAE-C1INH attacks.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Assessment of AAE-C1INH disease burden and validation of clinical trial endpoints published in </w:t>
      </w:r>
      <w:r>
        <w:rPr>
          <w:rFonts w:ascii="Times New Roman" w:hAnsi="Times New Roman"/>
          <w:b/>
          <w:i/>
          <w:color w:val="467886"/>
          <w:sz w:val="22"/>
          <w:u w:val="single"/>
        </w:rPr>
        <w:t>Frontiers in Immunology</w:t>
      </w:r>
      <w:r>
        <w:rPr>
          <w:rFonts w:ascii="Times New Roman" w:hAnsi="Times New Roman"/>
          <w:b/>
          <w:i/>
          <w:color w:val="000000"/>
          <w:sz w:val="22"/>
        </w:rPr>
        <w:t>.</w:t>
      </w:r>
      <w:r>
        <w:rPr>
          <w:color w:val="000000"/>
        </w:rPr>
        <w:t xml:space="preserve"> </w:t>
      </w:r>
      <w:r>
        <w:rPr>
          <w:rFonts w:ascii="Times New Roman" w:hAnsi="Times New Roman"/>
          <w:color w:val="000000"/>
          <w:sz w:val="22"/>
        </w:rPr>
        <w:t>Qualitative interviews provided evidence of the impact of AAE-C1INH on participants’ lives and overall well-being, and the study findings informed the clinical outcome assessment strategy for CREAATE, the first phase 3 clinical trial specifically studying AAE-C1INH.</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Evidence supporting bradykinin B2 receptor as a validated therapeutic target in bradykinin-mediated angioedema published in </w:t>
      </w:r>
      <w:r>
        <w:rPr>
          <w:rFonts w:ascii="Times New Roman" w:hAnsi="Times New Roman"/>
          <w:b/>
          <w:i/>
          <w:sz w:val="22"/>
        </w:rPr>
        <w:t>Clinical Reviews in Allergy &amp; Immunology</w:t>
      </w:r>
      <w:r>
        <w:rPr>
          <w:rFonts w:ascii="Times New Roman" w:hAnsi="Times New Roman"/>
          <w:b/>
          <w:color w:val="000000"/>
          <w:sz w:val="22"/>
        </w:rPr>
        <w:t xml:space="preserve">. </w:t>
      </w:r>
      <w:r>
        <w:rPr>
          <w:rFonts w:ascii="Times New Roman" w:hAnsi="Times New Roman"/>
          <w:color w:val="000000"/>
          <w:sz w:val="22"/>
        </w:rPr>
        <w:t xml:space="preserve">This summary of the growing body of evidence explores the critical role of bradykinin B2 receptor in the pathogenesis of bradykinin-mediated angioedema and supports bradykinin B2 receptor antagonism as a therapeutic strategy for bradykinin-mediated diseases, including HAE and AAE-C1INH, as well as, potentially, other allergic and immunological conditions.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Corporate</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Peng Lu, M.D., Ph.D., promoted to newly created role of President. </w:t>
      </w:r>
      <w:r>
        <w:rPr>
          <w:rFonts w:ascii="Times New Roman" w:hAnsi="Times New Roman"/>
          <w:color w:val="000000"/>
          <w:sz w:val="22"/>
        </w:rPr>
        <w:t xml:space="preserve">Leveraging the company’s scientific rigor and reflecting the depth of Dr. Lu’s contributions, Pharvaris has brought its research, development, and commercial functions under one leadership structure by promoting Dr. Lu to President, effective June 2026, strengthening Pharvaris’ ability to deliver on its strategic priorities.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Closed $132 million underwritten offering. </w:t>
      </w:r>
      <w:r>
        <w:rPr>
          <w:rFonts w:ascii="Times New Roman" w:hAnsi="Times New Roman"/>
          <w:color w:val="000000"/>
          <w:sz w:val="22"/>
        </w:rPr>
        <w:t xml:space="preserve">The proceeds from the offering of $132.3 million of shares extends cash runway into 2028.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Upcoming Investor Events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Wells Fargo 21st Annual Healthcare Conference. </w:t>
      </w:r>
      <w:r>
        <w:rPr>
          <w:rFonts w:ascii="Times New Roman" w:hAnsi="Times New Roman"/>
          <w:color w:val="000000"/>
          <w:sz w:val="22"/>
        </w:rPr>
        <w:t>Boston, MA, Sept. 8-10,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Format: </w:t>
      </w:r>
      <w:r>
        <w:rPr>
          <w:rFonts w:ascii="Times New Roman" w:hAnsi="Times New Roman"/>
          <w:color w:val="000000"/>
          <w:sz w:val="22"/>
        </w:rPr>
        <w:t>Fireside Chat</w:t>
        <w:br/>
      </w:r>
      <w:r>
        <w:rPr>
          <w:rFonts w:ascii="Times New Roman" w:hAnsi="Times New Roman"/>
          <w:b/>
          <w:color w:val="000000"/>
          <w:sz w:val="22"/>
        </w:rPr>
        <w:t xml:space="preserve">Date, time: </w:t>
      </w:r>
      <w:r>
        <w:rPr>
          <w:rFonts w:ascii="Times New Roman" w:hAnsi="Times New Roman"/>
          <w:color w:val="000000"/>
          <w:sz w:val="22"/>
        </w:rPr>
        <w:t>Wednesday, Sept. 9, 4:30 p.m. EDT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2026 Cantor Global Healthcare Conference. </w:t>
      </w:r>
      <w:r>
        <w:rPr>
          <w:rFonts w:ascii="Times New Roman" w:hAnsi="Times New Roman"/>
          <w:color w:val="000000"/>
          <w:sz w:val="22"/>
        </w:rPr>
        <w:t>New York, NY, Sept. 9-11,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Format:</w:t>
      </w:r>
      <w:r>
        <w:rPr>
          <w:color w:val="000000"/>
        </w:rPr>
        <w:t xml:space="preserve"> </w:t>
      </w:r>
      <w:r>
        <w:rPr>
          <w:rFonts w:ascii="Times New Roman" w:hAnsi="Times New Roman"/>
          <w:color w:val="000000"/>
          <w:sz w:val="22"/>
        </w:rPr>
        <w:t>Fireside Chat</w:t>
        <w:br/>
      </w:r>
      <w:r>
        <w:rPr>
          <w:rFonts w:ascii="Times New Roman" w:hAnsi="Times New Roman"/>
          <w:b/>
          <w:color w:val="000000"/>
          <w:sz w:val="22"/>
        </w:rPr>
        <w:t xml:space="preserve">Date, time: </w:t>
      </w:r>
      <w:r>
        <w:rPr>
          <w:rFonts w:ascii="Times New Roman" w:hAnsi="Times New Roman"/>
          <w:color w:val="000000"/>
          <w:sz w:val="22"/>
        </w:rPr>
        <w:t>Thursday, Sept. 10, 1:00 p.m. EDT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Morgan Stanley 24th Annual Global Healthcare Conference. </w:t>
      </w:r>
      <w:r>
        <w:rPr>
          <w:rFonts w:ascii="Times New Roman" w:hAnsi="Times New Roman"/>
          <w:color w:val="000000"/>
          <w:sz w:val="22"/>
        </w:rPr>
        <w:t>New York, NY, Sept. 14-16,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Format: </w:t>
      </w:r>
      <w:r>
        <w:rPr>
          <w:rFonts w:ascii="Times New Roman" w:hAnsi="Times New Roman"/>
          <w:color w:val="000000"/>
          <w:sz w:val="22"/>
        </w:rPr>
        <w:t>Fireside Chat</w:t>
        <w:br/>
      </w:r>
      <w:r>
        <w:rPr>
          <w:rFonts w:ascii="Times New Roman" w:hAnsi="Times New Roman"/>
          <w:b/>
          <w:color w:val="000000"/>
          <w:sz w:val="22"/>
        </w:rPr>
        <w:t xml:space="preserve">Date, time: </w:t>
      </w:r>
      <w:r>
        <w:rPr>
          <w:rFonts w:ascii="Times New Roman" w:hAnsi="Times New Roman"/>
          <w:color w:val="000000"/>
          <w:sz w:val="22"/>
        </w:rPr>
        <w:t>Tuesday, Sept. 15, 7:45 a.m. EDT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H.C. Wainwright 28th Annual Global Investment Conference. </w:t>
      </w:r>
      <w:r>
        <w:rPr>
          <w:rFonts w:ascii="Times New Roman" w:hAnsi="Times New Roman"/>
          <w:color w:val="000000"/>
          <w:sz w:val="22"/>
        </w:rPr>
        <w:t>New York, NY, Sept. 14-16, 2026.</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Format:</w:t>
      </w:r>
      <w:r>
        <w:rPr>
          <w:color w:val="000000"/>
        </w:rPr>
        <w:t xml:space="preserve"> </w:t>
      </w:r>
      <w:r>
        <w:rPr>
          <w:rFonts w:ascii="Times New Roman" w:hAnsi="Times New Roman"/>
          <w:color w:val="000000"/>
          <w:sz w:val="22"/>
        </w:rPr>
        <w:t>Fireside Chat</w:t>
        <w:br/>
      </w:r>
      <w:r>
        <w:rPr>
          <w:rFonts w:ascii="Times New Roman" w:hAnsi="Times New Roman"/>
          <w:b/>
          <w:color w:val="000000"/>
          <w:sz w:val="22"/>
        </w:rPr>
        <w:t xml:space="preserve">Date, time: </w:t>
      </w:r>
      <w:r>
        <w:rPr>
          <w:rFonts w:ascii="Times New Roman" w:hAnsi="Times New Roman"/>
          <w:color w:val="000000"/>
          <w:sz w:val="22"/>
        </w:rPr>
        <w:t>Wednesday, Sept. 16, 8:00 a.m. EDT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Live audio webcasts of the presentations will be available on the Investors section of the Pharvaris website at: </w:t>
      </w:r>
      <w:r>
        <w:rPr>
          <w:rFonts w:ascii="Times New Roman" w:hAnsi="Times New Roman"/>
          <w:sz w:val="22"/>
        </w:rPr>
        <w:t>https://ir.pharvaris.com/news-events/events-presentations</w:t>
      </w:r>
      <w:r>
        <w:rPr>
          <w:rFonts w:ascii="Times New Roman" w:hAnsi="Times New Roman"/>
          <w:color w:val="000000"/>
          <w:sz w:val="22"/>
        </w:rPr>
        <w:t>. The audio replays will be available on Pharvaris’ website for 30 days following the presentation.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Upcoming Medical Congress Presentations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Bradykinin Symposium 2026. </w:t>
      </w:r>
      <w:r>
        <w:rPr>
          <w:rFonts w:ascii="Times New Roman" w:hAnsi="Times New Roman"/>
          <w:color w:val="000000"/>
          <w:sz w:val="22"/>
        </w:rPr>
        <w:t>Berlin, September 3-4, 2026. Details for the accepted presentations at the 8</w:t>
      </w:r>
      <w:r>
        <w:rPr>
          <w:rFonts w:ascii="Times New Roman" w:hAnsi="Times New Roman"/>
          <w:color w:val="000000"/>
          <w:sz w:val="15"/>
        </w:rPr>
        <w:t>th</w:t>
      </w:r>
      <w:r>
        <w:rPr>
          <w:color w:val="000000"/>
        </w:rPr>
        <w:t xml:space="preserve"> </w:t>
      </w:r>
      <w:r>
        <w:rPr>
          <w:rFonts w:ascii="Times New Roman" w:hAnsi="Times New Roman"/>
          <w:color w:val="000000"/>
          <w:sz w:val="22"/>
        </w:rPr>
        <w:t>Bradykinin Symposium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Modelling human, rat, and humanized bradykinin B2 receptor-deucrictibant complexes in-silico</w:t>
      </w:r>
      <w:r>
        <w:rPr>
          <w:rFonts w:ascii="Times New Roman" w:hAnsi="Times New Roman"/>
          <w:b/>
          <w:color w:val="000000"/>
          <w:sz w:val="22"/>
        </w:rPr>
        <w:br/>
        <w:t xml:space="preserve">Presenter: </w:t>
      </w:r>
      <w:r>
        <w:rPr>
          <w:rFonts w:ascii="Times New Roman" w:hAnsi="Times New Roman"/>
          <w:color w:val="000000"/>
          <w:sz w:val="22"/>
        </w:rPr>
        <w:t>Niklas Piet Doering, Ph.D.</w:t>
      </w:r>
      <w:r>
        <w:rPr>
          <w:rFonts w:ascii="Times New Roman" w:hAnsi="Times New Roman"/>
          <w:b/>
          <w:color w:val="000000"/>
          <w:sz w:val="22"/>
        </w:rPr>
        <w:br/>
        <w:t xml:space="preserve">Format: </w:t>
      </w:r>
      <w:r>
        <w:rPr>
          <w:rFonts w:ascii="Times New Roman" w:hAnsi="Times New Roman"/>
          <w:color w:val="000000"/>
          <w:sz w:val="22"/>
        </w:rPr>
        <w:t>Oral Presentation</w:t>
      </w:r>
      <w:r>
        <w:rPr>
          <w:rFonts w:ascii="Times New Roman" w:hAnsi="Times New Roman"/>
          <w:b/>
          <w:color w:val="000000"/>
          <w:sz w:val="22"/>
        </w:rPr>
        <w:br/>
        <w:t>Abstract ID:</w:t>
      </w:r>
      <w:r>
        <w:rPr>
          <w:color w:val="000000"/>
        </w:rPr>
        <w:t xml:space="preserve"> </w:t>
      </w:r>
      <w:r>
        <w:rPr>
          <w:rFonts w:ascii="Times New Roman" w:hAnsi="Times New Roman"/>
          <w:color w:val="000000"/>
          <w:sz w:val="22"/>
        </w:rPr>
        <w:t>158012</w:t>
      </w:r>
      <w:r>
        <w:rPr>
          <w:rFonts w:ascii="Times New Roman" w:hAnsi="Times New Roman"/>
          <w:b/>
          <w:color w:val="000000"/>
          <w:sz w:val="22"/>
        </w:rPr>
        <w:br/>
        <w:t xml:space="preserve">Date, time: </w:t>
      </w:r>
      <w:r>
        <w:rPr>
          <w:rFonts w:ascii="Times New Roman" w:hAnsi="Times New Roman"/>
          <w:color w:val="000000"/>
          <w:sz w:val="22"/>
        </w:rPr>
        <w:t>Thursday, September 3, 14:55-15:05 CEST (8:55-9:05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Oral Deucrictibant Immediate-Release Capsule for On-Demand Treatment of Hereditary Angioedema Attacks: Regional Subgroup Analysis From the Phase 3 RAPIDe-3 Trial</w:t>
      </w:r>
      <w:r>
        <w:rPr>
          <w:rFonts w:ascii="Times New Roman" w:hAnsi="Times New Roman"/>
          <w:b/>
          <w:color w:val="000000"/>
          <w:sz w:val="22"/>
        </w:rPr>
        <w:br/>
        <w:t xml:space="preserve">Presenter: </w:t>
      </w:r>
      <w:r>
        <w:rPr>
          <w:rFonts w:ascii="Times New Roman" w:hAnsi="Times New Roman"/>
          <w:color w:val="000000"/>
          <w:sz w:val="22"/>
        </w:rPr>
        <w:t>Marc A. Riedl, M.D., M.S.</w:t>
      </w:r>
      <w:r>
        <w:rPr>
          <w:rFonts w:ascii="Times New Roman" w:hAnsi="Times New Roman"/>
          <w:b/>
          <w:color w:val="000000"/>
          <w:sz w:val="22"/>
        </w:rPr>
        <w:br/>
        <w:t>Format:</w:t>
      </w:r>
      <w:r>
        <w:rPr>
          <w:color w:val="000000"/>
        </w:rPr>
        <w:t xml:space="preserve"> </w:t>
      </w:r>
      <w:r>
        <w:rPr>
          <w:rFonts w:ascii="Times New Roman" w:hAnsi="Times New Roman"/>
          <w:color w:val="000000"/>
          <w:sz w:val="22"/>
        </w:rPr>
        <w:t>Oral Presentation</w:t>
      </w:r>
      <w:r>
        <w:rPr>
          <w:rFonts w:ascii="Times New Roman" w:hAnsi="Times New Roman"/>
          <w:b/>
          <w:color w:val="000000"/>
          <w:sz w:val="22"/>
        </w:rPr>
        <w:br/>
        <w:t xml:space="preserve">Abstract ID: </w:t>
      </w:r>
      <w:r>
        <w:rPr>
          <w:rFonts w:ascii="Times New Roman" w:hAnsi="Times New Roman"/>
          <w:color w:val="000000"/>
          <w:sz w:val="22"/>
        </w:rPr>
        <w:t>158394</w:t>
      </w:r>
      <w:r>
        <w:rPr>
          <w:rFonts w:ascii="Times New Roman" w:hAnsi="Times New Roman"/>
          <w:b/>
          <w:color w:val="000000"/>
          <w:sz w:val="22"/>
        </w:rPr>
        <w:br/>
        <w:t xml:space="preserve">Date, time: </w:t>
      </w:r>
      <w:r>
        <w:rPr>
          <w:rFonts w:ascii="Times New Roman" w:hAnsi="Times New Roman"/>
          <w:color w:val="000000"/>
          <w:sz w:val="22"/>
        </w:rPr>
        <w:t>Friday, September 4, 9:20-9:30 CEST (3:20-3:30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Clinical Cardiovascular Safety Evaluation of Oral Deucrictibant</w:t>
      </w:r>
      <w:r>
        <w:rPr>
          <w:rFonts w:ascii="Times New Roman" w:hAnsi="Times New Roman"/>
          <w:b/>
          <w:color w:val="000000"/>
          <w:sz w:val="22"/>
        </w:rPr>
        <w:br/>
        <w:t>Presenter:</w:t>
      </w:r>
      <w:r>
        <w:rPr>
          <w:color w:val="000000"/>
        </w:rPr>
        <w:t xml:space="preserve"> </w:t>
      </w:r>
      <w:r>
        <w:rPr>
          <w:rFonts w:ascii="Times New Roman" w:hAnsi="Times New Roman"/>
          <w:color w:val="000000"/>
          <w:sz w:val="22"/>
        </w:rPr>
        <w:t>Brigitte Loenders, Ph.D.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157799</w:t>
      </w:r>
      <w:r>
        <w:rPr>
          <w:color w:val="000000"/>
        </w:rPr>
        <w:t xml:space="preserve"> </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Evaluating Safety Margins of the Use of Deucrictibant Immediate-Release Capsule in Combination With Deucrictibant Extended-Release Tablet</w:t>
      </w:r>
      <w:r>
        <w:rPr>
          <w:rFonts w:ascii="Times New Roman" w:hAnsi="Times New Roman"/>
          <w:b/>
          <w:color w:val="000000"/>
          <w:sz w:val="22"/>
        </w:rPr>
        <w:br/>
        <w:t xml:space="preserve">Presenter: </w:t>
      </w:r>
      <w:r>
        <w:rPr>
          <w:rFonts w:ascii="Times New Roman" w:hAnsi="Times New Roman"/>
          <w:color w:val="000000"/>
          <w:sz w:val="22"/>
        </w:rPr>
        <w:t>Juan Bravo, Ph.D.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157800</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Results of the Phase 2 CHAPTER-1 Open-Label Extension Study on the Long-Term Safety and Efficacy of Oral Deucrictibant for Prophylaxis in Hereditary Angioedema</w:t>
      </w:r>
      <w:r>
        <w:rPr>
          <w:rFonts w:ascii="Times New Roman" w:hAnsi="Times New Roman"/>
          <w:b/>
          <w:color w:val="000000"/>
          <w:sz w:val="22"/>
        </w:rPr>
        <w:br/>
        <w:t xml:space="preserve">Presenter: </w:t>
      </w:r>
      <w:r>
        <w:rPr>
          <w:rFonts w:ascii="Times New Roman" w:hAnsi="Times New Roman"/>
          <w:color w:val="000000"/>
          <w:sz w:val="22"/>
        </w:rPr>
        <w:t>Emel Aygören-Pürsün, M.D.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157804</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CHAPTER-1 Open-Label Extension Study: Long-Term Prophylactic Treatment with Oral Deucrictibant Improved Health-Related Quality of Life in Participants with Hereditary Angioedema</w:t>
      </w:r>
      <w:r>
        <w:rPr>
          <w:rFonts w:ascii="Times New Roman" w:hAnsi="Times New Roman"/>
          <w:b/>
          <w:color w:val="000000"/>
          <w:sz w:val="22"/>
        </w:rPr>
        <w:br/>
        <w:t xml:space="preserve">Presenter: </w:t>
      </w:r>
      <w:r>
        <w:rPr>
          <w:rFonts w:ascii="Times New Roman" w:hAnsi="Times New Roman"/>
          <w:color w:val="000000"/>
          <w:sz w:val="22"/>
        </w:rPr>
        <w:t>Marcin Stobiecki, M.D., Ph.D.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157807</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End Of Progression of Attack Manifestations With Oral Deucrictibant Immediate-Release Capsule for On-Demand Treatment of Hereditary Angioedema Attacks in the Phase 3 RAPIDe-3 Trial</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b/>
          <w:color w:val="000000"/>
          <w:sz w:val="22"/>
        </w:rPr>
        <w:br/>
        <w:t xml:space="preserve">Presenter: </w:t>
      </w:r>
      <w:r>
        <w:rPr>
          <w:rFonts w:ascii="Times New Roman" w:hAnsi="Times New Roman"/>
          <w:color w:val="000000"/>
          <w:sz w:val="22"/>
        </w:rPr>
        <w:t>Henriette Farkas, M.D., Ph.D., D.Sc.</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158385</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End-of-Progression Using Patient Global Impression of Change Validation in RAPIDe-3</w:t>
      </w:r>
      <w:r>
        <w:rPr>
          <w:rFonts w:ascii="Times New Roman" w:hAnsi="Times New Roman"/>
          <w:b/>
          <w:color w:val="000000"/>
          <w:sz w:val="22"/>
        </w:rPr>
        <w:br/>
        <w:t xml:space="preserve">Presenter: </w:t>
      </w:r>
      <w:r>
        <w:rPr>
          <w:rFonts w:ascii="Times New Roman" w:hAnsi="Times New Roman"/>
          <w:color w:val="000000"/>
          <w:sz w:val="22"/>
        </w:rPr>
        <w:t>Danny M. Cohn, M.D., Ph.D.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158405</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LC-MS particle-based plasma proteomics in bradykinin-mediated angioedema</w:t>
        <w:br/>
      </w:r>
      <w:r>
        <w:rPr>
          <w:rFonts w:ascii="Times New Roman" w:hAnsi="Times New Roman"/>
          <w:b/>
          <w:color w:val="000000"/>
          <w:sz w:val="22"/>
        </w:rPr>
        <w:t xml:space="preserve">Presenter: </w:t>
      </w:r>
      <w:r>
        <w:rPr>
          <w:rFonts w:ascii="Times New Roman" w:hAnsi="Times New Roman"/>
          <w:color w:val="000000"/>
          <w:sz w:val="22"/>
        </w:rPr>
        <w:t>Jonathan DeGeer, Ph.D.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158979</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Title: </w:t>
      </w:r>
      <w:r>
        <w:rPr>
          <w:rFonts w:ascii="Times New Roman" w:hAnsi="Times New Roman"/>
          <w:color w:val="000000"/>
          <w:sz w:val="22"/>
        </w:rPr>
        <w:t>The NHP Bradykinin Challenge Model Predicts Human Deucrictibant Efficacious Doses</w:t>
      </w:r>
      <w:r>
        <w:rPr>
          <w:rFonts w:ascii="Times New Roman" w:hAnsi="Times New Roman"/>
          <w:b/>
          <w:color w:val="000000"/>
          <w:sz w:val="22"/>
        </w:rPr>
        <w:br/>
        <w:t xml:space="preserve">Presenter: </w:t>
      </w:r>
      <w:r>
        <w:rPr>
          <w:rFonts w:ascii="Times New Roman" w:hAnsi="Times New Roman"/>
          <w:color w:val="000000"/>
          <w:sz w:val="22"/>
        </w:rPr>
        <w:t>Juan Bravo, Ph.D.</w:t>
      </w:r>
      <w:r>
        <w:rPr>
          <w:rFonts w:ascii="Times New Roman" w:hAnsi="Times New Roman"/>
          <w:b/>
          <w:color w:val="000000"/>
          <w:sz w:val="22"/>
        </w:rPr>
        <w:br/>
        <w:t xml:space="preserve">Format: </w:t>
      </w:r>
      <w:r>
        <w:rPr>
          <w:rFonts w:ascii="Times New Roman" w:hAnsi="Times New Roman"/>
          <w:color w:val="000000"/>
          <w:sz w:val="22"/>
        </w:rPr>
        <w:t>Poster Presentation</w:t>
      </w:r>
      <w:r>
        <w:rPr>
          <w:rFonts w:ascii="Times New Roman" w:hAnsi="Times New Roman"/>
          <w:b/>
          <w:color w:val="000000"/>
          <w:sz w:val="22"/>
        </w:rPr>
        <w:br/>
        <w:t xml:space="preserve">Abstract ID: </w:t>
      </w:r>
      <w:r>
        <w:rPr>
          <w:rFonts w:ascii="Times New Roman" w:hAnsi="Times New Roman"/>
          <w:color w:val="000000"/>
          <w:sz w:val="22"/>
        </w:rPr>
        <w:t>159172</w:t>
      </w:r>
      <w:r>
        <w:rPr>
          <w:rFonts w:ascii="Times New Roman" w:hAnsi="Times New Roman"/>
          <w:b/>
          <w:color w:val="000000"/>
          <w:sz w:val="22"/>
        </w:rPr>
        <w:br/>
        <w:t xml:space="preserve">Date, time: </w:t>
      </w:r>
      <w:r>
        <w:rPr>
          <w:rFonts w:ascii="Times New Roman" w:hAnsi="Times New Roman"/>
          <w:color w:val="000000"/>
          <w:sz w:val="22"/>
        </w:rPr>
        <w:t>Friday, September 4, 16:05-16:45 CEST (10:05-10:45 a.m. EDT)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2"/>
        </w:rPr>
      </w:pPr>
      <w:r>
        <w:rPr>
          <w:rFonts w:ascii="Times New Roman" w:hAnsi="Times New Roman"/>
          <w:i/>
          <w:color w:val="000000"/>
          <w:sz w:val="22"/>
        </w:rPr>
        <w:t>Financials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1"/>
        </w:rPr>
        <w:t xml:space="preserve">Liquidity Position. </w:t>
      </w:r>
      <w:r>
        <w:rPr>
          <w:rFonts w:ascii="Times New Roman" w:hAnsi="Times New Roman"/>
          <w:color w:val="000000"/>
          <w:sz w:val="21"/>
        </w:rPr>
        <w:t>Cash and cash equivalents were €318 million as of June 30, 2026, compared to €292 million for December 31,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1"/>
        </w:rPr>
        <w:t xml:space="preserve">Research and Development (R&amp;D) Expenses. </w:t>
      </w:r>
      <w:r>
        <w:rPr>
          <w:rFonts w:ascii="Times New Roman" w:hAnsi="Times New Roman"/>
          <w:color w:val="000000"/>
          <w:sz w:val="21"/>
        </w:rPr>
        <w:t>R&amp;D expenses were €35.0 million for the quarter ended June 30, 2026, compared to €29.6 million for the quarter ended June 30,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1"/>
        </w:rPr>
        <w:t xml:space="preserve">General and Administrative (G&amp;A) Expenses. </w:t>
      </w:r>
      <w:r>
        <w:rPr>
          <w:rFonts w:ascii="Times New Roman" w:hAnsi="Times New Roman"/>
          <w:color w:val="000000"/>
          <w:sz w:val="21"/>
        </w:rPr>
        <w:t>G&amp;A expenses were €15.8 million for the quarter ended June 30, 2026, compared to €10.8 million for the quarter ended June 30, 2025.</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1"/>
        </w:rPr>
        <w:t xml:space="preserve">Loss for the year. </w:t>
      </w:r>
      <w:r>
        <w:rPr>
          <w:rFonts w:ascii="Times New Roman" w:hAnsi="Times New Roman"/>
          <w:color w:val="000000"/>
          <w:sz w:val="21"/>
        </w:rPr>
        <w:t>Loss for the second quarter was €47.8 million, resulting in basic and diluted loss per share of €0.70 for the quarter ended June 30, 2026, compared to €45.5 million, or basic and diluted loss per share of €0.83, for the quarter ended June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Note on International Financial Reporting Standards (IFRS)</w:t>
        <w:br/>
      </w:r>
      <w:r>
        <w:rPr>
          <w:rFonts w:ascii="Times New Roman" w:hAnsi="Times New Roman"/>
          <w:color w:val="000000"/>
          <w:sz w:val="22"/>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Deucrictibant</w:t>
        <w:br/>
      </w:r>
      <w:r>
        <w:rPr>
          <w:rFonts w:ascii="Times New Roman" w:hAnsi="Times New Roman"/>
          <w:color w:val="000000"/>
          <w:sz w:val="22"/>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the European Commission, and Swissmedic.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Pharvaris</w:t>
        <w:br/>
      </w:r>
      <w:r>
        <w:rPr>
          <w:rFonts w:ascii="Times New Roman" w:hAnsi="Times New Roman"/>
          <w:color w:val="000000"/>
          <w:sz w:val="22"/>
        </w:rPr>
        <w:t>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 a well-tolerated profile, and the convenience of oral administration to prevent and treat bradykinin-mediated angioedema attacks.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 xml:space="preserve">delivering on this aspiration, Pharvaris aims to provide a new standard of care in bradykinin-mediated angioedema. For more information, visit </w:t>
      </w:r>
      <w:r>
        <w:rPr>
          <w:rFonts w:ascii="Times New Roman" w:hAnsi="Times New Roman"/>
          <w:sz w:val="22"/>
        </w:rPr>
        <w:t>https://pharvaris.com/</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Forward Looking Statements</w:t>
        <w:br/>
      </w:r>
      <w:r>
        <w:rPr>
          <w:rFonts w:ascii="Times New Roman" w:hAnsi="Times New Roman"/>
          <w:color w:val="000000"/>
          <w:sz w:val="22"/>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“hope,”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the outcome of regulatory approvals, including the outcome of our NDA for the on-demand treatment of acute attacks of HAE; our ability to replicate the efficacy and safety demonstrated in the RAPIDe-1, RAPIDe-2, RAPIDe-3, and CHAPTER-1 Phase 2 and Phase 3 studies in ongoing and future nonclinical studies and clinical trials, such as CHAPTER-3, and CREAATE; risks arising from epidemic diseases, which may adversely impact our business, nonclinical studies, and clinical trials; our ability to potentially use deucrictibant for alternative purposes, for example to treat C1-INH deficiency (AAE-C1INH);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Contact</w:t>
      </w:r>
      <w:r>
        <w:rPr>
          <w:rFonts w:ascii="Times New Roman" w:hAnsi="Times New Roman"/>
          <w:color w:val="000000"/>
          <w:sz w:val="20"/>
        </w:rPr>
        <w:t xml:space="preserve"> </w:t>
      </w:r>
    </w:p>
    <w:p>
      <w:pPr>
        <w:pStyle w:val="TextBody"/>
        <w:bidi w:val="0"/>
        <w:jc w:val="left"/>
        <w:rPr/>
      </w:pPr>
      <w:r>
        <w:rPr/>
        <w:drawing>
          <wp:inline distT="0" distB="0" distL="0" distR="0">
            <wp:extent cx="1460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 xml:space="preserve">Maggie Beller </w:t>
        <w:br/>
        <w:t xml:space="preserve">Vice President, Head of Corporate and Investor Communications </w:t>
        <w:br/>
        <w:t>maggie.beller@pharvaris.com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phvs-ex99_2.htm"/>
      <w:bookmarkStart w:id="5" w:name="ksphvsex99_2"/>
      <w:bookmarkEnd w:id="4"/>
      <w:bookmarkEnd w:id="5"/>
      <w:r>
        <w:rPr>
          <w:rFonts w:ascii="Times New Roman" w:hAnsi="Times New Roman"/>
          <w:b/>
          <w:color w:val="000000"/>
          <w:sz w:val="20"/>
        </w:rPr>
        <w:t>Exhibit 99.2</w:t>
      </w:r>
      <w:r>
        <w:br w:type="page"/>
      </w:r>
    </w:p>
    <w:p>
      <w:pPr>
        <w:pStyle w:val="TextBody"/>
        <w:bidi w:val="0"/>
        <w:jc w:val="center"/>
        <w:rPr>
          <w:rFonts w:ascii="Arial" w:hAnsi="Arial"/>
          <w:b/>
          <w:color w:val="000000"/>
          <w:sz w:val="18"/>
          <w:u w:val="single"/>
        </w:rPr>
      </w:pPr>
      <w:r>
        <w:rPr>
          <w:rFonts w:ascii="Arial" w:hAnsi="Arial"/>
          <w:b/>
          <w:color w:val="000000"/>
          <w:sz w:val="18"/>
          <w:u w:val="single"/>
        </w:rPr>
        <w:t>Management’s Discussion and Analysis of Financial Condition and Results of Operations</w:t>
      </w:r>
    </w:p>
    <w:p>
      <w:pPr>
        <w:pStyle w:val="TextBody"/>
        <w:bidi w:val="0"/>
        <w:spacing w:before="120" w:after="283"/>
        <w:jc w:val="left"/>
        <w:rPr>
          <w:rFonts w:ascii="Arial" w:hAnsi="Arial"/>
          <w:color w:val="000000"/>
          <w:sz w:val="18"/>
        </w:rPr>
      </w:pPr>
      <w:r>
        <w:rPr>
          <w:rFonts w:ascii="Arial" w:hAnsi="Arial"/>
          <w:color w:val="000000"/>
          <w:sz w:val="18"/>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six months ended June 30, 2026 and 2025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2025, and the notes thereto, which appear in our Annual Report on Form 20-F for the year ended December 31, 2025 (the “Annual Report”) filed with the U.S. Securities and Exchange Commission (the “SEC”). In addition, we recommend that you read any public announcements made from time to time by Pharvaris N.V.</w:t>
      </w:r>
    </w:p>
    <w:p>
      <w:pPr>
        <w:pStyle w:val="TextBody"/>
        <w:bidi w:val="0"/>
        <w:spacing w:before="120" w:after="283"/>
        <w:jc w:val="left"/>
        <w:rPr>
          <w:rFonts w:ascii="Arial" w:hAnsi="Arial"/>
          <w:color w:val="000000"/>
          <w:sz w:val="18"/>
        </w:rPr>
      </w:pPr>
      <w:r>
        <w:rPr>
          <w:rFonts w:ascii="Arial" w:hAnsi="Arial"/>
          <w:color w:val="000000"/>
          <w:sz w:val="18"/>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pStyle w:val="TextBody"/>
        <w:bidi w:val="0"/>
        <w:spacing w:before="120" w:after="283"/>
        <w:jc w:val="left"/>
        <w:rPr>
          <w:rFonts w:ascii="Arial" w:hAnsi="Arial"/>
          <w:color w:val="000000"/>
          <w:sz w:val="18"/>
        </w:rPr>
      </w:pPr>
      <w:r>
        <w:rPr>
          <w:rFonts w:ascii="Arial" w:hAnsi="Arial"/>
          <w:color w:val="000000"/>
          <w:sz w:val="18"/>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pStyle w:val="TextBody"/>
        <w:bidi w:val="0"/>
        <w:spacing w:before="120" w:after="283"/>
        <w:jc w:val="left"/>
        <w:rPr>
          <w:rFonts w:ascii="Arial" w:hAnsi="Arial"/>
          <w:color w:val="000000"/>
          <w:sz w:val="18"/>
        </w:rPr>
      </w:pPr>
      <w:r>
        <w:rPr>
          <w:rFonts w:ascii="Arial" w:hAnsi="Arial"/>
          <w:color w:val="000000"/>
          <w:sz w:val="18"/>
        </w:rPr>
        <w:t>Unless otherwise indicated or the context otherwise requires, all references to “Pharvaris” or the “Company,” “we,” “our,” “ours,” “us”, or similar terms refer to Pharvaris N.V. and its subsidiaries.</w:t>
      </w:r>
    </w:p>
    <w:p>
      <w:pPr>
        <w:pStyle w:val="TextBody"/>
        <w:bidi w:val="0"/>
        <w:spacing w:before="120" w:after="283"/>
        <w:jc w:val="left"/>
        <w:rPr/>
      </w:pPr>
      <w:r>
        <w:rPr/>
        <w:t> </w:t>
      </w:r>
    </w:p>
    <w:p>
      <w:pPr>
        <w:pStyle w:val="TextBody"/>
        <w:bidi w:val="0"/>
        <w:jc w:val="left"/>
        <w:rPr>
          <w:rFonts w:ascii="Arial" w:hAnsi="Arial"/>
          <w:b/>
          <w:color w:val="000000"/>
          <w:sz w:val="18"/>
        </w:rPr>
      </w:pPr>
      <w:r>
        <w:rPr>
          <w:rFonts w:ascii="Arial" w:hAnsi="Arial"/>
          <w:b/>
          <w:color w:val="000000"/>
          <w:sz w:val="18"/>
        </w:rPr>
        <w:t>Overview</w:t>
      </w:r>
    </w:p>
    <w:p>
      <w:pPr>
        <w:pStyle w:val="TextBody"/>
        <w:bidi w:val="0"/>
        <w:spacing w:before="120" w:after="160"/>
        <w:jc w:val="left"/>
        <w:rPr>
          <w:rFonts w:ascii="Arial" w:hAnsi="Arial"/>
          <w:color w:val="000000"/>
          <w:sz w:val="18"/>
        </w:rPr>
      </w:pPr>
      <w:r>
        <w:rPr>
          <w:rFonts w:ascii="Arial" w:hAnsi="Arial"/>
          <w:color w:val="000000"/>
          <w:sz w:val="18"/>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 with a well-tolerated profile and the convenience of an oral therapy for both the prophylactic and on-demand treatment of HAE attacks.</w:t>
      </w:r>
    </w:p>
    <w:p>
      <w:pPr>
        <w:pStyle w:val="TextBody"/>
        <w:bidi w:val="0"/>
        <w:jc w:val="left"/>
        <w:rPr>
          <w:rFonts w:ascii="Arial" w:hAnsi="Arial"/>
          <w:color w:val="000000"/>
          <w:sz w:val="18"/>
        </w:rPr>
      </w:pPr>
      <w:r>
        <w:rPr>
          <w:rFonts w:ascii="Arial" w:hAnsi="Arial"/>
          <w:color w:val="000000"/>
          <w:sz w:val="18"/>
        </w:rPr>
        <w:t>Deucrictibant may address unmet medical needs of people living with AE-BK by both preventing attacks from occurring, using an extended-release (XR) tablet formulation of deucrictibant (previously referred to as PHVS719), and treating the manifestations of attacks, using an immediate-release (IR) capsule formulation of deucrictibant (previously referred to as PHVS416). The XR tablet formulation is designed to maintain therapeutic levels for over 24 hours and to achieve a steady-state plasma concentration within 72 hours, supporting a once-daily dosing regimen. The IR capsule formulation is designed to rapidly reach therapeutic exposure in order to mitigate HAE attacks symptoms rapidly and completely with a single oral dose.</w:t>
      </w:r>
    </w:p>
    <w:p>
      <w:pPr>
        <w:pStyle w:val="TextBody"/>
        <w:bidi w:val="0"/>
        <w:spacing w:before="120" w:after="283"/>
        <w:jc w:val="left"/>
        <w:rPr>
          <w:rFonts w:ascii="Arial" w:hAnsi="Arial"/>
          <w:color w:val="000000"/>
          <w:sz w:val="18"/>
        </w:rPr>
      </w:pPr>
      <w:r>
        <w:rPr>
          <w:rFonts w:ascii="Arial" w:hAnsi="Arial"/>
          <w:color w:val="000000"/>
          <w:sz w:val="18"/>
        </w:rPr>
        <w:t>In addition to the differentiation of our individual products, having on-demand and prophylactic products with the same active ingredient enables patients to maintain a trusted active medicine if they change their treatment approach by moving from on-demand to prophylactic treatment (or back). This may be particularly valued by children or adolescents who typically begin therapy with on-demand only and gradually move to prophylaxis as attack severity and/or frequency increase (commonly after puberty).</w:t>
      </w:r>
    </w:p>
    <w:p>
      <w:pPr>
        <w:pStyle w:val="TextBody"/>
        <w:bidi w:val="0"/>
        <w:spacing w:before="120" w:after="283"/>
        <w:jc w:val="left"/>
        <w:rPr>
          <w:rFonts w:ascii="Times New Roman" w:hAnsi="Times New Roman"/>
          <w:sz w:val="20"/>
        </w:rPr>
      </w:pPr>
      <w:r>
        <w:rPr>
          <w:rFonts w:ascii="Arial" w:hAnsi="Arial"/>
          <w:color w:val="000000"/>
          <w:sz w:val="18"/>
        </w:rPr>
        <w:t>We reported topline data from RAPIDe-3, a global, pivotal Phase 3, placebo-controlled study to evaluate deucrictibant IR capsule (20 mg) for the on-demand treatment of attacks in people 12 years and older with HAE, in December 2025. Deucrictibant demonstrated a clinically differentiated profile by meeting the primary and all key secondary efficacy endpoints with statistical significance and was well tolerated. A New Drug Application (NDA) for deucrictibant IR for the on-demand treatment of HAE attacks is currently under review with the U.S. Food and Drug Administration (FDA) with a Prescription Drug User Fee Act (PDUFA) target action date of April 23, 2027. A Marketing Authorization Application (MAA) is currently under review with the European Medicines Agency (EMA).</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In December 2024, we initiated CHAPTER-3, a global, pivotal, randomized, double-blind, placebo-controlled Phase 3 study of orally administered deucrictibant extended-release tablet for the prophylaxis of angioedema attacks in adults and adolescents (12 years and older) with HAE. We expect to report topline data from this study by September 30, 2026.</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60"/>
        <w:jc w:val="left"/>
        <w:rPr>
          <w:rFonts w:ascii="Arial" w:hAnsi="Arial"/>
          <w:color w:val="000000"/>
          <w:sz w:val="18"/>
        </w:rPr>
      </w:pPr>
      <w:r>
        <w:rPr>
          <w:rFonts w:ascii="Arial" w:hAnsi="Arial"/>
          <w:color w:val="000000"/>
          <w:sz w:val="18"/>
        </w:rPr>
        <w:t>In October 2025, we initiated CREAATE, a global, pivotal Phase 3 study to assess the efficacy and safety of deucrictibant for the prophylactic and on-demand treatment of AAE-C1INH attacks.</w:t>
      </w:r>
    </w:p>
    <w:p>
      <w:pPr>
        <w:pStyle w:val="TextBody"/>
        <w:bidi w:val="0"/>
        <w:spacing w:before="0" w:after="160"/>
        <w:jc w:val="left"/>
        <w:rPr>
          <w:rFonts w:ascii="Arial" w:hAnsi="Arial"/>
          <w:color w:val="000000"/>
          <w:sz w:val="18"/>
        </w:rPr>
      </w:pPr>
      <w:r>
        <w:rPr>
          <w:rFonts w:ascii="Arial" w:hAnsi="Arial"/>
          <w:color w:val="000000"/>
          <w:sz w:val="18"/>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in the Annual Report.</w:t>
      </w:r>
    </w:p>
    <w:p>
      <w:pPr>
        <w:pStyle w:val="TextBody"/>
        <w:bidi w:val="0"/>
        <w:spacing w:before="0" w:after="160"/>
        <w:jc w:val="left"/>
        <w:rPr>
          <w:rFonts w:ascii="Arial" w:hAnsi="Arial"/>
          <w:color w:val="000000"/>
          <w:sz w:val="18"/>
        </w:rPr>
      </w:pPr>
      <w:r>
        <w:rPr>
          <w:rFonts w:ascii="Arial" w:hAnsi="Arial"/>
          <w:color w:val="000000"/>
          <w:sz w:val="18"/>
        </w:rPr>
        <w:t>In addition, the retaliatory measures that have been taken, or could be taken in the future, by the United States, NATO, and other countries with respect to the invasion of Ukraine and the conflict in the Middle East have created global security concerns that could result in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conflicts in Ukraine or the Middle 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pStyle w:val="TextBody"/>
        <w:bidi w:val="0"/>
        <w:jc w:val="left"/>
        <w:rPr/>
      </w:pPr>
      <w:r>
        <w:rPr/>
        <w:t> </w:t>
      </w:r>
    </w:p>
    <w:p>
      <w:pPr>
        <w:pStyle w:val="TextBody"/>
        <w:bidi w:val="0"/>
        <w:spacing w:before="200" w:after="283"/>
        <w:jc w:val="left"/>
        <w:rPr>
          <w:rFonts w:ascii="Arial" w:hAnsi="Arial"/>
          <w:b/>
          <w:color w:val="000000"/>
          <w:sz w:val="18"/>
        </w:rPr>
      </w:pPr>
      <w:r>
        <w:rPr>
          <w:rFonts w:ascii="Arial" w:hAnsi="Arial"/>
          <w:b/>
          <w:color w:val="000000"/>
          <w:sz w:val="18"/>
        </w:rPr>
        <w:t>Financial Operations Overview</w:t>
      </w:r>
    </w:p>
    <w:p>
      <w:pPr>
        <w:pStyle w:val="TextBody"/>
        <w:bidi w:val="0"/>
        <w:spacing w:before="200" w:after="283"/>
        <w:jc w:val="left"/>
        <w:rPr>
          <w:rFonts w:ascii="Arial" w:hAnsi="Arial"/>
          <w:b/>
          <w:i/>
          <w:color w:val="000000"/>
          <w:sz w:val="18"/>
        </w:rPr>
      </w:pPr>
      <w:r>
        <w:rPr>
          <w:rFonts w:ascii="Arial" w:hAnsi="Arial"/>
          <w:b/>
          <w:i/>
          <w:color w:val="000000"/>
          <w:sz w:val="18"/>
        </w:rPr>
        <w:t>Revenues</w:t>
      </w:r>
    </w:p>
    <w:p>
      <w:pPr>
        <w:pStyle w:val="TextBody"/>
        <w:bidi w:val="0"/>
        <w:spacing w:before="200" w:after="283"/>
        <w:jc w:val="left"/>
        <w:rPr>
          <w:rFonts w:ascii="Arial" w:hAnsi="Arial"/>
          <w:color w:val="000000"/>
          <w:sz w:val="18"/>
        </w:rPr>
      </w:pPr>
      <w:r>
        <w:rPr>
          <w:rFonts w:ascii="Arial" w:hAnsi="Arial"/>
          <w:color w:val="000000"/>
          <w:sz w:val="18"/>
        </w:rPr>
        <w:t>We did not record any revenues during the period covered by the historical financial information included in this Report. We do not expect to recognize any product sales related revenues before we are able to commercialize our first product.</w:t>
      </w:r>
    </w:p>
    <w:p>
      <w:pPr>
        <w:pStyle w:val="TextBody"/>
        <w:bidi w:val="0"/>
        <w:spacing w:before="200" w:after="283"/>
        <w:jc w:val="left"/>
        <w:rPr>
          <w:rFonts w:ascii="Arial" w:hAnsi="Arial"/>
          <w:b/>
          <w:i/>
          <w:color w:val="000000"/>
          <w:sz w:val="18"/>
        </w:rPr>
      </w:pPr>
      <w:r>
        <w:rPr>
          <w:rFonts w:ascii="Arial" w:hAnsi="Arial"/>
          <w:b/>
          <w:i/>
          <w:color w:val="000000"/>
          <w:sz w:val="18"/>
        </w:rPr>
        <w:t>Research and development expenses</w:t>
      </w:r>
    </w:p>
    <w:p>
      <w:pPr>
        <w:pStyle w:val="TextBody"/>
        <w:bidi w:val="0"/>
        <w:spacing w:before="200" w:after="283"/>
        <w:jc w:val="left"/>
        <w:rPr>
          <w:rFonts w:ascii="Arial" w:hAnsi="Arial"/>
          <w:color w:val="000000"/>
          <w:sz w:val="18"/>
        </w:rPr>
      </w:pPr>
      <w:r>
        <w:rPr>
          <w:rFonts w:ascii="Arial" w:hAnsi="Arial"/>
          <w:color w:val="000000"/>
          <w:sz w:val="18"/>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 we seek to complete the clinical development of, and achieve regulatory approval for, our product candidates IR and XR, and in connection with discovery and development of any additional product candidates.</w:t>
      </w:r>
    </w:p>
    <w:p>
      <w:pPr>
        <w:pStyle w:val="TextBody"/>
        <w:bidi w:val="0"/>
        <w:spacing w:before="240" w:after="283"/>
        <w:jc w:val="left"/>
        <w:rPr>
          <w:rFonts w:ascii="Arial" w:hAnsi="Arial"/>
          <w:color w:val="000000"/>
          <w:sz w:val="18"/>
        </w:rPr>
      </w:pPr>
      <w:r>
        <w:rPr>
          <w:rFonts w:ascii="Arial" w:hAnsi="Arial"/>
          <w:color w:val="000000"/>
          <w:sz w:val="18"/>
        </w:rPr>
        <w:t>Research and development expenses consist of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employee benefits expenses, which includes salaries, pensions, share-based compensation (SBC) expenses, bonus plans, travel and other related costs for research and development staff;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nonclinical expenses, which include costs of our outsourced discovery and nonclinical development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clinical expenses, which includes costs of conducting and managing our sponsored clinical trials, including clinical investigator costs, costs of clinical sites, and costs for CROs assisting with our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manufacturing expenses, which include costs related to the manufacturing of active pharmaceutical ingredients and manufacturing of the products used in our clinical trials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costs related to regulatory activities, including collecting data, preparing and submitting filings, communicating with regulatory authorities, and reviewing the design and conduct of clinical trials for compliance with applicable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costs in connection with investigator-sponsored clinical trials and evaluations;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advisers’ fees, including discovery, nonclinical, clinical, chemistry, manufacturing, and controls-related and other consulting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intellectual property costs, which includes costs associated with obtaining and maintaining patents and other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license costs.</w:t>
      </w:r>
    </w:p>
    <w:p>
      <w:pPr>
        <w:pStyle w:val="TextBody"/>
        <w:bidi w:val="0"/>
        <w:spacing w:before="240" w:after="283"/>
        <w:jc w:val="left"/>
        <w:rPr>
          <w:rFonts w:ascii="Arial" w:hAnsi="Arial"/>
          <w:color w:val="000000"/>
          <w:sz w:val="18"/>
        </w:rPr>
      </w:pPr>
      <w:r>
        <w:rPr>
          <w:rFonts w:ascii="Arial" w:hAnsi="Arial"/>
          <w:color w:val="000000"/>
          <w:sz w:val="18"/>
        </w:rPr>
        <w:t>We expect our total research and development expenses to increase in 2026, driven by activities supporting the preparation and submission of the New Drug Application for IR to regulatory authorities, as well as the continued development of our XR product candidate and our clinical study in AAE.</w:t>
      </w:r>
    </w:p>
    <w:p>
      <w:pPr>
        <w:pStyle w:val="TextBody"/>
        <w:bidi w:val="0"/>
        <w:spacing w:before="240" w:after="283"/>
        <w:jc w:val="left"/>
        <w:rPr>
          <w:rFonts w:ascii="Arial" w:hAnsi="Arial"/>
          <w:color w:val="000000"/>
          <w:sz w:val="18"/>
        </w:rPr>
      </w:pPr>
      <w:r>
        <w:rPr>
          <w:rFonts w:ascii="Arial" w:hAnsi="Arial"/>
          <w:color w:val="000000"/>
          <w:sz w:val="18"/>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pStyle w:val="TextBody"/>
        <w:bidi w:val="0"/>
        <w:spacing w:before="240" w:after="283"/>
        <w:jc w:val="left"/>
        <w:rPr>
          <w:rFonts w:ascii="Arial" w:hAnsi="Arial"/>
          <w:color w:val="000000"/>
          <w:sz w:val="18"/>
        </w:rPr>
      </w:pPr>
      <w:r>
        <w:rPr>
          <w:rFonts w:ascii="Arial" w:hAnsi="Arial"/>
          <w:color w:val="000000"/>
          <w:sz w:val="18"/>
        </w:rPr>
        <w:t>Clinical development timelines and associated costs may vary significantly and FDA approval of deucrictibant IR for the treatment of on-demand attacks in 2027 is highly uncertain. Moreover, we cannot assure that we will be able to successfully commercialize our deucrictibant product candidate, if approved for marketing. This is due to numerous risks and uncertainties associated with developing drugs. See “ITEM 3. KEY INFORMATION: — D. Risk factors.” in our Annual Report and under “Risk factors” in any other periodic filings with the Securities and Exchange Commission for a discussion of these risks and uncertainties.</w:t>
      </w:r>
    </w:p>
    <w:p>
      <w:pPr>
        <w:pStyle w:val="TextBody"/>
        <w:bidi w:val="0"/>
        <w:spacing w:before="200" w:after="283"/>
        <w:jc w:val="left"/>
        <w:rPr>
          <w:rFonts w:ascii="Arial" w:hAnsi="Arial"/>
          <w:b/>
          <w:i/>
          <w:color w:val="000000"/>
          <w:sz w:val="18"/>
        </w:rPr>
      </w:pPr>
      <w:r>
        <w:rPr>
          <w:rFonts w:ascii="Arial" w:hAnsi="Arial"/>
          <w:b/>
          <w:i/>
          <w:color w:val="000000"/>
          <w:sz w:val="18"/>
        </w:rPr>
        <w:t>General and administrative expenses</w:t>
      </w:r>
    </w:p>
    <w:p>
      <w:pPr>
        <w:pStyle w:val="TextBody"/>
        <w:bidi w:val="0"/>
        <w:spacing w:before="240" w:after="283"/>
        <w:jc w:val="left"/>
        <w:rPr>
          <w:rFonts w:ascii="Arial" w:hAnsi="Arial"/>
          <w:color w:val="000000"/>
          <w:sz w:val="18"/>
        </w:rPr>
      </w:pPr>
      <w:r>
        <w:rPr>
          <w:rFonts w:ascii="Arial" w:hAnsi="Arial"/>
          <w:color w:val="000000"/>
          <w:sz w:val="18"/>
        </w:rPr>
        <w:t>We anticipate that we will continue to incur significant general and administrative expenses as we advance our research and development portfolio towards potential commercialization. General and administrative expenses consist of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employee benefits, including salaries, pensions, share-based compensation expenses, bonus plans, and other related costs for staff and independent contractors in executive and operational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independent auditors’ and advisers’ fees, including accounting, tax, legal, and other consulting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rental expenses, insurance, facilities and IT expenses, and other general expenses relating to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travel related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expenses related to the build-out of our commercial organization, including hiring of personnel, assessments of the HAE market landscape, pricing research, and congress attendance.</w:t>
      </w:r>
    </w:p>
    <w:p>
      <w:pPr>
        <w:pStyle w:val="TextBody"/>
        <w:bidi w:val="0"/>
        <w:spacing w:before="200" w:after="283"/>
        <w:jc w:val="left"/>
        <w:rPr>
          <w:rFonts w:ascii="Arial" w:hAnsi="Arial"/>
          <w:color w:val="000000"/>
          <w:sz w:val="18"/>
        </w:rPr>
      </w:pPr>
      <w:r>
        <w:rPr>
          <w:rFonts w:ascii="Arial" w:hAnsi="Arial"/>
          <w:color w:val="000000"/>
          <w:sz w:val="18"/>
        </w:rPr>
        <w:t>We expect our total general and administrative expenses to increase in 2026, primarily due to the build out of our commercial organization.</w:t>
      </w:r>
    </w:p>
    <w:p>
      <w:pPr>
        <w:pStyle w:val="TextBody"/>
        <w:bidi w:val="0"/>
        <w:spacing w:before="200" w:after="283"/>
        <w:jc w:val="left"/>
        <w:rPr>
          <w:rFonts w:ascii="Arial" w:hAnsi="Arial"/>
          <w:b/>
          <w:i/>
          <w:color w:val="000000"/>
          <w:sz w:val="18"/>
        </w:rPr>
      </w:pPr>
      <w:r>
        <w:rPr>
          <w:rFonts w:ascii="Arial" w:hAnsi="Arial"/>
          <w:b/>
          <w:i/>
          <w:color w:val="000000"/>
          <w:sz w:val="18"/>
        </w:rPr>
        <w:t>Share-based compensation expenses</w:t>
      </w:r>
    </w:p>
    <w:p>
      <w:pPr>
        <w:pStyle w:val="TextBody"/>
        <w:bidi w:val="0"/>
        <w:spacing w:before="200" w:after="283"/>
        <w:jc w:val="left"/>
        <w:rPr>
          <w:rFonts w:ascii="Times New Roman" w:hAnsi="Times New Roman"/>
          <w:sz w:val="20"/>
        </w:rPr>
      </w:pPr>
      <w:r>
        <w:rPr>
          <w:rFonts w:ascii="Arial" w:hAnsi="Arial"/>
          <w:color w:val="000000"/>
          <w:sz w:val="18"/>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18"/>
        </w:rPr>
      </w:pPr>
      <w:r>
        <w:rPr>
          <w:rFonts w:ascii="Arial" w:hAnsi="Arial"/>
          <w:b/>
          <w:color w:val="000000"/>
          <w:sz w:val="18"/>
        </w:rPr>
        <w:t>Result of operations</w:t>
      </w:r>
    </w:p>
    <w:p>
      <w:pPr>
        <w:pStyle w:val="TextBody"/>
        <w:bidi w:val="0"/>
        <w:spacing w:before="200" w:after="283"/>
        <w:jc w:val="left"/>
        <w:rPr>
          <w:rFonts w:ascii="Times New Roman" w:hAnsi="Times New Roman"/>
          <w:sz w:val="20"/>
        </w:rPr>
      </w:pPr>
      <w:r>
        <w:rPr>
          <w:rFonts w:ascii="Arial" w:hAnsi="Arial"/>
          <w:color w:val="000000"/>
          <w:sz w:val="18"/>
        </w:rPr>
        <w:t>The financial information shown below was derived from our unaudited condensed consolidated interim financial statements for the three and six months ended June 30, 2026 and 2025 included as Exhibit 99.3 to this Report on Form 6-K. The discussion below should be read along with these unaudited condensed consolidated interim financial statements, and it is qualified in its entirety by reference to them.</w:t>
      </w:r>
      <w:r>
        <w:rPr>
          <w:rFonts w:ascii="Times New Roman" w:hAnsi="Times New Roman"/>
          <w:color w:val="000000"/>
          <w:sz w:val="20"/>
        </w:rPr>
        <w:t xml:space="preserve"> </w:t>
      </w:r>
    </w:p>
    <w:p>
      <w:pPr>
        <w:pStyle w:val="TextBody"/>
        <w:bidi w:val="0"/>
        <w:spacing w:before="200" w:after="283"/>
        <w:jc w:val="left"/>
        <w:rPr>
          <w:rFonts w:ascii="Arial" w:hAnsi="Arial"/>
          <w:i/>
          <w:color w:val="000000"/>
          <w:sz w:val="18"/>
        </w:rPr>
      </w:pPr>
      <w:r>
        <w:rPr>
          <w:rFonts w:ascii="Arial" w:hAnsi="Arial"/>
          <w:i/>
          <w:color w:val="000000"/>
          <w:sz w:val="18"/>
        </w:rPr>
        <w:t>Comparison of the three months ended June 30, 2026 and June 30, 2025.</w:t>
      </w:r>
    </w:p>
    <w:p>
      <w:pPr>
        <w:pStyle w:val="TextBody"/>
        <w:bidi w:val="0"/>
        <w:jc w:val="left"/>
        <w:rPr/>
      </w:pPr>
      <w:r>
        <w:rPr/>
        <w:t> </w:t>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2701"/>
        <w:gridCol w:w="146"/>
        <w:gridCol w:w="146"/>
        <w:gridCol w:w="976"/>
        <w:gridCol w:w="166"/>
        <w:gridCol w:w="146"/>
        <w:gridCol w:w="146"/>
        <w:gridCol w:w="976"/>
        <w:gridCol w:w="166"/>
        <w:gridCol w:w="146"/>
        <w:gridCol w:w="146"/>
        <w:gridCol w:w="976"/>
        <w:gridCol w:w="166"/>
        <w:gridCol w:w="146"/>
        <w:gridCol w:w="146"/>
        <w:gridCol w:w="436"/>
        <w:gridCol w:w="3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three months ended </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(15,788,119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(5,022,930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(50,788,287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(10,415,190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(50,788,287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(40,373,097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(10,415,190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 /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3,547,758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8,452,565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(47,240,529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(45,277,904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(47,842,729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Revenues</w:t>
      </w:r>
    </w:p>
    <w:p>
      <w:pPr>
        <w:pStyle w:val="TextBody"/>
        <w:bidi w:val="0"/>
        <w:spacing w:before="200" w:after="283"/>
        <w:jc w:val="left"/>
        <w:rPr>
          <w:rFonts w:ascii="Arial" w:hAnsi="Arial"/>
          <w:color w:val="000000"/>
          <w:sz w:val="18"/>
        </w:rPr>
      </w:pPr>
      <w:r>
        <w:rPr>
          <w:rFonts w:ascii="Arial" w:hAnsi="Arial"/>
          <w:color w:val="000000"/>
          <w:sz w:val="18"/>
        </w:rPr>
        <w:t>We did not generate any revenues for the three months ended June 30, 2026 and June 30, 2025.</w:t>
      </w:r>
    </w:p>
    <w:p>
      <w:pPr>
        <w:pStyle w:val="TextBody"/>
        <w:bidi w:val="0"/>
        <w:spacing w:before="200" w:after="283"/>
        <w:jc w:val="left"/>
        <w:rPr>
          <w:rFonts w:ascii="Arial" w:hAnsi="Arial"/>
          <w:i/>
          <w:color w:val="000000"/>
          <w:sz w:val="18"/>
        </w:rPr>
      </w:pPr>
      <w:r>
        <w:rPr>
          <w:rFonts w:ascii="Arial" w:hAnsi="Arial"/>
          <w:i/>
          <w:color w:val="000000"/>
          <w:sz w:val="18"/>
        </w:rPr>
        <w:t>Research and development expenses</w:t>
      </w:r>
    </w:p>
    <w:p>
      <w:pPr>
        <w:pStyle w:val="TextBody"/>
        <w:bidi w:val="0"/>
        <w:spacing w:before="200" w:after="283"/>
        <w:jc w:val="left"/>
        <w:rPr/>
      </w:pPr>
      <w:r>
        <w:rPr/>
        <w:t> </w:t>
      </w:r>
    </w:p>
    <w:tbl>
      <w:tblPr>
        <w:tblW w:w="7597" w:type="dxa"/>
        <w:jc w:val="left"/>
        <w:tblInd w:w="0" w:type="dxa"/>
        <w:tblLayout w:type="fixed"/>
        <w:tblCellMar>
          <w:top w:w="28" w:type="dxa"/>
          <w:left w:w="28" w:type="dxa"/>
          <w:bottom w:w="28" w:type="dxa"/>
          <w:right w:w="28" w:type="dxa"/>
        </w:tblCellMar>
      </w:tblPr>
      <w:tblGrid>
        <w:gridCol w:w="2356"/>
        <w:gridCol w:w="146"/>
        <w:gridCol w:w="146"/>
        <w:gridCol w:w="976"/>
        <w:gridCol w:w="166"/>
        <w:gridCol w:w="146"/>
        <w:gridCol w:w="146"/>
        <w:gridCol w:w="976"/>
        <w:gridCol w:w="166"/>
        <w:gridCol w:w="146"/>
        <w:gridCol w:w="146"/>
        <w:gridCol w:w="886"/>
        <w:gridCol w:w="166"/>
        <w:gridCol w:w="146"/>
        <w:gridCol w:w="146"/>
        <w:gridCol w:w="376"/>
        <w:gridCol w:w="36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three months ended </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(9,351,648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(20,769,302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(14,712,960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(5,392,260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Research and development expenses increased from €29.6 million for the three months ended June 30, 2025 to €35.0 million for the three months ended June 30, 2026. The increase primarily relates to increased clinical, personnel expenses, and licensing fees, offset by decreases in nonclinical and manufacturing expenses.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three months ended June 30, 2026 and 2025, personnel expenses were €10.8 million and €9.4 million, respectively, an increase of €1.4 million. The increase in personnel expenses is primarily driven by the hiring of additional employees to support the progression of the regulatory filings and medical affairs activities in preparation for the potential launch of the IR product. Personnel expenses include €2.9 million of share-based compensation versus €2.8 million in the prior-year period.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three months ended June 30, 2026 and 2025, clinical expenses were €20.8 million and €14.7 million, respectively. This represents an increase of €6.1 million, primarily due to higher spending on the conduct of the IR extension, the XR long-term, open-label, and the CREAATE (AAE) clinical studies, plus additional activities to support the progression of the regulatory filing and potential launch of the IR product offset by completion of the RAPIDe-3 (IR) Phase 3 clinical trial.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three months ended June 30, 2026 and 2025, manufacturing expenses were €1.3 million and €2.6 million, respectively. This represents a decrease of €1.2 million, primarily due to a decrease in XR manufacturing activities.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three months ended June 30, 2026 and 2025, nonclinical expenses were €1.1 million and €2.9 million, respectively. This represents a decrease of €1.8 million, primarily due to decreased work performed on discovery programs.</w:t>
      </w:r>
    </w:p>
    <w:p>
      <w:pPr>
        <w:pStyle w:val="TextBody"/>
        <w:bidi w:val="0"/>
        <w:spacing w:before="200" w:after="160"/>
        <w:jc w:val="left"/>
        <w:rPr>
          <w:rFonts w:ascii="Arial" w:hAnsi="Arial"/>
          <w:color w:val="000000"/>
          <w:sz w:val="18"/>
        </w:rPr>
      </w:pPr>
      <w:r>
        <w:rPr>
          <w:rFonts w:ascii="Arial" w:hAnsi="Arial"/>
          <w:color w:val="000000"/>
          <w:sz w:val="18"/>
        </w:rPr>
        <w:t>The following table summarizes our research and development expenses by project for the three months ended June 30, 2026 and 2025:</w:t>
      </w:r>
    </w:p>
    <w:tbl>
      <w:tblPr>
        <w:tblW w:w="7989" w:type="dxa"/>
        <w:jc w:val="left"/>
        <w:tblInd w:w="0" w:type="dxa"/>
        <w:tblLayout w:type="fixed"/>
        <w:tblCellMar>
          <w:top w:w="28" w:type="dxa"/>
          <w:left w:w="28" w:type="dxa"/>
          <w:bottom w:w="28" w:type="dxa"/>
          <w:right w:w="28" w:type="dxa"/>
        </w:tblCellMar>
      </w:tblPr>
      <w:tblGrid>
        <w:gridCol w:w="3046"/>
        <w:gridCol w:w="146"/>
        <w:gridCol w:w="146"/>
        <w:gridCol w:w="976"/>
        <w:gridCol w:w="166"/>
        <w:gridCol w:w="146"/>
        <w:gridCol w:w="976"/>
        <w:gridCol w:w="166"/>
        <w:gridCol w:w="146"/>
        <w:gridCol w:w="886"/>
        <w:gridCol w:w="166"/>
        <w:gridCol w:w="146"/>
        <w:gridCol w:w="376"/>
        <w:gridCol w:w="50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Project-Specific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On-Demand (IR)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(6,760,034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(4,688,991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Prophylaxis (XR)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(7,864,089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(9,351,648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(6,766,330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(7,318,550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(5,392,260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On-Demand (IR) project-specific expenses increase of €2.1 million versus the prior year period is primarily due to higher spending on the conduct of the IR extension clinical study, a licensing fee and activities to support the progression of the regulatory filing and potential launch of the IR product offset by completion of the RAPIDe-3 (IR) Phase 3 clinical trial.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Prophylaxis (XR) project-specific expenses increase of €0.6 million versus the prior year period is primarily due to by an increase in the XR long-term, open-label clinical study offset by the completion and wind down of Phase 1 through Phase 3 XR clinical trials and a decrease in manufacturing expenses.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AAE project-specific expenses increase of €1.8 million versus the prior year period is primarily due to the commencement and progress of the CREAATE trial, a global, pivotal Phase 3 study.</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General and administrative expenses</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2491"/>
        <w:gridCol w:w="146"/>
        <w:gridCol w:w="146"/>
        <w:gridCol w:w="976"/>
        <w:gridCol w:w="166"/>
        <w:gridCol w:w="146"/>
        <w:gridCol w:w="146"/>
        <w:gridCol w:w="976"/>
        <w:gridCol w:w="166"/>
        <w:gridCol w:w="146"/>
        <w:gridCol w:w="146"/>
        <w:gridCol w:w="886"/>
        <w:gridCol w:w="166"/>
        <w:gridCol w:w="146"/>
        <w:gridCol w:w="146"/>
        <w:gridCol w:w="436"/>
        <w:gridCol w:w="36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(7,503,343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Insurance, facilities and 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tax and auditing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(15,788,119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(5,022,930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160"/>
        <w:jc w:val="left"/>
        <w:rPr>
          <w:rFonts w:ascii="Arial" w:hAnsi="Arial"/>
          <w:color w:val="000000"/>
          <w:sz w:val="18"/>
        </w:rPr>
      </w:pPr>
      <w:r>
        <w:rPr>
          <w:rFonts w:ascii="Arial" w:hAnsi="Arial"/>
          <w:color w:val="000000"/>
          <w:sz w:val="18"/>
        </w:rPr>
        <w:t>General and administrative expenses increased from €10.8 million for the three months ended June 30, 2025 to €15.8 million for the three months ended June 30, 2026. The increase in general and administrative expenses is primarily due to increases in commercial personnel, and commercial and IT professional and other expenses, in support of the progression of IR towards potential launch.</w:t>
      </w:r>
    </w:p>
    <w:p>
      <w:pPr>
        <w:pStyle w:val="TextBody"/>
        <w:bidi w:val="0"/>
        <w:spacing w:before="40" w:after="160"/>
        <w:jc w:val="left"/>
        <w:rPr>
          <w:rFonts w:ascii="Times New Roman" w:hAnsi="Times New Roman"/>
          <w:sz w:val="20"/>
        </w:rPr>
      </w:pPr>
      <w:r>
        <w:rPr>
          <w:rFonts w:ascii="Arial" w:hAnsi="Arial"/>
          <w:color w:val="000000"/>
          <w:sz w:val="18"/>
        </w:rPr>
        <w:t xml:space="preserve">For the three months ended June 30, 2026 and 2025, personnel expenses were €7.5 million and €5.8 million, respectively. The €1.7 million increase in personnel expenses is prmarily driven by </w:t>
      </w:r>
      <w:r>
        <w:rPr>
          <w:rFonts w:ascii="Arial" w:hAnsi="Arial"/>
          <w:color w:val="000000"/>
          <w:sz w:val="18"/>
          <w:u w:val="single"/>
        </w:rPr>
        <w:t xml:space="preserve">share-based compensation and </w:t>
      </w:r>
      <w:r>
        <w:rPr>
          <w:rFonts w:ascii="Arial" w:hAnsi="Arial"/>
          <w:color w:val="000000"/>
          <w:sz w:val="18"/>
        </w:rPr>
        <w:t>the hiring of commercial employees to support the potential launch of the IR product. Personnel expenses include an amount of €3.7 million of share-based compensation versus €2.7 million in the prior-year period.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160"/>
        <w:jc w:val="left"/>
        <w:rPr>
          <w:rFonts w:ascii="Arial" w:hAnsi="Arial"/>
          <w:color w:val="000000"/>
          <w:sz w:val="18"/>
        </w:rPr>
      </w:pPr>
      <w:r>
        <w:rPr>
          <w:rFonts w:ascii="Arial" w:hAnsi="Arial"/>
          <w:color w:val="000000"/>
          <w:sz w:val="18"/>
        </w:rPr>
        <w:t>For the three months ended June 30, 2026 and 2025, professional fees were €3.3 million and €1.7 million, respectively. This represents an increase of €1.6 million, primarily due to commercial and IT expenses supporting the progression of the IR program towards potential commercialization.</w:t>
      </w:r>
    </w:p>
    <w:p>
      <w:pPr>
        <w:pStyle w:val="TextBody"/>
        <w:bidi w:val="0"/>
        <w:spacing w:before="40" w:after="160"/>
        <w:jc w:val="left"/>
        <w:rPr>
          <w:rFonts w:ascii="Arial" w:hAnsi="Arial"/>
          <w:color w:val="000000"/>
          <w:sz w:val="18"/>
        </w:rPr>
      </w:pPr>
      <w:r>
        <w:rPr>
          <w:rFonts w:ascii="Arial" w:hAnsi="Arial"/>
          <w:color w:val="000000"/>
          <w:sz w:val="18"/>
        </w:rPr>
        <w:t>For the three months ended June 30, 2026 and 2025, other expenses were €2.3 million and €0.9 million, respectively, an increase of €1.4 million. The increase is primarily due to commercial conference and market data expenses supporting the progression of the IR program towards potential commercialization as well as advisory board expenses.</w:t>
      </w:r>
    </w:p>
    <w:p>
      <w:pPr>
        <w:pStyle w:val="TextBody"/>
        <w:bidi w:val="0"/>
        <w:jc w:val="left"/>
        <w:rPr>
          <w:rFonts w:ascii="Arial" w:hAnsi="Arial"/>
          <w:i/>
          <w:color w:val="000000"/>
          <w:sz w:val="18"/>
        </w:rPr>
      </w:pPr>
      <w:r>
        <w:rPr>
          <w:rFonts w:ascii="Arial" w:hAnsi="Arial"/>
          <w:i/>
          <w:color w:val="000000"/>
          <w:sz w:val="18"/>
        </w:rPr>
        <w:t>Finance income / (expense) - net</w:t>
      </w:r>
    </w:p>
    <w:p>
      <w:pPr>
        <w:pStyle w:val="TextBody"/>
        <w:bidi w:val="0"/>
        <w:spacing w:before="200" w:after="200"/>
        <w:jc w:val="left"/>
        <w:rPr>
          <w:rFonts w:ascii="Arial" w:hAnsi="Arial"/>
          <w:color w:val="000000"/>
          <w:sz w:val="18"/>
        </w:rPr>
      </w:pPr>
      <w:r>
        <w:rPr>
          <w:rFonts w:ascii="Arial" w:hAnsi="Arial"/>
          <w:color w:val="000000"/>
          <w:sz w:val="18"/>
        </w:rPr>
        <w:t>Finance income (expense) for the three months ended June 30, 2026 and 2025 was €3.5 million and (€4.9) million, respectively. The €8.5 million year-over-year variance was primarily attributable to foreign exchange losses recognized in the second quarter of 2025, driven by a devaluation of the USD versus the Euro, compared to foreign exchange gains recognized in the same period of 2026 resulting from an appreciation in value of the USD versus the Euro.</w:t>
      </w:r>
    </w:p>
    <w:p>
      <w:pPr>
        <w:pStyle w:val="TextBody"/>
        <w:bidi w:val="0"/>
        <w:jc w:val="left"/>
        <w:rPr>
          <w:rFonts w:ascii="Arial" w:hAnsi="Arial"/>
          <w:i/>
          <w:color w:val="000000"/>
          <w:sz w:val="18"/>
        </w:rPr>
      </w:pPr>
      <w:r>
        <w:rPr>
          <w:rFonts w:ascii="Arial" w:hAnsi="Arial"/>
          <w:i/>
          <w:color w:val="000000"/>
          <w:sz w:val="18"/>
        </w:rPr>
        <w:t>Income taxes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tax expense over the three months ended June 30, 2026 relates to the Company's U.S. and Dutch fiscal unity.</w:t>
      </w:r>
    </w:p>
    <w:p>
      <w:pPr>
        <w:pStyle w:val="TextBody"/>
        <w:bidi w:val="0"/>
        <w:jc w:val="left"/>
        <w:rPr/>
      </w:pPr>
      <w:r>
        <w:rPr/>
        <w:t> </w:t>
      </w:r>
    </w:p>
    <w:p>
      <w:pPr>
        <w:pStyle w:val="TextBody"/>
        <w:bidi w:val="0"/>
        <w:spacing w:before="200" w:after="283"/>
        <w:jc w:val="left"/>
        <w:rPr>
          <w:rFonts w:ascii="Arial" w:hAnsi="Arial"/>
          <w:i/>
          <w:color w:val="000000"/>
          <w:sz w:val="18"/>
        </w:rPr>
      </w:pPr>
      <w:r>
        <w:rPr>
          <w:rFonts w:ascii="Arial" w:hAnsi="Arial"/>
          <w:i/>
          <w:color w:val="000000"/>
          <w:sz w:val="18"/>
        </w:rPr>
        <w:t>Comparison of the six months ended June 30, 2026 and June 30, 2025</w:t>
      </w:r>
    </w:p>
    <w:p>
      <w:pPr>
        <w:pStyle w:val="TextBody"/>
        <w:bidi w:val="0"/>
        <w:jc w:val="left"/>
        <w:rPr/>
      </w:pPr>
      <w:r>
        <w:rPr/>
        <w:t> </w:t>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2701"/>
        <w:gridCol w:w="146"/>
        <w:gridCol w:w="146"/>
        <w:gridCol w:w="976"/>
        <w:gridCol w:w="166"/>
        <w:gridCol w:w="146"/>
        <w:gridCol w:w="146"/>
        <w:gridCol w:w="976"/>
        <w:gridCol w:w="166"/>
        <w:gridCol w:w="146"/>
        <w:gridCol w:w="146"/>
        <w:gridCol w:w="976"/>
        <w:gridCol w:w="166"/>
        <w:gridCol w:w="146"/>
        <w:gridCol w:w="146"/>
        <w:gridCol w:w="436"/>
        <w:gridCol w:w="3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(65,161,330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(29,898,958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(7,861,851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(95,060,288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(82,559,408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(95,060,288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(82,559,408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17,648,845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(86,168,095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5,147,965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(87,043,402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4,778,107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283"/>
        <w:jc w:val="left"/>
        <w:rPr>
          <w:rFonts w:ascii="Arial" w:hAnsi="Arial"/>
          <w:i/>
          <w:color w:val="000000"/>
          <w:sz w:val="18"/>
        </w:rPr>
      </w:pPr>
      <w:r>
        <w:rPr>
          <w:rFonts w:ascii="Arial" w:hAnsi="Arial"/>
          <w:i/>
          <w:color w:val="000000"/>
          <w:sz w:val="18"/>
        </w:rPr>
        <w:t>Revenues</w:t>
      </w:r>
    </w:p>
    <w:p>
      <w:pPr>
        <w:pStyle w:val="TextBody"/>
        <w:bidi w:val="0"/>
        <w:spacing w:before="200" w:after="283"/>
        <w:jc w:val="left"/>
        <w:rPr>
          <w:rFonts w:ascii="Arial" w:hAnsi="Arial"/>
          <w:color w:val="000000"/>
          <w:sz w:val="18"/>
        </w:rPr>
      </w:pPr>
      <w:r>
        <w:rPr>
          <w:rFonts w:ascii="Arial" w:hAnsi="Arial"/>
          <w:color w:val="000000"/>
          <w:sz w:val="18"/>
        </w:rPr>
        <w:t>We did not generate any revenues for the six months ended June 30, 2026 and June 30, 2025.</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i/>
          <w:color w:val="000000"/>
          <w:sz w:val="18"/>
        </w:rPr>
      </w:pPr>
      <w:r>
        <w:rPr>
          <w:rFonts w:ascii="Arial" w:hAnsi="Arial"/>
          <w:i/>
          <w:color w:val="000000"/>
          <w:sz w:val="18"/>
        </w:rPr>
        <w:t>Research and development expenses</w:t>
      </w:r>
    </w:p>
    <w:p>
      <w:pPr>
        <w:pStyle w:val="TextBody"/>
        <w:bidi w:val="0"/>
        <w:jc w:val="left"/>
        <w:rPr/>
      </w:pPr>
      <w:r>
        <w:rPr/>
        <w:t> </w:t>
      </w:r>
    </w:p>
    <w:tbl>
      <w:tblPr>
        <w:tblW w:w="7597" w:type="dxa"/>
        <w:jc w:val="left"/>
        <w:tblInd w:w="0" w:type="dxa"/>
        <w:tblLayout w:type="fixed"/>
        <w:tblCellMar>
          <w:top w:w="28" w:type="dxa"/>
          <w:left w:w="28" w:type="dxa"/>
          <w:bottom w:w="28" w:type="dxa"/>
          <w:right w:w="28" w:type="dxa"/>
        </w:tblCellMar>
      </w:tblPr>
      <w:tblGrid>
        <w:gridCol w:w="2356"/>
        <w:gridCol w:w="146"/>
        <w:gridCol w:w="146"/>
        <w:gridCol w:w="976"/>
        <w:gridCol w:w="166"/>
        <w:gridCol w:w="146"/>
        <w:gridCol w:w="146"/>
        <w:gridCol w:w="976"/>
        <w:gridCol w:w="166"/>
        <w:gridCol w:w="146"/>
        <w:gridCol w:w="146"/>
        <w:gridCol w:w="886"/>
        <w:gridCol w:w="166"/>
        <w:gridCol w:w="146"/>
        <w:gridCol w:w="146"/>
        <w:gridCol w:w="376"/>
        <w:gridCol w:w="36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(20,750,961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(35,401,888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(32,049,342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(5,445,858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(65,161,330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Research and development expenses increased from €60.5 million for the six months ended June 30, 2025, to €65.2 million for the six months ended June 30, 2026. The increase primarily relates to increased personnel and clinical expenses and licensing fees, offset by a decrease in nonclinical expenses.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six months ended June 30, 2026 and 2025, personnel expenses were €20.8 million and €17.8 million, respectively, an increase of €3.0 million. The increase in personnel expenses is primarily driven by the hiring of employees to support the progression of the regulatory filings and medical affairs activities in preparation for the potential launch of the IR product. Personnel expenses include €5.1 million of share-based compensation versus €5.0 million in the prior-year period.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six months ended June 30, 2026 and 2025, clinical expenses were €35.4 million and €32.0 million, respectively. This represents an increase of €3.4 million primarily due to higher spending on the conduct of the CREAATE (AAE), the XR long-term, open-label, and the IR extension clinical studies plus additional activities to support the progression of the regulatory filing and potential launch of the IR product offset by completion of the RAPIDe-3 (IR) Phase 3 clinical trial.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six months ended June 30, 2026 and 2025, nonclinical expenses were €2.2 million and €4.7 million, respectively. This represents a decrease of €2.5 million which primarily relates to a decline in nonclinical discovery research.</w:t>
      </w:r>
    </w:p>
    <w:p>
      <w:pPr>
        <w:pStyle w:val="TextBody"/>
        <w:bidi w:val="0"/>
        <w:spacing w:before="200" w:after="160"/>
        <w:jc w:val="left"/>
        <w:rPr>
          <w:rFonts w:ascii="Arial" w:hAnsi="Arial"/>
          <w:color w:val="000000"/>
          <w:sz w:val="18"/>
        </w:rPr>
      </w:pPr>
      <w:r>
        <w:rPr>
          <w:rFonts w:ascii="Arial" w:hAnsi="Arial"/>
          <w:color w:val="000000"/>
          <w:sz w:val="18"/>
        </w:rPr>
        <w:t>The following table summarizes our research and development expenses by project for the six months ended June 30, 2026 and 2025:</w:t>
      </w:r>
    </w:p>
    <w:tbl>
      <w:tblPr>
        <w:tblW w:w="8049" w:type="dxa"/>
        <w:jc w:val="left"/>
        <w:tblInd w:w="0" w:type="dxa"/>
        <w:tblLayout w:type="fixed"/>
        <w:tblCellMar>
          <w:top w:w="28" w:type="dxa"/>
          <w:left w:w="28" w:type="dxa"/>
          <w:bottom w:w="28" w:type="dxa"/>
          <w:right w:w="28" w:type="dxa"/>
        </w:tblCellMar>
      </w:tblPr>
      <w:tblGrid>
        <w:gridCol w:w="3046"/>
        <w:gridCol w:w="146"/>
        <w:gridCol w:w="146"/>
        <w:gridCol w:w="976"/>
        <w:gridCol w:w="166"/>
        <w:gridCol w:w="146"/>
        <w:gridCol w:w="976"/>
        <w:gridCol w:w="166"/>
        <w:gridCol w:w="146"/>
        <w:gridCol w:w="886"/>
        <w:gridCol w:w="166"/>
        <w:gridCol w:w="146"/>
        <w:gridCol w:w="376"/>
        <w:gridCol w:w="5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Project-Specific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On-Demand (IR)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(13,869,345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Prophylaxis (XR)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(15,924,778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(4,544,725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(3,911,707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(20,750,961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(11,715,706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(12,318,062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(65,161,330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160"/>
        <w:jc w:val="left"/>
        <w:rPr>
          <w:rFonts w:ascii="Arial" w:hAnsi="Arial"/>
          <w:color w:val="000000"/>
          <w:sz w:val="18"/>
        </w:rPr>
      </w:pPr>
      <w:r>
        <w:rPr>
          <w:rFonts w:ascii="Arial" w:hAnsi="Arial"/>
          <w:color w:val="000000"/>
          <w:sz w:val="18"/>
        </w:rPr>
        <w:t>The On-Demand (IR) project-specific expenses decrease of €2.6 million versus the prior year period is primarily due to completion of the RAPIDe-3 (IR) Phase 3 clinical trial offset by higher spending on the conduct of the IR extension clinical study, a licensing fee, and activities to support the progression of the regulatory filing and potential launch of the IR product.</w:t>
      </w:r>
    </w:p>
    <w:p>
      <w:pPr>
        <w:pStyle w:val="TextBody"/>
        <w:bidi w:val="0"/>
        <w:spacing w:before="40" w:after="160"/>
        <w:jc w:val="left"/>
        <w:rPr>
          <w:rFonts w:ascii="Arial" w:hAnsi="Arial"/>
          <w:color w:val="000000"/>
          <w:sz w:val="18"/>
        </w:rPr>
      </w:pPr>
      <w:r>
        <w:rPr>
          <w:rFonts w:ascii="Arial" w:hAnsi="Arial"/>
          <w:color w:val="000000"/>
          <w:sz w:val="18"/>
        </w:rPr>
        <w:t>The Prophylaxis (XR) project-specific expenses increase of €1.0 million versus the prior year period is primarily due to by an increase in the XR long-term, open-label clinical study offset by the completion and wind down of Phase 1 through Phase 3 XR clinical trials and decreases in manufacturing and nonclinical development activities.</w:t>
      </w:r>
    </w:p>
    <w:p>
      <w:pPr>
        <w:pStyle w:val="TextBody"/>
        <w:bidi w:val="0"/>
        <w:spacing w:before="40" w:after="160"/>
        <w:jc w:val="left"/>
        <w:rPr>
          <w:rFonts w:ascii="Arial" w:hAnsi="Arial"/>
          <w:color w:val="000000"/>
          <w:sz w:val="18"/>
        </w:rPr>
      </w:pPr>
      <w:r>
        <w:rPr>
          <w:rFonts w:ascii="Arial" w:hAnsi="Arial"/>
          <w:color w:val="000000"/>
          <w:sz w:val="18"/>
        </w:rPr>
        <w:t>The AAE project-specific expenses increase of €3.9 million versus the prior year period is primarily due to the commencement and progress of the CREAATE trial.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General and administrative expenses</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2491"/>
        <w:gridCol w:w="146"/>
        <w:gridCol w:w="146"/>
        <w:gridCol w:w="976"/>
        <w:gridCol w:w="166"/>
        <w:gridCol w:w="146"/>
        <w:gridCol w:w="146"/>
        <w:gridCol w:w="976"/>
        <w:gridCol w:w="166"/>
        <w:gridCol w:w="146"/>
        <w:gridCol w:w="146"/>
        <w:gridCol w:w="886"/>
        <w:gridCol w:w="166"/>
        <w:gridCol w:w="146"/>
        <w:gridCol w:w="146"/>
        <w:gridCol w:w="436"/>
        <w:gridCol w:w="36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(2,945,982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(6,855,363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(2,564,443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Insurance, facilities and 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(3,025,469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tax and auditing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(29,898,958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(7,861,851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200"/>
        <w:jc w:val="left"/>
        <w:rPr>
          <w:rFonts w:ascii="Arial" w:hAnsi="Arial"/>
          <w:color w:val="000000"/>
          <w:sz w:val="18"/>
        </w:rPr>
      </w:pPr>
      <w:r>
        <w:rPr>
          <w:rFonts w:ascii="Arial" w:hAnsi="Arial"/>
          <w:color w:val="000000"/>
          <w:sz w:val="18"/>
        </w:rPr>
        <w:t>General and administrative expenses increased from €22.0 million six months ended June 30, 2025, to €29.9 million for the six months ended June 30, 2026. The increase in general and administrative expenses is primarily due to increases in commercial personnel and commercial and IT professional and other expenses, in support of the progression of IR towards potential launch.</w:t>
      </w:r>
    </w:p>
    <w:p>
      <w:pPr>
        <w:pStyle w:val="TextBody"/>
        <w:bidi w:val="0"/>
        <w:spacing w:before="0" w:after="160"/>
        <w:jc w:val="left"/>
        <w:rPr>
          <w:rFonts w:ascii="Times New Roman" w:hAnsi="Times New Roman"/>
          <w:sz w:val="20"/>
        </w:rPr>
      </w:pPr>
      <w:r>
        <w:rPr>
          <w:rFonts w:ascii="Arial" w:hAnsi="Arial"/>
          <w:color w:val="000000"/>
          <w:sz w:val="18"/>
        </w:rPr>
        <w:t xml:space="preserve">For the six months ended June 30, 2026 and 2025, personnel expenses were €13.8 million and €10.8 million, respectively. The €2.9 million increase in personnel expenses is </w:t>
      </w:r>
      <w:r>
        <w:rPr>
          <w:rFonts w:ascii="Arial" w:hAnsi="Arial"/>
          <w:color w:val="000000"/>
          <w:sz w:val="18"/>
          <w:u w:val="single"/>
        </w:rPr>
        <w:t xml:space="preserve">primarily </w:t>
      </w:r>
      <w:r>
        <w:rPr>
          <w:rFonts w:ascii="Arial" w:hAnsi="Arial"/>
          <w:color w:val="000000"/>
          <w:sz w:val="18"/>
        </w:rPr>
        <w:t xml:space="preserve">driven by </w:t>
      </w:r>
      <w:r>
        <w:rPr>
          <w:rFonts w:ascii="Arial" w:hAnsi="Arial"/>
          <w:color w:val="000000"/>
          <w:sz w:val="18"/>
          <w:u w:val="single"/>
        </w:rPr>
        <w:t xml:space="preserve">share-based compensation and </w:t>
      </w:r>
      <w:r>
        <w:rPr>
          <w:rFonts w:ascii="Arial" w:hAnsi="Arial"/>
          <w:color w:val="000000"/>
          <w:sz w:val="18"/>
        </w:rPr>
        <w:t>the hiring of commercial employees to support the potential launch of the IR product. Personnel expenses include €6.4 million of share-based compensation versus €4.7 million in the prior-year period.</w:t>
      </w:r>
      <w:r>
        <w:rPr>
          <w:rFonts w:ascii="Times New Roman" w:hAnsi="Times New Roman"/>
          <w:color w:val="000000"/>
          <w:sz w:val="20"/>
        </w:rPr>
        <w:t xml:space="preserve"> </w:t>
      </w:r>
    </w:p>
    <w:p>
      <w:pPr>
        <w:pStyle w:val="TextBody"/>
        <w:bidi w:val="0"/>
        <w:spacing w:before="40" w:after="160"/>
        <w:jc w:val="left"/>
        <w:rPr>
          <w:rFonts w:ascii="Arial" w:hAnsi="Arial"/>
          <w:color w:val="000000"/>
          <w:sz w:val="18"/>
        </w:rPr>
      </w:pPr>
      <w:r>
        <w:rPr>
          <w:rFonts w:ascii="Arial" w:hAnsi="Arial"/>
          <w:color w:val="000000"/>
          <w:sz w:val="18"/>
        </w:rPr>
        <w:t>For the six months ended June 30, 2026 and 2025, professional fees were €6.9 million and €4.3 million, respectively. This represents an increase of €2.6 million, primarily due to commercial and IT expenses supporting the progression of the IR program towards potential commercialization.</w:t>
      </w:r>
    </w:p>
    <w:p>
      <w:pPr>
        <w:pStyle w:val="TextBody"/>
        <w:bidi w:val="0"/>
        <w:spacing w:before="40" w:after="160"/>
        <w:jc w:val="left"/>
        <w:rPr>
          <w:rFonts w:ascii="Arial" w:hAnsi="Arial"/>
          <w:color w:val="000000"/>
          <w:sz w:val="18"/>
        </w:rPr>
      </w:pPr>
      <w:r>
        <w:rPr>
          <w:rFonts w:ascii="Arial" w:hAnsi="Arial"/>
          <w:color w:val="000000"/>
          <w:sz w:val="18"/>
        </w:rPr>
        <w:t>For the six months ended June 30, 2026 and 2025, other expenses were €4.4 million and €2.2 million, respectively, an increase of €2.3 million. The increase is primarily due to conference and market data expenses supporting the progression of the IR program towards planned commercialization as well as advisory board expenses.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Finance (expense) / income - net</w:t>
      </w:r>
    </w:p>
    <w:p>
      <w:pPr>
        <w:pStyle w:val="TextBody"/>
        <w:bidi w:val="0"/>
        <w:spacing w:before="200" w:after="160"/>
        <w:jc w:val="left"/>
        <w:rPr>
          <w:rFonts w:ascii="Arial" w:hAnsi="Arial"/>
          <w:color w:val="000000"/>
          <w:sz w:val="18"/>
        </w:rPr>
      </w:pPr>
      <w:r>
        <w:rPr>
          <w:rFonts w:ascii="Arial" w:hAnsi="Arial"/>
          <w:color w:val="000000"/>
          <w:sz w:val="18"/>
        </w:rPr>
        <w:t>Finance (expense) / income - net, for the six months ended June 30, 2026 and 2025 was €8.9 million and (€8.8) million, respectively. Of the change of €17.6 million, primarily concerns foreign exchange gains in 2026 versus a loss in 2025, given the devaluation of the USD in comparison to the EUR in prior year. Interest income represents € 1.5 million this change, impacted by higher fund availability in 2026.</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Income taxes</w:t>
      </w:r>
    </w:p>
    <w:p>
      <w:pPr>
        <w:pStyle w:val="TextBody"/>
        <w:bidi w:val="0"/>
        <w:spacing w:before="200" w:after="160"/>
        <w:jc w:val="left"/>
        <w:rPr>
          <w:rFonts w:ascii="Arial" w:hAnsi="Arial"/>
          <w:color w:val="000000"/>
          <w:sz w:val="18"/>
        </w:rPr>
      </w:pPr>
      <w:r>
        <w:rPr>
          <w:rFonts w:ascii="Arial" w:hAnsi="Arial"/>
          <w:color w:val="000000"/>
          <w:sz w:val="18"/>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Liquidity and Capital Resources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Since inception, we have incurred significant operating losses. For the six months ended June 30, 2026 and 2025, we incurred losses of €87.0 million and €91.8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To date, we have relied on the issuance of equity securities to finance our operations and internal growth. We have previously offered and sold ordinary shares and pre-funded warrants pursuant to underwritten offerings, private placements and at-the-market sales programs. In July 2025, we conducted an underwritten offering of ordinary shares and pre-funded warrants to purchase ordinary shares that generated net proceeds of approximately €160.9 million ($189 million). In May 2026, we conducted an underwritten offering of ordinary shares that generated net proceeds of approximately $124.3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of June 30, 2026 we held cash and cash equivalents of €318.3 million. Of the cash on hand, €0.1 million relates to guarantees</w:t>
      </w:r>
      <w:r>
        <w:rPr>
          <w:rFonts w:ascii="Times New Roman" w:hAnsi="Times New Roman"/>
          <w:color w:val="000000"/>
          <w:sz w:val="20"/>
        </w:rPr>
        <w:t xml:space="preserve">. </w:t>
      </w:r>
      <w:r>
        <w:rPr>
          <w:rFonts w:ascii="Arial" w:hAnsi="Arial"/>
          <w:color w:val="000000"/>
          <w:sz w:val="18"/>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contractual obligations and commitments as of June 30, 2026 amounted to €118 million primarily related to research and development contracts.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Cash Flows</w:t>
      </w:r>
    </w:p>
    <w:p>
      <w:pPr>
        <w:pStyle w:val="TextBody"/>
        <w:bidi w:val="0"/>
        <w:spacing w:before="200" w:after="283"/>
        <w:jc w:val="left"/>
        <w:rPr>
          <w:rFonts w:ascii="Times New Roman" w:hAnsi="Times New Roman"/>
          <w:sz w:val="20"/>
        </w:rPr>
      </w:pPr>
      <w:r>
        <w:rPr>
          <w:rFonts w:ascii="Arial" w:hAnsi="Arial"/>
          <w:b/>
          <w:i/>
          <w:color w:val="000000"/>
          <w:sz w:val="18"/>
        </w:rPr>
        <w:t>Comparison for the six months ended June 30, 2026 and 2025.</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The following table sets forth our primary sources and uses of our cash and cash equivalents for each of the periods set forth below:</w:t>
      </w:r>
    </w:p>
    <w:p>
      <w:pPr>
        <w:pStyle w:val="TextBody"/>
        <w:bidi w:val="0"/>
        <w:spacing w:before="200" w:after="283"/>
        <w:jc w:val="left"/>
        <w:rPr/>
      </w:pPr>
      <w:r>
        <w:rPr/>
        <w:t> </w:t>
      </w:r>
    </w:p>
    <w:tbl>
      <w:tblPr>
        <w:tblW w:w="9585" w:type="dxa"/>
        <w:jc w:val="left"/>
        <w:tblInd w:w="0" w:type="dxa"/>
        <w:tblLayout w:type="fixed"/>
        <w:tblCellMar>
          <w:top w:w="28" w:type="dxa"/>
          <w:left w:w="28" w:type="dxa"/>
          <w:bottom w:w="28" w:type="dxa"/>
          <w:right w:w="28" w:type="dxa"/>
        </w:tblCellMar>
      </w:tblPr>
      <w:tblGrid>
        <w:gridCol w:w="4126"/>
        <w:gridCol w:w="146"/>
        <w:gridCol w:w="1006"/>
        <w:gridCol w:w="166"/>
        <w:gridCol w:w="146"/>
        <w:gridCol w:w="146"/>
        <w:gridCol w:w="1006"/>
        <w:gridCol w:w="166"/>
        <w:gridCol w:w="146"/>
        <w:gridCol w:w="1006"/>
        <w:gridCol w:w="166"/>
        <w:gridCol w:w="146"/>
        <w:gridCol w:w="146"/>
        <w:gridCol w:w="706"/>
        <w:gridCol w:w="36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(86,566,932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(68,451,963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(18,114,969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105,812,502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105,910,849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(107691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291,678,888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280,728,037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10,950,851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7,436,999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(12,461,675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19,898,674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end of the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318,282,453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199,571,685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118,710,768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Operating activities</w:t>
      </w:r>
    </w:p>
    <w:p>
      <w:pPr>
        <w:pStyle w:val="TextBody"/>
        <w:bidi w:val="0"/>
        <w:spacing w:before="200" w:after="283"/>
        <w:jc w:val="left"/>
        <w:rPr>
          <w:rFonts w:ascii="Arial" w:hAnsi="Arial"/>
          <w:color w:val="000000"/>
          <w:sz w:val="18"/>
        </w:rPr>
      </w:pPr>
      <w:r>
        <w:rPr>
          <w:rFonts w:ascii="Arial" w:hAnsi="Arial"/>
          <w:color w:val="000000"/>
          <w:sz w:val="18"/>
        </w:rPr>
        <w:t>Net cash used in operating activities was €86.6 million for the six months ended June 30, 2026 and primarily consisted of a net loss before taxes of €86.2 million adjusted for share-based compensation of €11.5 million, net foreign exchange gain of €6.7 million and finance costs of €0.1 million, an increase in other current assets of €1.5 million and decreases in trade and other payables of €5.8 million and increase in accrued liabilities of €0.8 million as well as other changes in net working capital.</w:t>
      </w:r>
    </w:p>
    <w:p>
      <w:pPr>
        <w:pStyle w:val="TextBody"/>
        <w:bidi w:val="0"/>
        <w:spacing w:before="200" w:after="283"/>
        <w:jc w:val="left"/>
        <w:rPr>
          <w:rFonts w:ascii="Arial" w:hAnsi="Arial"/>
          <w:color w:val="000000"/>
          <w:sz w:val="18"/>
        </w:rPr>
      </w:pPr>
      <w:r>
        <w:rPr>
          <w:rFonts w:ascii="Arial" w:hAnsi="Arial"/>
          <w:color w:val="000000"/>
          <w:sz w:val="18"/>
        </w:rPr>
        <w:t>Net cash used in operating activities was €68.5 million for the six months ended June 30, 2025 and primarily consisted of a net loss before taxes of €91.3 million adjusted for share-based compensation of €9.6 million, net foreign exchange losses of €12.0 million and finance income of €0.4 million, an increase in other current assets of €0.4 million and increase in accrued liabilities of €0.9 million and other changes in net working capital.</w:t>
      </w:r>
    </w:p>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Financing activities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18"/>
        </w:rPr>
      </w:pPr>
      <w:r>
        <w:rPr>
          <w:rFonts w:ascii="Arial" w:hAnsi="Arial"/>
          <w:color w:val="000000"/>
          <w:sz w:val="18"/>
        </w:rPr>
        <w:t>During May, 2026, we entered into an underwriting agreement with Morgan Stanley &amp; Co. LLC and Leerink Partners LLC as representatives of the underwriters named therein, pursuant to which we agreed to issue and sell in an underwritten offering 4,455,863 ordinary shares, par value €0.12 per share (which includes the exercise in full by the underwriters of their option to purchase up to an additional 581,199 ordinary shares). The offering closed on May 11, 2026, and we generated net proceeds of approximately €105.7 million ($124.3 million), after deducting bank fees of approximately €6.7 million ($7.9 million).</w:t>
      </w:r>
    </w:p>
    <w:p>
      <w:pPr>
        <w:pStyle w:val="TextBody"/>
        <w:bidi w:val="0"/>
        <w:spacing w:before="200" w:after="283"/>
        <w:jc w:val="left"/>
        <w:rPr>
          <w:rFonts w:ascii="Arial" w:hAnsi="Arial"/>
          <w:b/>
          <w:color w:val="000000"/>
          <w:sz w:val="18"/>
        </w:rPr>
      </w:pPr>
      <w:r>
        <w:rPr>
          <w:rFonts w:ascii="Arial" w:hAnsi="Arial"/>
          <w:b/>
          <w:color w:val="000000"/>
          <w:sz w:val="18"/>
        </w:rPr>
        <w:t>Off-Balance Sheet Arrangements</w:t>
      </w:r>
    </w:p>
    <w:p>
      <w:pPr>
        <w:pStyle w:val="TextBody"/>
        <w:bidi w:val="0"/>
        <w:spacing w:before="200" w:after="283"/>
        <w:jc w:val="left"/>
        <w:rPr>
          <w:rFonts w:ascii="Arial" w:hAnsi="Arial"/>
          <w:color w:val="000000"/>
          <w:sz w:val="18"/>
        </w:rPr>
      </w:pPr>
      <w:r>
        <w:rPr>
          <w:rFonts w:ascii="Arial" w:hAnsi="Arial"/>
          <w:color w:val="000000"/>
          <w:sz w:val="18"/>
        </w:rPr>
        <w:t>As of June 30, 2026, we did not have any off-balance sheet arrangements other than the disclosed commitments.</w:t>
      </w:r>
    </w:p>
    <w:p>
      <w:pPr>
        <w:pStyle w:val="TextBody"/>
        <w:bidi w:val="0"/>
        <w:spacing w:before="200" w:after="283"/>
        <w:jc w:val="left"/>
        <w:rPr>
          <w:rFonts w:ascii="Arial" w:hAnsi="Arial"/>
          <w:b/>
          <w:color w:val="000000"/>
          <w:sz w:val="18"/>
        </w:rPr>
      </w:pPr>
      <w:r>
        <w:rPr>
          <w:rFonts w:ascii="Arial" w:hAnsi="Arial"/>
          <w:b/>
          <w:color w:val="000000"/>
          <w:sz w:val="18"/>
        </w:rPr>
        <w:t>Quantitative and Qualitative Disclosures About Market Risk</w:t>
      </w:r>
    </w:p>
    <w:p>
      <w:pPr>
        <w:pStyle w:val="TextBody"/>
        <w:bidi w:val="0"/>
        <w:spacing w:before="200" w:after="283"/>
        <w:jc w:val="left"/>
        <w:rPr>
          <w:rFonts w:ascii="Arial" w:hAnsi="Arial"/>
          <w:color w:val="000000"/>
          <w:sz w:val="18"/>
        </w:rPr>
      </w:pPr>
      <w:r>
        <w:rPr>
          <w:rFonts w:ascii="Arial" w:hAnsi="Arial"/>
          <w:color w:val="000000"/>
          <w:sz w:val="18"/>
        </w:rPr>
        <w:t>During the six months ended June 30, 2026, there were no significant changes to our quantitative and qualitative disclosures about market risk from those reported in “Item 11. Quantitative and Qualitative Disclosures About Market Risk” in the Annual Report.</w:t>
      </w:r>
    </w:p>
    <w:p>
      <w:pPr>
        <w:pStyle w:val="TextBody"/>
        <w:bidi w:val="0"/>
        <w:spacing w:before="200" w:after="283"/>
        <w:jc w:val="left"/>
        <w:rPr>
          <w:rFonts w:ascii="Arial" w:hAnsi="Arial"/>
          <w:b/>
          <w:color w:val="000000"/>
          <w:sz w:val="18"/>
        </w:rPr>
      </w:pPr>
      <w:r>
        <w:rPr>
          <w:rFonts w:ascii="Arial" w:hAnsi="Arial"/>
          <w:b/>
          <w:color w:val="000000"/>
          <w:sz w:val="18"/>
        </w:rPr>
        <w:t>Critical Accounting Estimates and Judgments</w:t>
      </w:r>
    </w:p>
    <w:p>
      <w:pPr>
        <w:pStyle w:val="TextBody"/>
        <w:bidi w:val="0"/>
        <w:spacing w:before="200" w:after="283"/>
        <w:jc w:val="left"/>
        <w:rPr>
          <w:rFonts w:ascii="Arial" w:hAnsi="Arial"/>
          <w:color w:val="000000"/>
          <w:sz w:val="18"/>
        </w:rPr>
      </w:pPr>
      <w:r>
        <w:rPr>
          <w:rFonts w:ascii="Arial" w:hAnsi="Arial"/>
          <w:color w:val="000000"/>
          <w:sz w:val="18"/>
        </w:rPr>
        <w:t>There have been no material changes to the significant accounting policies and estimates described in Note 2.19 to our consolidated financial statements in the Annual Report.</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Cautionary Statement Regarding Forward-Looking Statements</w:t>
      </w:r>
    </w:p>
    <w:p>
      <w:pPr>
        <w:pStyle w:val="TextBody"/>
        <w:bidi w:val="0"/>
        <w:spacing w:before="200" w:after="283"/>
        <w:jc w:val="left"/>
        <w:rPr>
          <w:rFonts w:ascii="Times New Roman" w:hAnsi="Times New Roman"/>
          <w:sz w:val="20"/>
        </w:rPr>
      </w:pPr>
      <w:r>
        <w:rPr>
          <w:rFonts w:ascii="Arial" w:hAnsi="Arial"/>
          <w:color w:val="000000"/>
          <w:sz w:val="18"/>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Factors that might cause such a difference include, but are not limited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expected timing, progress, or success of our product candidates, especially for XR (extended-release deucrictibant tablets), which is in late-stage global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our ability to replicate the efficacy and safety demonstrated in the RAPIDe-1, RAPIDe-2, RAPIDe-3, and CHAPTER-1 Phase 2 and Phase 3 studies in ongoing and future nonclinical studies and clinical trials, such as CHAPTER-3 and CREAATE;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timing and outcome of regulatory approvals, including the timing and outcome of our recent submission of the New Drug Application to the FDA for the on-demand treatment of acute attacks of HAE;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risks arising from epidemic diseases which may adversely impact our business,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potentially use deucrictibant for alternative purposes, for example to treat C1-INH deficiency (AAE-C1INH);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value of our ordinary shares;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timing, costs and other limitations involved in obtaining regulatory approval for our product candidates, including IR (immediate-release deucrictibant capsules) and XR or any other product candidate that we may develop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market, commercialize and achieve market acceptance for our product candidates IR and XR or any of our other product candidates that we may develop in the future,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establish commercial capabilities or enter into agreements with third parties to market, sell and distribute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dependence on third parties to perform critical activities related to the research, nonclinical safety and toxicology studies, development and manufacturing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disruptions at the FDA and other government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expense, time and uncertainty involved in the development and consistent manufacturing and supply of our product candidates, some or all of which may never reach the regulatory approval stage;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produce sufficient amounts of drug product candidates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raise capital when needed and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enter into any new licensing agreements or to maintain any licensing agreements with respect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reliance on collaboration partners and licensees, whose actions we cannot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willingness of private insurers and other payors to provide reimbursement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regulatory developments in the United States, the European Union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outcome and timing of price negotiations with governmental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compete in the pharmaceutical industry, including with respect to existing therapies, emerging potentially competitive therapies and with competitive generic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protect our intellectual property and know-how and operate our business without infringing the intellectual property rights or regulatory exclusivity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side effects or adverse events associated with the use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defend against costly and damaging liability claims resulting from the testing of our product candidates in the clinic or, if, approved, any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loss of any of our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estimates of market sizes and anticipated uses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estimates of future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estimates regarding anticipated operating losses, future revenues, expenses, capital requirements and our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comply with existing or future laws and regulations in a cost-efficient manner;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manage negative consequences from changes in applicable laws and regulations, including tax laws (including the Biosecure 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maintain an effective system of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our expectations regarding the time during which we will be a foreign private issuer;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changes and uncertainty in general market, political and economic conditions, including as a result of inflation and the conflict between Russia and Ukraine and the conflict in the Middle East;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changes in regulations and customs, tariffs and trade barriers.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Arial" w:hAnsi="Arial"/>
          <w:color w:val="000000"/>
          <w:sz w:val="18"/>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statements. As a result of these factors, we cannot assure you that the forward-looking statements in this management’s discussion and analysis will prove to be accurate. Furthermore, if our forward-looking statements prove to be inaccurate, the inaccuracy may be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In light of the significant uncertainties in these forward-looking statements, you should not regard these statements as a representation or warranty by us or any other person that we will achieve our objectives and plans in any specified time frame or at all.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We undertake no obligation to publicly update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6" w:name="phvs-ex99_3.htm"/>
      <w:bookmarkStart w:id="7" w:name="ksphvsex99_3"/>
      <w:bookmarkEnd w:id="6"/>
      <w:bookmarkEnd w:id="7"/>
      <w:r>
        <w:rPr>
          <w:rFonts w:ascii="Arial" w:hAnsi="Arial"/>
          <w:b/>
          <w:color w:val="000000"/>
          <w:sz w:val="20"/>
        </w:rPr>
        <w:t>Exhibit 99.3</w:t>
      </w:r>
      <w:r>
        <w:br w:type="page"/>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Pharvaris N.V.</w:t>
      </w:r>
    </w:p>
    <w:p>
      <w:pPr>
        <w:pStyle w:val="TextBody"/>
        <w:bidi w:val="0"/>
        <w:jc w:val="left"/>
        <w:rPr>
          <w:rFonts w:ascii="Arial" w:hAnsi="Arial"/>
          <w:b/>
          <w:color w:val="000000"/>
          <w:sz w:val="24"/>
        </w:rPr>
      </w:pPr>
      <w:r>
        <w:rPr>
          <w:rFonts w:ascii="Arial" w:hAnsi="Arial"/>
          <w:b/>
          <w:color w:val="000000"/>
          <w:sz w:val="24"/>
        </w:rPr>
        <w:t>Unaudited Condensed Consolidated Interim Financial Statements</w:t>
      </w:r>
    </w:p>
    <w:p>
      <w:pPr>
        <w:pStyle w:val="TextBody"/>
        <w:bidi w:val="0"/>
        <w:jc w:val="left"/>
        <w:rPr>
          <w:rFonts w:ascii="Arial" w:hAnsi="Arial"/>
          <w:b/>
          <w:color w:val="000000"/>
          <w:sz w:val="24"/>
        </w:rPr>
      </w:pPr>
      <w:r>
        <w:rPr>
          <w:rFonts w:ascii="Arial" w:hAnsi="Arial"/>
          <w:b/>
          <w:color w:val="000000"/>
          <w:sz w:val="24"/>
        </w:rPr>
        <w:t>For the six months ended June 30,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Contents</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7321"/>
        <w:gridCol w:w="976"/>
      </w:tblGrid>
      <w:tr>
        <w:trPr/>
        <w:tc>
          <w:tcPr>
            <w:tcW w:w="732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73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Unaudited condensed consolidated statement of loss and other comprehensive loss</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teme">
              <w:r>
                <w:rPr>
                  <w:rStyle w:val="InternetLink"/>
                  <w:rFonts w:ascii="Times New Roman" w:hAnsi="Times New Roman"/>
                  <w:b/>
                  <w:color w:val="000000"/>
                  <w:sz w:val="20"/>
                </w:rPr>
                <w:t>3</w:t>
              </w:r>
            </w:hyperlink>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Unaudited condensed consolidated statement of financial position</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te_1">
              <w:r>
                <w:rPr>
                  <w:rStyle w:val="InternetLink"/>
                  <w:rFonts w:ascii="Times New Roman" w:hAnsi="Times New Roman"/>
                  <w:b/>
                  <w:color w:val="000000"/>
                  <w:sz w:val="20"/>
                </w:rPr>
                <w:t>4</w:t>
              </w:r>
            </w:hyperlink>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Unaudited condensed consolidated statement of changes in equity</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_2">
              <w:r>
                <w:rPr>
                  <w:rStyle w:val="InternetLink"/>
                  <w:rFonts w:ascii="Times New Roman" w:hAnsi="Times New Roman"/>
                  <w:b/>
                  <w:color w:val="000000"/>
                  <w:sz w:val="20"/>
                </w:rPr>
                <w:t>5</w:t>
              </w:r>
            </w:hyperlink>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Unaudited condensed consolidated statement of cash flows</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_3">
              <w:r>
                <w:rPr>
                  <w:rStyle w:val="InternetLink"/>
                  <w:rFonts w:ascii="Times New Roman" w:hAnsi="Times New Roman"/>
                  <w:b/>
                  <w:color w:val="000000"/>
                  <w:sz w:val="20"/>
                </w:rPr>
                <w:t>6</w:t>
              </w:r>
            </w:hyperlink>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Notes to the unaudited condensed consolidated interim financial statements</w:t>
            </w:r>
          </w:p>
        </w:tc>
        <w:tc>
          <w:tcPr>
            <w:tcW w:w="976" w:type="dxa"/>
            <w:tcBorders/>
            <w:tcMar>
              <w:top w:w="0" w:type="dxa"/>
              <w:left w:w="0" w:type="dxa"/>
              <w:bottom w:w="0" w:type="dxa"/>
              <w:right w:w="0" w:type="dxa"/>
            </w:tcMar>
            <w:vAlign w:val="center"/>
          </w:tcPr>
          <w:p>
            <w:pPr>
              <w:pStyle w:val="TableContents"/>
              <w:bidi w:val="0"/>
              <w:spacing w:before="0" w:after="283"/>
              <w:jc w:val="right"/>
              <w:rPr/>
            </w:pPr>
            <w:hyperlink w:anchor="notes_to_unaudited_condensed_consolidate">
              <w:r>
                <w:rPr>
                  <w:rStyle w:val="InternetLink"/>
                  <w:rFonts w:ascii="Times New Roman" w:hAnsi="Times New Roman"/>
                  <w:b/>
                  <w:color w:val="000000"/>
                  <w:sz w:val="20"/>
                </w:rPr>
                <w:t>7</w:t>
              </w:r>
            </w:hyperlink>
          </w:p>
        </w:tc>
      </w:tr>
      <w:tr>
        <w:trPr/>
        <w:tc>
          <w:tcPr>
            <w:tcW w:w="7321"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sz w:val="20"/>
        </w:rPr>
      </w:pPr>
      <w:bookmarkStart w:id="8" w:name="unaudited_condensed_consolidated_stateme"/>
      <w:bookmarkEnd w:id="8"/>
      <w:r>
        <w:rPr>
          <w:rFonts w:ascii="Times New Roman" w:hAnsi="Times New Roman"/>
          <w:color w:val="000000"/>
          <w:sz w:val="24"/>
        </w:rPr>
        <w:t>Unaudited condensed consolidated statement of</w:t>
      </w:r>
      <w:r>
        <w:rPr>
          <w:rFonts w:ascii="Times New Roman" w:hAnsi="Times New Roman"/>
          <w:color w:val="000000"/>
          <w:sz w:val="20"/>
        </w:rPr>
        <w:t xml:space="preserve"> </w:t>
      </w:r>
      <w:r>
        <w:rPr>
          <w:rFonts w:ascii="Times New Roman" w:hAnsi="Times New Roman"/>
          <w:color w:val="000000"/>
          <w:sz w:val="24"/>
        </w:rPr>
        <w:t>loss and other comprehensive loss</w:t>
      </w:r>
      <w:r>
        <w:rPr>
          <w:rFonts w:ascii="Times New Roman" w:hAnsi="Times New Roman"/>
          <w:color w:val="000000"/>
          <w:sz w:val="20"/>
        </w:rPr>
        <w:t xml:space="preserve"> </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6"/>
        <w:gridCol w:w="224"/>
        <w:gridCol w:w="302"/>
        <w:gridCol w:w="146"/>
        <w:gridCol w:w="146"/>
        <w:gridCol w:w="976"/>
        <w:gridCol w:w="166"/>
        <w:gridCol w:w="146"/>
        <w:gridCol w:w="976"/>
        <w:gridCol w:w="166"/>
        <w:gridCol w:w="146"/>
        <w:gridCol w:w="976"/>
        <w:gridCol w:w="166"/>
        <w:gridCol w:w="146"/>
        <w:gridCol w:w="976"/>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(65,161,330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(15,788,119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(29,898,958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(50,788,287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(95,060,288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(82,559,408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 (expense)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3,547,758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8,892,193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(8,756,652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(47,240,529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(45,277,904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(86,168,095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(47,842,729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(87,043,402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Items that may be reclassified to profit or loss: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(losses) gains arising on translation of foreign operations</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attributable to:</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holders of the Company</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(47,204,636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(45,741,848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(86,304,459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(92,211,426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 attributable to the equity holders of the Company during the periods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and diluted loss per share:</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Heading1"/>
        <w:bidi w:val="0"/>
        <w:jc w:val="left"/>
        <w:rPr/>
      </w:pPr>
      <w:r>
        <w:rPr/>
        <w:t> </w:t>
      </w:r>
    </w:p>
    <w:p>
      <w:pPr>
        <w:pStyle w:val="TextBody"/>
        <w:bidi w:val="0"/>
        <w:jc w:val="center"/>
        <w:rPr>
          <w:rFonts w:ascii="Times New Roman" w:hAnsi="Times New Roman"/>
          <w:sz w:val="20"/>
        </w:rPr>
      </w:pPr>
      <w:r>
        <w:rPr>
          <w:rFonts w:ascii="Arial" w:hAnsi="Arial"/>
          <w:color w:val="000000"/>
          <w:sz w:val="16"/>
        </w:rPr>
        <w:t>The accompanying notes are an integral part of these unaudited condensed consolidated interim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Arial" w:hAnsi="Arial"/>
          <w:color w:val="000000"/>
          <w:sz w:val="24"/>
        </w:rPr>
      </w:pPr>
      <w:bookmarkStart w:id="9" w:name="unaudited_condensed_consolidated_state_1"/>
      <w:bookmarkEnd w:id="9"/>
      <w:r>
        <w:rPr>
          <w:rFonts w:ascii="Arial" w:hAnsi="Arial"/>
          <w:color w:val="000000"/>
          <w:sz w:val="24"/>
        </w:rPr>
        <w:t>Unaudited condensed consolidated statement of financial position</w:t>
      </w:r>
    </w:p>
    <w:p>
      <w:pPr>
        <w:pStyle w:val="TextBody"/>
        <w:bidi w:val="0"/>
        <w:jc w:val="left"/>
        <w:rPr/>
      </w:pPr>
      <w:r>
        <w:rPr/>
        <w:t> </w:t>
      </w:r>
    </w:p>
    <w:tbl>
      <w:tblPr>
        <w:tblW w:w="6162" w:type="dxa"/>
        <w:jc w:val="left"/>
        <w:tblInd w:w="0" w:type="dxa"/>
        <w:tblLayout w:type="fixed"/>
        <w:tblCellMar>
          <w:top w:w="28" w:type="dxa"/>
          <w:left w:w="28" w:type="dxa"/>
          <w:bottom w:w="28" w:type="dxa"/>
          <w:right w:w="28" w:type="dxa"/>
        </w:tblCellMar>
      </w:tblPr>
      <w:tblGrid>
        <w:gridCol w:w="2251"/>
        <w:gridCol w:w="146"/>
        <w:gridCol w:w="177"/>
        <w:gridCol w:w="349"/>
        <w:gridCol w:w="146"/>
        <w:gridCol w:w="146"/>
        <w:gridCol w:w="146"/>
        <w:gridCol w:w="1066"/>
        <w:gridCol w:w="166"/>
        <w:gridCol w:w="146"/>
        <w:gridCol w:w="146"/>
        <w:gridCol w:w="1066"/>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887,352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556,739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3,325,773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318,282,453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291,678,888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4,199,257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3,994,384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328,667,391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301,454,999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8,424,541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7,825,271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905,059,039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792,549,401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55,435,044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50,766,138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(668,576,894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(579,596,307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300,810,504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271,274,334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 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5,114,186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24,389,457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23,348,472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941,209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27,856,887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30,180,665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328,667,391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301,454,999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6"/>
        </w:rPr>
      </w:pPr>
      <w:r>
        <w:rPr>
          <w:rFonts w:ascii="Arial" w:hAnsi="Arial"/>
          <w:color w:val="000000"/>
          <w:sz w:val="16"/>
        </w:rPr>
        <w:t>The accompanying notes are an integral part of these unaudited condensed consolidated interim financial statements.</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sz w:val="20"/>
        </w:rPr>
      </w:pPr>
      <w:bookmarkStart w:id="10" w:name="unaudited_condensed_consolidated_sta_2"/>
      <w:bookmarkEnd w:id="10"/>
      <w:r>
        <w:rPr>
          <w:rFonts w:ascii="Arial" w:hAnsi="Arial"/>
          <w:color w:val="000000"/>
          <w:sz w:val="24"/>
        </w:rPr>
        <w:t>Unaudited condensed consolidated</w:t>
      </w:r>
      <w:r>
        <w:rPr>
          <w:rFonts w:ascii="Times New Roman" w:hAnsi="Times New Roman"/>
          <w:color w:val="000000"/>
          <w:sz w:val="20"/>
        </w:rPr>
        <w:t xml:space="preserve"> </w:t>
      </w:r>
      <w:r>
        <w:rPr>
          <w:rFonts w:ascii="Arial" w:hAnsi="Arial"/>
          <w:color w:val="000000"/>
          <w:sz w:val="24"/>
        </w:rPr>
        <w:t>statement of changes in equity</w:t>
      </w:r>
    </w:p>
    <w:p>
      <w:pPr>
        <w:pStyle w:val="TextBody"/>
        <w:bidi w:val="0"/>
        <w:spacing w:before="60" w:after="283"/>
        <w:jc w:val="left"/>
        <w:rPr>
          <w:rFonts w:ascii="Arial" w:hAnsi="Arial"/>
          <w:color w:val="000000"/>
          <w:sz w:val="18"/>
        </w:rPr>
      </w:pPr>
      <w:r>
        <w:rPr>
          <w:rFonts w:ascii="Arial" w:hAnsi="Arial"/>
          <w:color w:val="000000"/>
          <w:sz w:val="18"/>
        </w:rPr>
        <w:t>For the three months ended June 30, 2026 and June 30, 2025</w:t>
      </w:r>
    </w:p>
    <w:p>
      <w:pPr>
        <w:pStyle w:val="TextBody"/>
        <w:bidi w:val="0"/>
        <w:spacing w:before="60" w:after="283"/>
        <w:jc w:val="left"/>
        <w:rPr/>
      </w:pPr>
      <w:r>
        <w:rPr/>
        <w:t> </w:t>
      </w:r>
    </w:p>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94"/>
        <w:gridCol w:w="146"/>
        <w:gridCol w:w="177"/>
        <w:gridCol w:w="349"/>
        <w:gridCol w:w="146"/>
        <w:gridCol w:w="146"/>
        <w:gridCol w:w="146"/>
        <w:gridCol w:w="826"/>
        <w:gridCol w:w="146"/>
        <w:gridCol w:w="146"/>
        <w:gridCol w:w="146"/>
        <w:gridCol w:w="1006"/>
        <w:gridCol w:w="166"/>
        <w:gridCol w:w="146"/>
        <w:gridCol w:w="146"/>
        <w:gridCol w:w="916"/>
        <w:gridCol w:w="166"/>
        <w:gridCol w:w="146"/>
        <w:gridCol w:w="153"/>
        <w:gridCol w:w="793"/>
        <w:gridCol w:w="166"/>
        <w:gridCol w:w="146"/>
        <w:gridCol w:w="146"/>
        <w:gridCol w:w="1066"/>
        <w:gridCol w:w="166"/>
        <w:gridCol w:w="146"/>
        <w:gridCol w:w="146"/>
        <w:gridCol w:w="1006"/>
        <w:gridCol w:w="211"/>
      </w:tblGrid>
      <w:tr>
        <w:trPr/>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6,525,539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623,641,380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(402,255,007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267,760,741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(5,046,933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(838,453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6,568,445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628,674,864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44,289,200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(494,944,426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184,335,892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7,825,271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792,549,401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50,766,138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(579,596,307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271,274,334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(87,043,402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(87,043,402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 of 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111,874,998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112,409,702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 costs on 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738,943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7,825,219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(6,860,453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11,529,359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11,529,359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8,424,541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905,059,039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55,435,044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(668,576,894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300,810,504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6"/>
        </w:rPr>
        <w:t>The accompanying notes are an integral part of these unaudited condensed consolidated interim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Arial" w:hAnsi="Arial"/>
          <w:color w:val="000000"/>
          <w:sz w:val="24"/>
        </w:rPr>
      </w:pPr>
      <w:bookmarkStart w:id="11" w:name="unaudited_condensed_consolidated_sta_3"/>
      <w:bookmarkEnd w:id="11"/>
      <w:r>
        <w:rPr>
          <w:rFonts w:ascii="Arial" w:hAnsi="Arial"/>
          <w:color w:val="000000"/>
          <w:sz w:val="24"/>
        </w:rPr>
        <w:t>Unaudited condensed consolidated statement of cash flows</w:t>
      </w:r>
    </w:p>
    <w:p>
      <w:pPr>
        <w:pStyle w:val="TextBody"/>
        <w:bidi w:val="0"/>
        <w:spacing w:before="120" w:after="283"/>
        <w:jc w:val="left"/>
        <w:rPr>
          <w:rFonts w:ascii="Arial" w:hAnsi="Arial"/>
          <w:color w:val="000000"/>
          <w:sz w:val="18"/>
        </w:rPr>
      </w:pPr>
      <w:r>
        <w:rPr>
          <w:rFonts w:ascii="Arial" w:hAnsi="Arial"/>
          <w:color w:val="000000"/>
          <w:sz w:val="18"/>
        </w:rPr>
        <w:t>For the six months ended June 30, 2026 and 2025</w:t>
      </w:r>
    </w:p>
    <w:p>
      <w:pPr>
        <w:pStyle w:val="TextBody"/>
        <w:bidi w:val="0"/>
        <w:jc w:val="left"/>
        <w:rPr/>
      </w:pPr>
      <w:r>
        <w:rPr/>
        <w:t> </w:t>
      </w:r>
    </w:p>
    <w:p>
      <w:pPr>
        <w:pStyle w:val="TextBody"/>
        <w:bidi w:val="0"/>
        <w:jc w:val="center"/>
        <w:rPr/>
      </w:pPr>
      <w:r>
        <w:rPr/>
        <w:t> </w:t>
      </w:r>
    </w:p>
    <w:tbl>
      <w:tblPr>
        <w:tblW w:w="9796" w:type="dxa"/>
        <w:jc w:val="left"/>
        <w:tblInd w:w="0" w:type="dxa"/>
        <w:tblLayout w:type="fixed"/>
        <w:tblCellMar>
          <w:top w:w="28" w:type="dxa"/>
          <w:left w:w="28" w:type="dxa"/>
          <w:bottom w:w="28" w:type="dxa"/>
          <w:right w:w="28" w:type="dxa"/>
        </w:tblCellMar>
      </w:tblPr>
      <w:tblGrid>
        <w:gridCol w:w="6151"/>
        <w:gridCol w:w="146"/>
        <w:gridCol w:w="526"/>
        <w:gridCol w:w="146"/>
        <w:gridCol w:w="146"/>
        <w:gridCol w:w="1006"/>
        <w:gridCol w:w="166"/>
        <w:gridCol w:w="146"/>
        <w:gridCol w:w="146"/>
        <w:gridCol w:w="1006"/>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(86,168,095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Non-cash adjustments to reconcile loss before tax to net cash flows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11,529,359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foreign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12,001,515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costs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(increase) in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(383,606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 increase in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(paid)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(Paid) received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(86,566,932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(68,451,963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113,126,633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 costs on issue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principal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105,812,502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(68,694,677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291,678,888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280,728,037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7,436,999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(12,461,675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318,282,453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199,571,685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6"/>
        </w:rPr>
      </w:pPr>
      <w:r>
        <w:rPr>
          <w:rFonts w:ascii="Arial" w:hAnsi="Arial"/>
          <w:color w:val="000000"/>
          <w:sz w:val="16"/>
        </w:rPr>
        <w:t>The accompanying notes are an integral part of these unaudited condensed consolidated interim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Arial" w:hAnsi="Arial"/>
          <w:color w:val="000000"/>
          <w:sz w:val="24"/>
        </w:rPr>
      </w:pPr>
      <w:bookmarkStart w:id="12" w:name="notes_to_unaudited_condensed_consolidate"/>
      <w:bookmarkEnd w:id="12"/>
      <w:r>
        <w:rPr>
          <w:rFonts w:ascii="Arial" w:hAnsi="Arial"/>
          <w:color w:val="000000"/>
          <w:sz w:val="24"/>
        </w:rPr>
        <w:t>Notes to the unaudited condensed consolidated interim financial statements</w:t>
      </w:r>
    </w:p>
    <w:p>
      <w:pPr>
        <w:pStyle w:val="TextBody"/>
        <w:bidi w:val="0"/>
        <w:spacing w:before="200" w:after="283"/>
        <w:jc w:val="left"/>
        <w:rPr>
          <w:rFonts w:ascii="Times New Roman" w:hAnsi="Times New Roman"/>
          <w:sz w:val="20"/>
        </w:rPr>
      </w:pPr>
      <w:r>
        <w:rPr>
          <w:rFonts w:ascii="Times New Roman" w:hAnsi="Times New Roman"/>
          <w:b/>
          <w:color w:val="000000"/>
          <w:sz w:val="28"/>
        </w:rPr>
        <w:t>1</w:t>
      </w:r>
      <w:r>
        <w:rPr>
          <w:rFonts w:ascii="Times New Roman" w:hAnsi="Times New Roman"/>
          <w:b/>
          <w:color w:val="000000"/>
          <w:sz w:val="24"/>
        </w:rPr>
        <w:t>. Corporate and Group information</w:t>
      </w:r>
    </w:p>
    <w:p>
      <w:pPr>
        <w:pStyle w:val="TextBody"/>
        <w:bidi w:val="0"/>
        <w:spacing w:before="120" w:after="283"/>
        <w:jc w:val="left"/>
        <w:rPr>
          <w:rFonts w:ascii="Arial" w:hAnsi="Arial"/>
          <w:color w:val="000000"/>
          <w:sz w:val="18"/>
        </w:rPr>
      </w:pPr>
      <w:r>
        <w:rPr>
          <w:rFonts w:ascii="Arial" w:hAnsi="Arial"/>
          <w:color w:val="000000"/>
          <w:sz w:val="18"/>
        </w:rPr>
        <w:t>This section provides general corporate and group information about Pharvaris N.V. and its subsidiaries.</w:t>
      </w:r>
    </w:p>
    <w:p>
      <w:pPr>
        <w:pStyle w:val="TextBody"/>
        <w:bidi w:val="0"/>
        <w:spacing w:before="200" w:after="283"/>
        <w:jc w:val="left"/>
        <w:rPr>
          <w:rFonts w:ascii="Arial" w:hAnsi="Arial"/>
          <w:b/>
          <w:color w:val="000000"/>
          <w:sz w:val="20"/>
        </w:rPr>
      </w:pPr>
      <w:r>
        <w:rPr>
          <w:rFonts w:ascii="Arial" w:hAnsi="Arial"/>
          <w:b/>
          <w:color w:val="000000"/>
          <w:sz w:val="20"/>
        </w:rPr>
        <w:t>1.1 Corporate information</w:t>
      </w:r>
    </w:p>
    <w:p>
      <w:pPr>
        <w:pStyle w:val="TextBody"/>
        <w:bidi w:val="0"/>
        <w:spacing w:before="120" w:after="283"/>
        <w:jc w:val="left"/>
        <w:rPr>
          <w:rFonts w:ascii="Times New Roman" w:hAnsi="Times New Roman"/>
          <w:sz w:val="20"/>
        </w:rPr>
      </w:pPr>
      <w:r>
        <w:rPr>
          <w:rFonts w:ascii="Arial" w:hAnsi="Arial"/>
          <w:color w:val="000000"/>
          <w:sz w:val="18"/>
        </w:rPr>
        <w:t>Pharvaris N.V. was incorporated on</w:t>
      </w:r>
      <w:r>
        <w:rPr>
          <w:rFonts w:ascii="Times New Roman" w:hAnsi="Times New Roman"/>
          <w:color w:val="000000"/>
          <w:sz w:val="20"/>
        </w:rPr>
        <w:t xml:space="preserve"> </w:t>
      </w:r>
      <w:r>
        <w:rPr>
          <w:rFonts w:ascii="Arial" w:hAnsi="Arial"/>
          <w:color w:val="000000"/>
          <w:sz w:val="18"/>
        </w:rPr>
        <w:t>September 30, 2015</w:t>
      </w:r>
      <w:r>
        <w:rPr>
          <w:rFonts w:ascii="Times New Roman" w:hAnsi="Times New Roman"/>
          <w:color w:val="000000"/>
          <w:sz w:val="20"/>
        </w:rPr>
        <w:t xml:space="preserve"> </w:t>
      </w:r>
      <w:r>
        <w:rPr>
          <w:rFonts w:ascii="Arial" w:hAnsi="Arial"/>
          <w:color w:val="000000"/>
          <w:sz w:val="18"/>
        </w:rPr>
        <w:t>and is based in Leiden, the Netherlands.</w:t>
      </w:r>
    </w:p>
    <w:p>
      <w:pPr>
        <w:pStyle w:val="TextBody"/>
        <w:bidi w:val="0"/>
        <w:spacing w:before="120" w:after="283"/>
        <w:jc w:val="left"/>
        <w:rPr>
          <w:rFonts w:ascii="Arial" w:hAnsi="Arial"/>
          <w:color w:val="000000"/>
          <w:sz w:val="18"/>
        </w:rPr>
      </w:pPr>
      <w:r>
        <w:rPr>
          <w:rFonts w:ascii="Arial" w:hAnsi="Arial"/>
          <w:color w:val="000000"/>
          <w:sz w:val="18"/>
        </w:rPr>
        <w:t>The Company’s registered office is located at Emmy Noetherweg 2, Leiden. The Company is registered at the Chamber of Commerce under file number 64239411.</w:t>
      </w:r>
    </w:p>
    <w:p>
      <w:pPr>
        <w:pStyle w:val="TextBody"/>
        <w:bidi w:val="0"/>
        <w:spacing w:before="120" w:after="283"/>
        <w:jc w:val="left"/>
        <w:rPr>
          <w:rFonts w:ascii="Arial" w:hAnsi="Arial"/>
          <w:color w:val="000000"/>
          <w:sz w:val="18"/>
        </w:rPr>
      </w:pPr>
      <w:r>
        <w:rPr>
          <w:rFonts w:ascii="Arial" w:hAnsi="Arial"/>
          <w:color w:val="000000"/>
          <w:sz w:val="18"/>
        </w:rPr>
        <w:t>Pharvaris is a late-stage biopharmaceutical company focused on the development and commercialization of innovative therapies for rare diseases with significant unmet need, initially focused on angioedema and other bradykinin-mediated diseases.</w:t>
      </w:r>
    </w:p>
    <w:p>
      <w:pPr>
        <w:pStyle w:val="TextBody"/>
        <w:bidi w:val="0"/>
        <w:spacing w:before="120" w:after="283"/>
        <w:jc w:val="left"/>
        <w:rPr>
          <w:rFonts w:ascii="Times New Roman" w:hAnsi="Times New Roman"/>
          <w:sz w:val="20"/>
        </w:rPr>
      </w:pPr>
      <w:r>
        <w:rPr>
          <w:rFonts w:ascii="Arial" w:hAnsi="Arial"/>
          <w:color w:val="000000"/>
          <w:sz w:val="18"/>
        </w:rPr>
        <w:t>The unaudited condensed consolidated interim financial statements of Pharvaris N.V. (the “Company” or “Pharvaris”) and its subsidiaries (collectively, “The Group”) as of June 30, 2026, and December 31, 2025, and for the three and six months ended June 30, 2026 and 2025 were authorized for issue in accordance with a resolution of the directors on August 12, 2026.</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r>
        <w:rPr>
          <w:rFonts w:ascii="Arial" w:hAnsi="Arial"/>
          <w:b/>
          <w:color w:val="000000"/>
          <w:sz w:val="20"/>
        </w:rPr>
        <w:t>1.2 Group information</w:t>
      </w:r>
    </w:p>
    <w:p>
      <w:pPr>
        <w:pStyle w:val="TextBody"/>
        <w:bidi w:val="0"/>
        <w:jc w:val="left"/>
        <w:rPr>
          <w:rFonts w:ascii="Times New Roman" w:hAnsi="Times New Roman"/>
          <w:sz w:val="20"/>
        </w:rPr>
      </w:pPr>
      <w:r>
        <w:rPr>
          <w:rFonts w:ascii="Times New Roman" w:hAnsi="Times New Roman"/>
          <w:i/>
          <w:color w:val="000000"/>
          <w:sz w:val="20"/>
        </w:rPr>
        <w:t>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unaudited condensed consolidated interim financial statements of the Group include:</w:t>
      </w:r>
      <w:r>
        <w:rPr>
          <w:rFonts w:ascii="Times New Roman" w:hAnsi="Times New Roman"/>
          <w:color w:val="000000"/>
          <w:sz w:val="20"/>
        </w:rPr>
        <w:t xml:space="preserve"> </w:t>
      </w:r>
    </w:p>
    <w:p>
      <w:pPr>
        <w:pStyle w:val="TextBody"/>
        <w:bidi w:val="0"/>
        <w:jc w:val="both"/>
        <w:rPr/>
      </w:pPr>
      <w:r>
        <w:rPr/>
        <w:t> </w:t>
      </w:r>
    </w:p>
    <w:tbl>
      <w:tblPr>
        <w:tblW w:w="7295" w:type="dxa"/>
        <w:jc w:val="left"/>
        <w:tblInd w:w="0" w:type="dxa"/>
        <w:tblLayout w:type="fixed"/>
        <w:tblCellMar>
          <w:top w:w="28" w:type="dxa"/>
          <w:left w:w="28" w:type="dxa"/>
          <w:bottom w:w="28" w:type="dxa"/>
          <w:right w:w="28" w:type="dxa"/>
        </w:tblCellMar>
      </w:tblPr>
      <w:tblGrid>
        <w:gridCol w:w="2431"/>
        <w:gridCol w:w="146"/>
        <w:gridCol w:w="811"/>
        <w:gridCol w:w="146"/>
        <w:gridCol w:w="1891"/>
        <w:gridCol w:w="146"/>
        <w:gridCol w:w="730"/>
        <w:gridCol w:w="202"/>
        <w:gridCol w:w="792"/>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Country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 equity interest as</w:t>
              <w:br/>
              <w:t>June 30,</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seat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Holdings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Leiden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Netherlands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Leiden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Zug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jc w:val="left"/>
        <w:rPr>
          <w:rFonts w:ascii="Times New Roman" w:hAnsi="Times New Roman"/>
          <w:sz w:val="20"/>
        </w:rPr>
      </w:pPr>
      <w:r>
        <w:rPr>
          <w:rFonts w:ascii="Times New Roman" w:hAnsi="Times New Roman"/>
          <w:i/>
          <w:color w:val="000000"/>
          <w:sz w:val="14"/>
        </w:rPr>
        <w:t>*</w:t>
      </w:r>
      <w:r>
        <w:rPr>
          <w:rFonts w:ascii="Times New Roman" w:hAnsi="Times New Roman"/>
          <w:color w:val="000000"/>
          <w:sz w:val="14"/>
        </w:rPr>
        <w:t>Pharvaris Pharmaceuticals, Inc was incorporated in June 2025</w:t>
      </w:r>
    </w:p>
    <w:p>
      <w:pPr>
        <w:pStyle w:val="TextBody"/>
        <w:bidi w:val="0"/>
        <w:spacing w:before="120" w:after="283"/>
        <w:jc w:val="left"/>
        <w:rPr>
          <w:rFonts w:ascii="Arial" w:hAnsi="Arial"/>
          <w:color w:val="000000"/>
          <w:sz w:val="18"/>
        </w:rPr>
      </w:pPr>
      <w:r>
        <w:rPr>
          <w:rFonts w:ascii="Arial" w:hAnsi="Arial"/>
          <w:color w:val="000000"/>
          <w:sz w:val="18"/>
        </w:rPr>
        <w:t>The ultimate parent company of the Group is Pharvaris N.V., which is based in the Netherlands.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2. Summary of significant accounting policies</w:t>
      </w:r>
    </w:p>
    <w:p>
      <w:pPr>
        <w:pStyle w:val="TextBody"/>
        <w:bidi w:val="0"/>
        <w:spacing w:before="120" w:after="283"/>
        <w:jc w:val="left"/>
        <w:rPr>
          <w:rFonts w:ascii="Arial" w:hAnsi="Arial"/>
          <w:b/>
          <w:color w:val="000000"/>
          <w:sz w:val="20"/>
        </w:rPr>
      </w:pPr>
      <w:r>
        <w:rPr>
          <w:rFonts w:ascii="Arial" w:hAnsi="Arial"/>
          <w:b/>
          <w:color w:val="000000"/>
          <w:sz w:val="20"/>
        </w:rPr>
        <w:t>2.1 Basis of preparation</w:t>
      </w:r>
    </w:p>
    <w:p>
      <w:pPr>
        <w:pStyle w:val="TextBody"/>
        <w:bidi w:val="0"/>
        <w:spacing w:before="120" w:after="283"/>
        <w:jc w:val="left"/>
        <w:rPr>
          <w:rFonts w:ascii="Times New Roman" w:hAnsi="Times New Roman"/>
          <w:sz w:val="20"/>
        </w:rPr>
      </w:pPr>
      <w:r>
        <w:rPr>
          <w:rFonts w:ascii="Arial" w:hAnsi="Arial"/>
          <w:color w:val="000000"/>
          <w:sz w:val="18"/>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2025 (“last annual financial statements”). These unaudited condensed consolidated interim financial statements do not include all the information required for a complete set of financial statements prepared in accordance with IFRS as issued by the IASB.</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However, selected explanatory notes are included to explain events and transactions that are significant to an understanding of the changes in the Group’s financial position and performance since the last annual financial statements.</w:t>
      </w:r>
    </w:p>
    <w:p>
      <w:pPr>
        <w:pStyle w:val="TextBody"/>
        <w:bidi w:val="0"/>
        <w:spacing w:before="120" w:after="283"/>
        <w:jc w:val="left"/>
        <w:rPr>
          <w:rFonts w:ascii="Arial" w:hAnsi="Arial"/>
          <w:color w:val="000000"/>
          <w:sz w:val="18"/>
        </w:rPr>
      </w:pPr>
      <w:r>
        <w:rPr>
          <w:rFonts w:ascii="Arial" w:hAnsi="Arial"/>
          <w:color w:val="000000"/>
          <w:sz w:val="18"/>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pStyle w:val="TextBody"/>
        <w:bidi w:val="0"/>
        <w:spacing w:before="120" w:after="283"/>
        <w:jc w:val="left"/>
        <w:rPr>
          <w:rFonts w:ascii="Arial" w:hAnsi="Arial"/>
          <w:b/>
          <w:color w:val="000000"/>
          <w:sz w:val="20"/>
        </w:rPr>
      </w:pPr>
      <w:r>
        <w:rPr>
          <w:rFonts w:ascii="Arial" w:hAnsi="Arial"/>
          <w:b/>
          <w:color w:val="000000"/>
          <w:sz w:val="20"/>
        </w:rPr>
        <w:t>2.2 Going concern</w:t>
      </w:r>
    </w:p>
    <w:p>
      <w:pPr>
        <w:pStyle w:val="TextBody"/>
        <w:bidi w:val="0"/>
        <w:jc w:val="left"/>
        <w:rPr>
          <w:rFonts w:ascii="Arial" w:hAnsi="Arial"/>
          <w:color w:val="000000"/>
          <w:sz w:val="18"/>
        </w:rPr>
      </w:pPr>
      <w:r>
        <w:rPr>
          <w:rFonts w:ascii="Arial" w:hAnsi="Arial"/>
          <w:color w:val="000000"/>
          <w:sz w:val="18"/>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2.3 Use of judgements and estimates</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pStyle w:val="TextBody"/>
        <w:bidi w:val="0"/>
        <w:spacing w:before="120" w:after="283"/>
        <w:jc w:val="left"/>
        <w:rPr>
          <w:rFonts w:ascii="Arial" w:hAnsi="Arial"/>
          <w:color w:val="000000"/>
          <w:sz w:val="18"/>
        </w:rPr>
      </w:pPr>
      <w:r>
        <w:rPr>
          <w:rFonts w:ascii="Arial" w:hAnsi="Arial"/>
          <w:color w:val="000000"/>
          <w:sz w:val="18"/>
        </w:rPr>
        <w:t>The significant judgements made by management in applying the Group’s accounting policies and the key sources of estimation uncertainty were the same as those described in the last annual financial statements.</w:t>
      </w:r>
    </w:p>
    <w:p>
      <w:pPr>
        <w:pStyle w:val="TextBody"/>
        <w:bidi w:val="0"/>
        <w:spacing w:before="120" w:after="283"/>
        <w:jc w:val="left"/>
        <w:rPr>
          <w:rFonts w:ascii="Arial" w:hAnsi="Arial"/>
          <w:b/>
          <w:color w:val="000000"/>
          <w:sz w:val="20"/>
        </w:rPr>
      </w:pPr>
      <w:r>
        <w:rPr>
          <w:rFonts w:ascii="Arial" w:hAnsi="Arial"/>
          <w:b/>
          <w:color w:val="000000"/>
          <w:sz w:val="20"/>
        </w:rPr>
        <w:t>2.4 Change in material accounting policies</w:t>
      </w:r>
    </w:p>
    <w:p>
      <w:pPr>
        <w:pStyle w:val="TextBody"/>
        <w:bidi w:val="0"/>
        <w:spacing w:before="120" w:after="283"/>
        <w:jc w:val="left"/>
        <w:rPr>
          <w:rFonts w:ascii="Arial" w:hAnsi="Arial"/>
          <w:color w:val="000000"/>
          <w:sz w:val="18"/>
        </w:rPr>
      </w:pPr>
      <w:r>
        <w:rPr>
          <w:rFonts w:ascii="Arial" w:hAnsi="Arial"/>
          <w:color w:val="000000"/>
          <w:sz w:val="18"/>
        </w:rPr>
        <w:t>The accounting policies applied in these unaudited condensed consolidated interim financial statements are the same as those applied in the consolidated financial statements for the year ended December 31, 2025.</w:t>
      </w:r>
    </w:p>
    <w:p>
      <w:pPr>
        <w:pStyle w:val="TextBody"/>
        <w:bidi w:val="0"/>
        <w:spacing w:before="200" w:after="283"/>
        <w:jc w:val="left"/>
        <w:rPr>
          <w:rFonts w:ascii="Arial" w:hAnsi="Arial"/>
          <w:b/>
          <w:i/>
          <w:color w:val="000000"/>
          <w:sz w:val="18"/>
        </w:rPr>
      </w:pPr>
      <w:r>
        <w:rPr>
          <w:rFonts w:ascii="Arial" w:hAnsi="Arial"/>
          <w:b/>
          <w:i/>
          <w:color w:val="000000"/>
          <w:sz w:val="18"/>
        </w:rPr>
        <w:t>Amendment to IFRS 9 and IFRS 7 - Classification and Measurement of Financial Instruments</w:t>
      </w:r>
    </w:p>
    <w:p>
      <w:pPr>
        <w:pStyle w:val="TextBody"/>
        <w:bidi w:val="0"/>
        <w:spacing w:before="200" w:after="283"/>
        <w:jc w:val="left"/>
        <w:rPr>
          <w:rFonts w:ascii="Times New Roman" w:hAnsi="Times New Roman"/>
          <w:sz w:val="20"/>
        </w:rPr>
      </w:pPr>
      <w:r>
        <w:rPr>
          <w:rFonts w:ascii="Arial" w:hAnsi="Arial"/>
          <w:color w:val="000000"/>
          <w:sz w:val="18"/>
        </w:rPr>
        <w:t>These amendments clarify the requirements for the timing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make updates to the disclosures for equity instruments designated at Fair Value through Other Comprehensive Income (FVOCI)</w:t>
      </w:r>
      <w:r>
        <w:rPr>
          <w:rFonts w:ascii="Times New Roman" w:hAnsi="Times New Roman"/>
          <w:color w:val="000000"/>
          <w:sz w:val="20"/>
        </w:rPr>
        <w:t>.</w:t>
      </w:r>
    </w:p>
    <w:p>
      <w:pPr>
        <w:pStyle w:val="TextBody"/>
        <w:bidi w:val="0"/>
        <w:spacing w:before="200" w:after="283"/>
        <w:jc w:val="left"/>
        <w:rPr>
          <w:rFonts w:ascii="Arial" w:hAnsi="Arial"/>
          <w:color w:val="000000"/>
          <w:sz w:val="18"/>
        </w:rPr>
      </w:pPr>
      <w:r>
        <w:rPr>
          <w:rFonts w:ascii="Arial" w:hAnsi="Arial"/>
          <w:color w:val="000000"/>
          <w:sz w:val="18"/>
        </w:rPr>
        <w:t>The amendment is effective for reporting periods beginning on or after January 1, 2026. The amendments did not have a material impact on the Group.</w:t>
      </w:r>
    </w:p>
    <w:p>
      <w:pPr>
        <w:pStyle w:val="TextBody"/>
        <w:bidi w:val="0"/>
        <w:spacing w:before="120" w:after="283"/>
        <w:jc w:val="left"/>
        <w:rPr>
          <w:rFonts w:ascii="Arial" w:hAnsi="Arial"/>
          <w:b/>
          <w:color w:val="000000"/>
          <w:sz w:val="18"/>
        </w:rPr>
      </w:pPr>
      <w:r>
        <w:rPr>
          <w:rFonts w:ascii="Arial" w:hAnsi="Arial"/>
          <w:b/>
          <w:color w:val="000000"/>
          <w:sz w:val="18"/>
        </w:rPr>
        <w:t>New standards and interpretations issued not yet effective</w:t>
      </w:r>
    </w:p>
    <w:p>
      <w:pPr>
        <w:pStyle w:val="TextBody"/>
        <w:bidi w:val="0"/>
        <w:spacing w:before="200" w:after="283"/>
        <w:jc w:val="left"/>
        <w:rPr>
          <w:rFonts w:ascii="Arial" w:hAnsi="Arial"/>
          <w:b/>
          <w:i/>
          <w:color w:val="000000"/>
          <w:sz w:val="18"/>
        </w:rPr>
      </w:pPr>
      <w:r>
        <w:rPr>
          <w:rFonts w:ascii="Arial" w:hAnsi="Arial"/>
          <w:b/>
          <w:i/>
          <w:color w:val="000000"/>
          <w:sz w:val="18"/>
        </w:rPr>
        <w:t>IFRS 18, Presentation and Disclosure in Financial Statements</w:t>
      </w:r>
    </w:p>
    <w:p>
      <w:pPr>
        <w:pStyle w:val="TextBody"/>
        <w:bidi w:val="0"/>
        <w:spacing w:before="200" w:after="160"/>
        <w:jc w:val="left"/>
        <w:rPr>
          <w:rFonts w:ascii="Arial" w:hAnsi="Arial"/>
          <w:color w:val="000000"/>
          <w:sz w:val="18"/>
        </w:rPr>
      </w:pPr>
      <w:r>
        <w:rPr>
          <w:rFonts w:ascii="Arial" w:hAnsi="Arial"/>
          <w:color w:val="000000"/>
          <w:sz w:val="18"/>
        </w:rPr>
        <w:t>This is the new standard on presentation and disclosure in financial statements,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w:t>
      </w:r>
    </w:p>
    <w:p>
      <w:pPr>
        <w:pStyle w:val="TextBody"/>
        <w:bidi w:val="0"/>
        <w:jc w:val="left"/>
        <w:rPr>
          <w:rFonts w:ascii="Arial" w:hAnsi="Arial"/>
          <w:color w:val="000000"/>
          <w:sz w:val="18"/>
        </w:rPr>
      </w:pPr>
      <w:r>
        <w:rPr>
          <w:rFonts w:ascii="Arial" w:hAnsi="Arial"/>
          <w:color w:val="000000"/>
          <w:sz w:val="18"/>
        </w:rPr>
        <w:t>The amendment is effective for reporting periods beginning on or after January 1, 2027. The amendments are being assessed by the Group.</w:t>
      </w:r>
    </w:p>
    <w:p>
      <w:pPr>
        <w:pStyle w:val="TextBody"/>
        <w:bidi w:val="0"/>
        <w:spacing w:before="120" w:after="283"/>
        <w:jc w:val="left"/>
        <w:rPr>
          <w:rFonts w:ascii="Arial" w:hAnsi="Arial"/>
          <w:color w:val="000000"/>
          <w:sz w:val="18"/>
        </w:rPr>
      </w:pPr>
      <w:r>
        <w:rPr>
          <w:rFonts w:ascii="Arial" w:hAnsi="Arial"/>
          <w:color w:val="000000"/>
          <w:sz w:val="18"/>
        </w:rPr>
        <w:t>There are no other IFRS or IFRIC interpretations that are not yet effective and that are expected to have a material impact to the interim consolidated financial statements.</w:t>
      </w:r>
    </w:p>
    <w:p>
      <w:pPr>
        <w:pStyle w:val="TextBody"/>
        <w:bidi w:val="0"/>
        <w:spacing w:before="120" w:after="283"/>
        <w:jc w:val="left"/>
        <w:rPr>
          <w:rFonts w:ascii="Arial" w:hAnsi="Arial"/>
          <w:b/>
          <w:color w:val="000000"/>
          <w:sz w:val="20"/>
        </w:rPr>
      </w:pPr>
      <w:r>
        <w:rPr>
          <w:rFonts w:ascii="Arial" w:hAnsi="Arial"/>
          <w:b/>
          <w:color w:val="000000"/>
          <w:sz w:val="20"/>
        </w:rPr>
        <w:t>3. Research and development expenses</w:t>
      </w:r>
    </w:p>
    <w:p>
      <w:pPr>
        <w:pStyle w:val="TextBody"/>
        <w:bidi w:val="0"/>
        <w:jc w:val="left"/>
        <w:rPr/>
      </w:pPr>
      <w:r>
        <w:rPr/>
        <w:t> </w:t>
      </w:r>
    </w:p>
    <w:tbl>
      <w:tblPr>
        <w:tblW w:w="7737" w:type="dxa"/>
        <w:jc w:val="left"/>
        <w:tblInd w:w="0" w:type="dxa"/>
        <w:tblLayout w:type="fixed"/>
        <w:tblCellMar>
          <w:top w:w="28" w:type="dxa"/>
          <w:left w:w="28" w:type="dxa"/>
          <w:bottom w:w="28" w:type="dxa"/>
          <w:right w:w="28" w:type="dxa"/>
        </w:tblCellMar>
      </w:tblPr>
      <w:tblGrid>
        <w:gridCol w:w="1546"/>
        <w:gridCol w:w="146"/>
        <w:gridCol w:w="177"/>
        <w:gridCol w:w="1184"/>
        <w:gridCol w:w="201"/>
        <w:gridCol w:w="177"/>
        <w:gridCol w:w="1184"/>
        <w:gridCol w:w="166"/>
        <w:gridCol w:w="166"/>
        <w:gridCol w:w="1112"/>
        <w:gridCol w:w="189"/>
        <w:gridCol w:w="166"/>
        <w:gridCol w:w="1112"/>
        <w:gridCol w:w="21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(20,769,302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(35,401,888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(32,049,342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(10,761,205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(20,750,961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(1,053,570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(2,221,861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(1,342,173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(5,445,858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(73,918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(340,762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(35,000,168</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(65,161,330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Development expenses are currently not capitalized but are recorded in the condensed consolidated statements of profit or loss and other comprehensive loss because the recognition criteria for capitalization are not met.</w:t>
      </w:r>
    </w:p>
    <w:p>
      <w:pPr>
        <w:pStyle w:val="TextBody"/>
        <w:bidi w:val="0"/>
        <w:jc w:val="left"/>
        <w:rPr>
          <w:rFonts w:ascii="Arial" w:hAnsi="Arial"/>
          <w:color w:val="000000"/>
          <w:sz w:val="18"/>
        </w:rPr>
      </w:pPr>
      <w:r>
        <w:rPr>
          <w:rFonts w:ascii="Arial" w:hAnsi="Arial"/>
          <w:color w:val="000000"/>
          <w:sz w:val="18"/>
        </w:rPr>
        <w:t>Clinical expenses include costs of conducting and managing our sponsored clinical trials, including clinical investigator cost, costs of clinical sites, and costs for CRO’s assisting with our clinical development programs and travel expenses.</w:t>
      </w:r>
    </w:p>
    <w:p>
      <w:pPr>
        <w:pStyle w:val="TextBody"/>
        <w:bidi w:val="0"/>
        <w:jc w:val="left"/>
        <w:rPr>
          <w:rFonts w:ascii="Arial" w:hAnsi="Arial"/>
          <w:color w:val="000000"/>
          <w:sz w:val="18"/>
        </w:rPr>
      </w:pPr>
      <w:r>
        <w:rPr>
          <w:rFonts w:ascii="Arial" w:hAnsi="Arial"/>
          <w:color w:val="000000"/>
          <w:sz w:val="18"/>
        </w:rPr>
        <w:t>Manufacturing expenses include costs related to manufacturing of active pharmaceutical ingredients and manufacturing of the products used in our clinical trials and research and development activities as well as travel expenses.</w:t>
      </w:r>
    </w:p>
    <w:p>
      <w:pPr>
        <w:pStyle w:val="TextBody"/>
        <w:bidi w:val="0"/>
        <w:jc w:val="left"/>
        <w:rPr>
          <w:rFonts w:ascii="Times New Roman" w:hAnsi="Times New Roman"/>
          <w:sz w:val="20"/>
        </w:rPr>
      </w:pPr>
      <w:r>
        <w:rPr>
          <w:rFonts w:ascii="Arial" w:hAnsi="Arial"/>
          <w:color w:val="000000"/>
          <w:sz w:val="18"/>
        </w:rPr>
        <w:t>Nonclinical expenses include costs of our outsourced discovery and nonclinical development studies and associated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travel expenses.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Licensing costs consist of milestone payments reflecting the submission of the New Drug Application with the FDA in the first half of 2026.</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4. General and administrative expenses</w:t>
      </w:r>
    </w:p>
    <w:p>
      <w:pPr>
        <w:pStyle w:val="TextBody"/>
        <w:bidi w:val="0"/>
        <w:jc w:val="left"/>
        <w:rPr/>
      </w:pPr>
      <w:r>
        <w:rPr/>
        <w:t> </w:t>
      </w:r>
    </w:p>
    <w:tbl>
      <w:tblPr>
        <w:tblW w:w="8682" w:type="dxa"/>
        <w:jc w:val="left"/>
        <w:tblInd w:w="0" w:type="dxa"/>
        <w:tblLayout w:type="fixed"/>
        <w:tblCellMar>
          <w:top w:w="28" w:type="dxa"/>
          <w:left w:w="28" w:type="dxa"/>
          <w:bottom w:w="28" w:type="dxa"/>
          <w:right w:w="28" w:type="dxa"/>
        </w:tblCellMar>
      </w:tblPr>
      <w:tblGrid>
        <w:gridCol w:w="2491"/>
        <w:gridCol w:w="146"/>
        <w:gridCol w:w="177"/>
        <w:gridCol w:w="1184"/>
        <w:gridCol w:w="201"/>
        <w:gridCol w:w="177"/>
        <w:gridCol w:w="1184"/>
        <w:gridCol w:w="166"/>
        <w:gridCol w:w="166"/>
        <w:gridCol w:w="1112"/>
        <w:gridCol w:w="189"/>
        <w:gridCol w:w="166"/>
        <w:gridCol w:w="1112"/>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(7,503,343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(13,750,840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(3,281,897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(6,855,363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(4,290,920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Insurance, facilities and 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(1,705,557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(3,025,469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tax and auditing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(1,121,973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(469,521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(726,558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(2,285,863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(4,418,755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(2,164,751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(15,788,119</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(29,898,958</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Since 2022, the Group entered into a number of short-term rental arrangements, the expenses are included in "Other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Depreciation expense for the six months ended June 30, 2026</w:t>
      </w:r>
      <w:r>
        <w:rPr>
          <w:rFonts w:ascii="Times New Roman" w:hAnsi="Times New Roman"/>
          <w:color w:val="000000"/>
          <w:sz w:val="20"/>
        </w:rPr>
        <w:t xml:space="preserve"> </w:t>
      </w:r>
      <w:r>
        <w:rPr>
          <w:rFonts w:ascii="Arial" w:hAnsi="Arial"/>
          <w:color w:val="000000"/>
          <w:sz w:val="18"/>
        </w:rPr>
        <w:t>and 2025 was €0.3</w:t>
      </w:r>
      <w:r>
        <w:rPr>
          <w:rFonts w:ascii="Times New Roman" w:hAnsi="Times New Roman"/>
          <w:color w:val="000000"/>
          <w:sz w:val="20"/>
        </w:rPr>
        <w:t xml:space="preserve"> </w:t>
      </w:r>
      <w:r>
        <w:rPr>
          <w:rFonts w:ascii="Arial" w:hAnsi="Arial"/>
          <w:color w:val="000000"/>
          <w:sz w:val="18"/>
        </w:rPr>
        <w:t xml:space="preserve">million and </w:t>
      </w:r>
      <w:r>
        <w:rPr>
          <w:rFonts w:ascii="Times New Roman" w:hAnsi="Times New Roman"/>
          <w:color w:val="000000"/>
          <w:sz w:val="20"/>
        </w:rPr>
        <w:t>€</w:t>
      </w:r>
      <w:r>
        <w:rPr>
          <w:rFonts w:ascii="Arial" w:hAnsi="Arial"/>
          <w:color w:val="000000"/>
          <w:sz w:val="18"/>
        </w:rPr>
        <w:t>0.2</w:t>
      </w:r>
      <w:r>
        <w:rPr>
          <w:rFonts w:ascii="Times New Roman" w:hAnsi="Times New Roman"/>
          <w:color w:val="000000"/>
          <w:sz w:val="20"/>
        </w:rPr>
        <w:t xml:space="preserve"> </w:t>
      </w:r>
      <w:r>
        <w:rPr>
          <w:rFonts w:ascii="Arial" w:hAnsi="Arial"/>
          <w:color w:val="000000"/>
          <w:sz w:val="18"/>
        </w:rPr>
        <w:t>million, respectively, which related to property, plant and equipment and leases, and is included in the 'Other expenses' line.</w:t>
      </w:r>
    </w:p>
    <w:p>
      <w:pPr>
        <w:pStyle w:val="TextBody"/>
        <w:bidi w:val="0"/>
        <w:spacing w:before="120" w:after="283"/>
        <w:jc w:val="left"/>
        <w:rPr>
          <w:rFonts w:ascii="Arial" w:hAnsi="Arial"/>
          <w:b/>
          <w:color w:val="000000"/>
          <w:sz w:val="20"/>
        </w:rPr>
      </w:pPr>
      <w:r>
        <w:rPr>
          <w:rFonts w:ascii="Arial" w:hAnsi="Arial"/>
          <w:b/>
          <w:color w:val="000000"/>
          <w:sz w:val="20"/>
        </w:rPr>
        <w:t>5. Personnel expenses</w:t>
      </w:r>
    </w:p>
    <w:p>
      <w:pPr>
        <w:pStyle w:val="TextBody"/>
        <w:bidi w:val="0"/>
        <w:jc w:val="left"/>
        <w:rPr/>
      </w:pPr>
      <w:r>
        <w:rPr/>
        <w:t> </w:t>
      </w:r>
    </w:p>
    <w:tbl>
      <w:tblPr>
        <w:tblW w:w="8352" w:type="dxa"/>
        <w:jc w:val="left"/>
        <w:tblInd w:w="0" w:type="dxa"/>
        <w:tblLayout w:type="fixed"/>
        <w:tblCellMar>
          <w:top w:w="28" w:type="dxa"/>
          <w:left w:w="28" w:type="dxa"/>
          <w:bottom w:w="28" w:type="dxa"/>
          <w:right w:w="28" w:type="dxa"/>
        </w:tblCellMar>
      </w:tblPr>
      <w:tblGrid>
        <w:gridCol w:w="2161"/>
        <w:gridCol w:w="146"/>
        <w:gridCol w:w="177"/>
        <w:gridCol w:w="1184"/>
        <w:gridCol w:w="201"/>
        <w:gridCol w:w="177"/>
        <w:gridCol w:w="1184"/>
        <w:gridCol w:w="166"/>
        <w:gridCol w:w="166"/>
        <w:gridCol w:w="1112"/>
        <w:gridCol w:w="189"/>
        <w:gridCol w:w="166"/>
        <w:gridCol w:w="1112"/>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(9,571,045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(8,053,043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(18,804,207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(15,955,350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(6,631,255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(5,497,118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(11,529,359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social security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(1,124,650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(2,293,324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(1,626,736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(1,225,052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employee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(359,001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(649,859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(18,264,548</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(15,127,267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(34,501,801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(28,581,956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The average number of staff (in FTEs) employed by the Group in the three months ended June 30, 2026</w:t>
      </w:r>
      <w:r>
        <w:rPr>
          <w:rFonts w:ascii="Times New Roman" w:hAnsi="Times New Roman"/>
          <w:color w:val="000000"/>
          <w:sz w:val="20"/>
        </w:rPr>
        <w:t xml:space="preserve"> </w:t>
      </w:r>
      <w:r>
        <w:rPr>
          <w:rFonts w:ascii="Arial" w:hAnsi="Arial"/>
          <w:color w:val="000000"/>
          <w:sz w:val="18"/>
        </w:rPr>
        <w:t>was 148</w:t>
      </w:r>
      <w:r>
        <w:rPr>
          <w:rFonts w:ascii="Times New Roman" w:hAnsi="Times New Roman"/>
          <w:color w:val="000000"/>
          <w:sz w:val="20"/>
        </w:rPr>
        <w:t xml:space="preserve"> </w:t>
      </w:r>
      <w:r>
        <w:rPr>
          <w:rFonts w:ascii="Arial" w:hAnsi="Arial"/>
          <w:color w:val="000000"/>
          <w:sz w:val="18"/>
        </w:rPr>
        <w:t>(2025: 114).</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6. Finance income/ (expense)</w:t>
      </w:r>
    </w:p>
    <w:p>
      <w:pPr>
        <w:pStyle w:val="TextBody"/>
        <w:bidi w:val="0"/>
        <w:jc w:val="left"/>
        <w:rPr/>
      </w:pPr>
      <w:r>
        <w:rPr/>
        <w:t> </w:t>
      </w:r>
    </w:p>
    <w:p>
      <w:pPr>
        <w:pStyle w:val="TextBody"/>
        <w:bidi w:val="0"/>
        <w:jc w:val="left"/>
        <w:rPr/>
      </w:pPr>
      <w:r>
        <w:rPr/>
        <w:t> </w:t>
      </w:r>
    </w:p>
    <w:tbl>
      <w:tblPr>
        <w:tblW w:w="9489" w:type="dxa"/>
        <w:jc w:val="left"/>
        <w:tblInd w:w="0" w:type="dxa"/>
        <w:tblLayout w:type="fixed"/>
        <w:tblCellMar>
          <w:top w:w="28" w:type="dxa"/>
          <w:left w:w="28" w:type="dxa"/>
          <w:bottom w:w="28" w:type="dxa"/>
          <w:right w:w="28" w:type="dxa"/>
        </w:tblCellMar>
      </w:tblPr>
      <w:tblGrid>
        <w:gridCol w:w="3301"/>
        <w:gridCol w:w="146"/>
        <w:gridCol w:w="196"/>
        <w:gridCol w:w="1113"/>
        <w:gridCol w:w="223"/>
        <w:gridCol w:w="196"/>
        <w:gridCol w:w="1194"/>
        <w:gridCol w:w="166"/>
        <w:gridCol w:w="177"/>
        <w:gridCol w:w="1003"/>
        <w:gridCol w:w="201"/>
        <w:gridCol w:w="177"/>
        <w:gridCol w:w="1185"/>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1,639,889</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5,397,075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(10,889,757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other income over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1,980,468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3,654,120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(72,599</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(159,002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3,547,758</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8,892,193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(8,756,652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7.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recognized in full in the interim period in which they emerge. In the total interim tax charge, no distinction is made between current and deferred tax expenses/ income.</w:t>
      </w:r>
    </w:p>
    <w:p>
      <w:pPr>
        <w:pStyle w:val="TextBody"/>
        <w:bidi w:val="0"/>
        <w:jc w:val="left"/>
        <w:rPr/>
      </w:pPr>
      <w:r>
        <w:rPr/>
        <w:t> </w:t>
      </w:r>
    </w:p>
    <w:p>
      <w:pPr>
        <w:pStyle w:val="TextBody"/>
        <w:bidi w:val="0"/>
        <w:jc w:val="left"/>
        <w:rPr/>
      </w:pPr>
      <w:r>
        <w:rPr/>
        <w:t> </w:t>
      </w:r>
    </w:p>
    <w:tbl>
      <w:tblPr>
        <w:tblW w:w="8091" w:type="dxa"/>
        <w:jc w:val="left"/>
        <w:tblInd w:w="0" w:type="dxa"/>
        <w:tblLayout w:type="fixed"/>
        <w:tblCellMar>
          <w:top w:w="28" w:type="dxa"/>
          <w:left w:w="28" w:type="dxa"/>
          <w:bottom w:w="28" w:type="dxa"/>
          <w:right w:w="28" w:type="dxa"/>
        </w:tblCellMar>
      </w:tblPr>
      <w:tblGrid>
        <w:gridCol w:w="1756"/>
        <w:gridCol w:w="146"/>
        <w:gridCol w:w="202"/>
        <w:gridCol w:w="1043"/>
        <w:gridCol w:w="230"/>
        <w:gridCol w:w="202"/>
        <w:gridCol w:w="202"/>
        <w:gridCol w:w="1043"/>
        <w:gridCol w:w="166"/>
        <w:gridCol w:w="146"/>
        <w:gridCol w:w="190"/>
        <w:gridCol w:w="979"/>
        <w:gridCol w:w="216"/>
        <w:gridCol w:w="190"/>
        <w:gridCol w:w="190"/>
        <w:gridCol w:w="979"/>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(429,890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(547,021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(328,286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(602,200</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(875,307</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tax expense over the three and six months ended June 30, 2026 and 2025 relates to the Company's U.S. and Dutch subsidiaries as the result of a cost-plus agreement between the Company's principal entity and the U.S. and the Dutch subsidiaries, resulting in an estimated taxable profit in the U.S. and the Netherlands.</w:t>
      </w:r>
    </w:p>
    <w:p>
      <w:pPr>
        <w:pStyle w:val="TextBody"/>
        <w:bidi w:val="0"/>
        <w:spacing w:before="120" w:after="283"/>
        <w:jc w:val="left"/>
        <w:rPr>
          <w:rFonts w:ascii="Arial" w:hAnsi="Arial"/>
          <w:color w:val="000000"/>
          <w:sz w:val="18"/>
        </w:rPr>
      </w:pPr>
      <w:r>
        <w:rPr>
          <w:rFonts w:ascii="Arial" w:hAnsi="Arial"/>
          <w:color w:val="000000"/>
          <w:sz w:val="18"/>
        </w:rPr>
        <w:t>Reconciliation of income tax benefit at statutory tax rate and the income tax expense as reported in the unaudited condensed consolidated statement of profit or loss and other comprehensive income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6"/>
        <w:gridCol w:w="146"/>
        <w:gridCol w:w="166"/>
        <w:gridCol w:w="1112"/>
        <w:gridCol w:w="188"/>
        <w:gridCol w:w="166"/>
        <w:gridCol w:w="1112"/>
        <w:gridCol w:w="166"/>
        <w:gridCol w:w="146"/>
        <w:gridCol w:w="976"/>
        <w:gridCol w:w="166"/>
        <w:gridCol w:w="146"/>
        <w:gridCol w:w="976"/>
        <w:gridCol w:w="213"/>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(47,240,529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(45,277,904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(86,168,095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at statutory income tax rate in the Netherlands (25.8%)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12,188,056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11,681,699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22,231,369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23,559,543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tax rates in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(6,852,905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(6,368,484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(12,578,517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(12,922,011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recognition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(5,667,942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(10,413,454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(10,536,949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Temporary differences for which no deferred tax assets/liabilities have been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503,571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(515,860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Pricing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Prior period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(546,649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(602,200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pStyle w:val="TextBody"/>
        <w:bidi w:val="0"/>
        <w:spacing w:before="120" w:after="283"/>
        <w:jc w:val="left"/>
        <w:rPr>
          <w:rFonts w:ascii="Times New Roman" w:hAnsi="Times New Roman"/>
          <w:sz w:val="20"/>
        </w:rPr>
      </w:pPr>
      <w:r>
        <w:rPr>
          <w:rFonts w:ascii="Arial" w:hAnsi="Arial"/>
          <w:color w:val="000000"/>
          <w:sz w:val="18"/>
        </w:rPr>
        <w:t>The (estimated) average annual tax rate used for the six months ended June 30, 2026</w:t>
      </w:r>
      <w:r>
        <w:rPr>
          <w:rFonts w:ascii="Times New Roman" w:hAnsi="Times New Roman"/>
          <w:color w:val="000000"/>
          <w:sz w:val="20"/>
        </w:rPr>
        <w:t xml:space="preserve"> </w:t>
      </w:r>
      <w:r>
        <w:rPr>
          <w:rFonts w:ascii="Arial" w:hAnsi="Arial"/>
          <w:color w:val="000000"/>
          <w:sz w:val="18"/>
        </w:rPr>
        <w:t>was 1.02%, compared to 0.55%</w:t>
      </w:r>
      <w:r>
        <w:rPr>
          <w:rFonts w:ascii="Times New Roman" w:hAnsi="Times New Roman"/>
          <w:color w:val="000000"/>
          <w:sz w:val="20"/>
        </w:rPr>
        <w:t xml:space="preserve"> </w:t>
      </w:r>
      <w:r>
        <w:rPr>
          <w:rFonts w:ascii="Arial" w:hAnsi="Arial"/>
          <w:color w:val="000000"/>
          <w:sz w:val="18"/>
        </w:rPr>
        <w:t>for the six months ended June 30, 2025.</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pStyle w:val="TextBody"/>
        <w:bidi w:val="0"/>
        <w:spacing w:before="120" w:after="283"/>
        <w:jc w:val="left"/>
        <w:rPr>
          <w:rFonts w:ascii="Times New Roman" w:hAnsi="Times New Roman"/>
          <w:sz w:val="20"/>
        </w:rPr>
      </w:pPr>
      <w:r>
        <w:rPr>
          <w:rFonts w:ascii="Arial" w:hAnsi="Arial"/>
          <w:color w:val="000000"/>
          <w:sz w:val="18"/>
        </w:rPr>
        <w:t>Pharvaris N.V. is the head of the fiscal unity including Pharvaris Netherlands B.V. and Pharvaris Holdings B.V.</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Deferred tax</w:t>
      </w:r>
    </w:p>
    <w:p>
      <w:pPr>
        <w:pStyle w:val="TextBody"/>
        <w:bidi w:val="0"/>
        <w:spacing w:before="120" w:after="283"/>
        <w:jc w:val="left"/>
        <w:rPr>
          <w:rFonts w:ascii="Arial" w:hAnsi="Arial"/>
          <w:color w:val="000000"/>
          <w:sz w:val="18"/>
        </w:rPr>
      </w:pPr>
      <w:r>
        <w:rPr>
          <w:rFonts w:ascii="Arial" w:hAnsi="Arial"/>
          <w:color w:val="000000"/>
          <w:sz w:val="18"/>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pStyle w:val="TextBody"/>
        <w:bidi w:val="0"/>
        <w:spacing w:before="120" w:after="283"/>
        <w:jc w:val="left"/>
        <w:rPr>
          <w:rFonts w:ascii="Times New Roman" w:hAnsi="Times New Roman"/>
          <w:sz w:val="20"/>
        </w:rPr>
      </w:pPr>
      <w:r>
        <w:rPr>
          <w:rFonts w:ascii="Arial" w:hAnsi="Arial"/>
          <w:color w:val="000000"/>
          <w:sz w:val="18"/>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Property, plant and equipment</w:t>
      </w:r>
    </w:p>
    <w:p>
      <w:pPr>
        <w:pStyle w:val="TextBody"/>
        <w:bidi w:val="0"/>
        <w:jc w:val="left"/>
        <w:rPr/>
      </w:pPr>
      <w:r>
        <w:rPr/>
        <w:t> </w:t>
      </w:r>
    </w:p>
    <w:tbl>
      <w:tblPr>
        <w:tblW w:w="5995" w:type="dxa"/>
        <w:jc w:val="left"/>
        <w:tblInd w:w="0" w:type="dxa"/>
        <w:tblLayout w:type="fixed"/>
        <w:tblCellMar>
          <w:top w:w="28" w:type="dxa"/>
          <w:left w:w="28" w:type="dxa"/>
          <w:bottom w:w="28" w:type="dxa"/>
          <w:right w:w="28" w:type="dxa"/>
        </w:tblCellMar>
      </w:tblPr>
      <w:tblGrid>
        <w:gridCol w:w="2626"/>
        <w:gridCol w:w="146"/>
        <w:gridCol w:w="173"/>
        <w:gridCol w:w="982"/>
        <w:gridCol w:w="166"/>
        <w:gridCol w:w="146"/>
        <w:gridCol w:w="232"/>
        <w:gridCol w:w="1313"/>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Cumulative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Cumulative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1,051,756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2026, the Group acquired assets with a cost of €0.1</w:t>
      </w:r>
      <w:r>
        <w:rPr>
          <w:rFonts w:ascii="Times New Roman" w:hAnsi="Times New Roman"/>
          <w:color w:val="000000"/>
          <w:sz w:val="20"/>
        </w:rPr>
        <w:t xml:space="preserve"> </w:t>
      </w:r>
      <w:r>
        <w:rPr>
          <w:rFonts w:ascii="Arial" w:hAnsi="Arial"/>
          <w:color w:val="000000"/>
          <w:sz w:val="18"/>
        </w:rPr>
        <w:t>million (December 31, 2025: €0.2</w:t>
      </w:r>
      <w:r>
        <w:rPr>
          <w:rFonts w:ascii="Times New Roman" w:hAnsi="Times New Roman"/>
          <w:color w:val="000000"/>
          <w:sz w:val="20"/>
        </w:rPr>
        <w:t xml:space="preserve"> </w:t>
      </w:r>
      <w:r>
        <w:rPr>
          <w:rFonts w:ascii="Arial" w:hAnsi="Arial"/>
          <w:color w:val="000000"/>
          <w:sz w:val="18"/>
        </w:rPr>
        <w:t>million). The acquisitions were mainly related to equipment, tools and installations.</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the Group’s right-of-use assets:</w:t>
      </w:r>
    </w:p>
    <w:p>
      <w:pPr>
        <w:pStyle w:val="TextBody"/>
        <w:bidi w:val="0"/>
        <w:spacing w:before="120" w:after="283"/>
        <w:jc w:val="left"/>
        <w:rPr/>
      </w:pPr>
      <w:r>
        <w:rPr/>
        <w:t> </w:t>
      </w:r>
    </w:p>
    <w:tbl>
      <w:tblPr>
        <w:tblW w:w="6127" w:type="dxa"/>
        <w:jc w:val="left"/>
        <w:tblInd w:w="0" w:type="dxa"/>
        <w:tblLayout w:type="fixed"/>
        <w:tblCellMar>
          <w:top w:w="28" w:type="dxa"/>
          <w:left w:w="28" w:type="dxa"/>
          <w:bottom w:w="28" w:type="dxa"/>
          <w:right w:w="28" w:type="dxa"/>
        </w:tblCellMar>
      </w:tblPr>
      <w:tblGrid>
        <w:gridCol w:w="3016"/>
        <w:gridCol w:w="146"/>
        <w:gridCol w:w="146"/>
        <w:gridCol w:w="751"/>
        <w:gridCol w:w="166"/>
        <w:gridCol w:w="146"/>
        <w:gridCol w:w="251"/>
        <w:gridCol w:w="1294"/>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813,842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of transaction of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about the Group’s lease liabilities at June 30, 2026:</w:t>
      </w:r>
    </w:p>
    <w:p>
      <w:pPr>
        <w:pStyle w:val="TextBody"/>
        <w:bidi w:val="0"/>
        <w:spacing w:before="240" w:after="283"/>
        <w:jc w:val="left"/>
        <w:rPr/>
      </w:pPr>
      <w:r>
        <w:rPr/>
        <w:t> </w:t>
      </w:r>
    </w:p>
    <w:tbl>
      <w:tblPr>
        <w:tblW w:w="4507" w:type="dxa"/>
        <w:jc w:val="left"/>
        <w:tblInd w:w="0" w:type="dxa"/>
        <w:tblLayout w:type="fixed"/>
        <w:tblCellMar>
          <w:top w:w="28" w:type="dxa"/>
          <w:left w:w="28" w:type="dxa"/>
          <w:bottom w:w="28" w:type="dxa"/>
          <w:right w:w="28" w:type="dxa"/>
        </w:tblCellMar>
      </w:tblPr>
      <w:tblGrid>
        <w:gridCol w:w="1801"/>
        <w:gridCol w:w="146"/>
        <w:gridCol w:w="146"/>
        <w:gridCol w:w="751"/>
        <w:gridCol w:w="166"/>
        <w:gridCol w:w="146"/>
        <w:gridCol w:w="185"/>
        <w:gridCol w:w="955"/>
        <w:gridCol w:w="21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Office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(776,798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(776,798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(576,585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sz w:val="20"/>
        </w:rPr>
      </w:pPr>
      <w:r>
        <w:rPr>
          <w:rFonts w:ascii="Arial" w:hAnsi="Arial"/>
          <w:color w:val="000000"/>
          <w:sz w:val="18"/>
        </w:rPr>
        <w:t>Office leases consist of (i) a lease that was renewed on December 1, 2025 with an expiration date of November 30, 2028 for offices in Leiden, the Netherlands. The lease has a lease term of three years, and</w:t>
      </w:r>
      <w:r>
        <w:rPr>
          <w:rFonts w:ascii="Times New Roman" w:hAnsi="Times New Roman"/>
          <w:color w:val="000000"/>
          <w:sz w:val="20"/>
        </w:rPr>
        <w:t xml:space="preserve"> </w:t>
      </w:r>
      <w:r>
        <w:rPr>
          <w:rFonts w:ascii="Arial" w:hAnsi="Arial"/>
          <w:color w:val="000000"/>
          <w:sz w:val="18"/>
        </w:rPr>
        <w:t>(ii) a new lease agreement entered into on October 16, 2024 with an expiration date of December 31, 2029, for office space in Lexington, Massachusetts, United States of America (the "U.S.").</w:t>
      </w:r>
    </w:p>
    <w:p>
      <w:pPr>
        <w:pStyle w:val="TextBody"/>
        <w:bidi w:val="0"/>
        <w:spacing w:before="4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The average incremental borrowing rate applied to the lease liability related to the Leiden lease was 7.77% during the six months ended June 30, 2026 and the twelve months ended December 31, 2025.</w:t>
      </w:r>
    </w:p>
    <w:p>
      <w:pPr>
        <w:pStyle w:val="TextBody"/>
        <w:bidi w:val="0"/>
        <w:spacing w:before="40" w:after="283"/>
        <w:jc w:val="left"/>
        <w:rPr/>
      </w:pPr>
      <w:r>
        <w:rPr/>
        <w:t> </w:t>
      </w:r>
    </w:p>
    <w:p>
      <w:pPr>
        <w:pStyle w:val="TextBody"/>
        <w:bidi w:val="0"/>
        <w:spacing w:before="40" w:after="283"/>
        <w:jc w:val="left"/>
        <w:rPr>
          <w:rFonts w:ascii="Arial" w:hAnsi="Arial"/>
          <w:color w:val="000000"/>
          <w:sz w:val="18"/>
        </w:rPr>
      </w:pPr>
      <w:r>
        <w:rPr>
          <w:rFonts w:ascii="Arial" w:hAnsi="Arial"/>
          <w:color w:val="000000"/>
          <w:sz w:val="18"/>
        </w:rPr>
        <w:t>The average incremental borrowing rate applied to the lease liability related to the U.S. lease was 6.39% during the six months ended June 30, 2026 and the twelve months ended December 31, 2025.</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Arial" w:hAnsi="Arial"/>
          <w:color w:val="000000"/>
          <w:sz w:val="18"/>
        </w:rPr>
        <w:t>Depreciation expense was €0.1</w:t>
      </w:r>
      <w:r>
        <w:rPr>
          <w:rFonts w:ascii="Times New Roman" w:hAnsi="Times New Roman"/>
          <w:color w:val="000000"/>
          <w:sz w:val="20"/>
        </w:rPr>
        <w:t xml:space="preserve"> </w:t>
      </w:r>
      <w:r>
        <w:rPr>
          <w:rFonts w:ascii="Arial" w:hAnsi="Arial"/>
          <w:color w:val="000000"/>
          <w:sz w:val="18"/>
        </w:rPr>
        <w:t>million for each of the six</w:t>
      </w:r>
      <w:r>
        <w:rPr>
          <w:rFonts w:ascii="Times New Roman" w:hAnsi="Times New Roman"/>
          <w:color w:val="000000"/>
          <w:sz w:val="20"/>
        </w:rPr>
        <w:t xml:space="preserve"> </w:t>
      </w:r>
      <w:r>
        <w:rPr>
          <w:rFonts w:ascii="Arial" w:hAnsi="Arial"/>
          <w:color w:val="000000"/>
          <w:sz w:val="18"/>
        </w:rPr>
        <w:t>months ended June 30, 2026 and 2025, respectively, and is reflected in general and administrative expenses as determined by the underlying activities.</w:t>
      </w:r>
    </w:p>
    <w:p>
      <w:pPr>
        <w:pStyle w:val="TextBody"/>
        <w:bidi w:val="0"/>
        <w:spacing w:before="40" w:after="283"/>
        <w:jc w:val="left"/>
        <w:rPr/>
      </w:pPr>
      <w:r>
        <w:rPr/>
        <w:t> </w:t>
      </w:r>
    </w:p>
    <w:p>
      <w:pPr>
        <w:pStyle w:val="TextBody"/>
        <w:bidi w:val="0"/>
        <w:jc w:val="left"/>
        <w:rPr>
          <w:rFonts w:ascii="Times New Roman" w:hAnsi="Times New Roman"/>
          <w:sz w:val="20"/>
        </w:rPr>
      </w:pPr>
      <w:r>
        <w:rPr>
          <w:rFonts w:ascii="Arial" w:hAnsi="Arial"/>
          <w:color w:val="252525"/>
          <w:sz w:val="18"/>
        </w:rPr>
        <w:t xml:space="preserve">The total expense related to short-term and low-value leases for the six months ended </w:t>
      </w:r>
      <w:r>
        <w:rPr>
          <w:rFonts w:ascii="Arial" w:hAnsi="Arial"/>
          <w:color w:val="000000"/>
          <w:sz w:val="18"/>
        </w:rPr>
        <w:t>June 30, 2026</w:t>
      </w:r>
      <w:r>
        <w:rPr>
          <w:rFonts w:ascii="Times New Roman" w:hAnsi="Times New Roman"/>
          <w:color w:val="252525"/>
          <w:sz w:val="20"/>
        </w:rPr>
        <w:t xml:space="preserve"> </w:t>
      </w:r>
      <w:r>
        <w:rPr>
          <w:rFonts w:ascii="Arial" w:hAnsi="Arial"/>
          <w:color w:val="252525"/>
          <w:sz w:val="18"/>
        </w:rPr>
        <w:t>and 2025, was €NIL</w:t>
      </w:r>
      <w:r>
        <w:rPr>
          <w:rFonts w:ascii="Times New Roman" w:hAnsi="Times New Roman"/>
          <w:color w:val="252525"/>
          <w:sz w:val="20"/>
        </w:rPr>
        <w:t xml:space="preserve"> </w:t>
      </w:r>
      <w:r>
        <w:rPr>
          <w:rFonts w:ascii="Arial" w:hAnsi="Arial"/>
          <w:color w:val="252525"/>
          <w:sz w:val="18"/>
        </w:rPr>
        <w:t>million and €0.1</w:t>
      </w:r>
      <w:r>
        <w:rPr>
          <w:rFonts w:ascii="Times New Roman" w:hAnsi="Times New Roman"/>
          <w:color w:val="252525"/>
          <w:sz w:val="20"/>
        </w:rPr>
        <w:t xml:space="preserve"> </w:t>
      </w:r>
      <w:r>
        <w:rPr>
          <w:rFonts w:ascii="Arial" w:hAnsi="Arial"/>
          <w:color w:val="000000"/>
          <w:sz w:val="18"/>
        </w:rPr>
        <w:t xml:space="preserve">million, respectively, </w:t>
      </w:r>
      <w:r>
        <w:rPr>
          <w:rFonts w:ascii="Arial" w:hAnsi="Arial"/>
          <w:color w:val="252525"/>
          <w:sz w:val="18"/>
        </w:rPr>
        <w:t>and is included in facility, communication, and office expenses.</w:t>
      </w:r>
    </w:p>
    <w:p>
      <w:pPr>
        <w:pStyle w:val="TextBody"/>
        <w:bidi w:val="0"/>
        <w:spacing w:before="40" w:after="283"/>
        <w:jc w:val="left"/>
        <w:rPr/>
      </w:pPr>
      <w:r>
        <w:rPr/>
        <w:t> </w:t>
      </w:r>
    </w:p>
    <w:p>
      <w:pPr>
        <w:pStyle w:val="TextBody"/>
        <w:bidi w:val="0"/>
        <w:jc w:val="left"/>
        <w:rPr>
          <w:rFonts w:ascii="Times New Roman" w:hAnsi="Times New Roman"/>
          <w:sz w:val="20"/>
        </w:rPr>
      </w:pPr>
      <w:r>
        <w:rPr>
          <w:rFonts w:ascii="Arial" w:hAnsi="Arial"/>
          <w:color w:val="000000"/>
          <w:sz w:val="18"/>
        </w:rPr>
        <w:t>Cash outflows related to leases during the six months ended June 30, 2026</w:t>
      </w:r>
      <w:r>
        <w:rPr>
          <w:rFonts w:ascii="Times New Roman" w:hAnsi="Times New Roman"/>
          <w:color w:val="000000"/>
          <w:sz w:val="20"/>
        </w:rPr>
        <w:t xml:space="preserve"> </w:t>
      </w:r>
      <w:r>
        <w:rPr>
          <w:rFonts w:ascii="Arial" w:hAnsi="Arial"/>
          <w:color w:val="000000"/>
          <w:sz w:val="18"/>
        </w:rPr>
        <w:t>and 2025 were €0.1</w:t>
      </w:r>
      <w:r>
        <w:rPr>
          <w:rFonts w:ascii="Times New Roman" w:hAnsi="Times New Roman"/>
          <w:color w:val="000000"/>
          <w:sz w:val="20"/>
        </w:rPr>
        <w:t xml:space="preserve"> </w:t>
      </w:r>
      <w:r>
        <w:rPr>
          <w:rFonts w:ascii="Arial" w:hAnsi="Arial"/>
          <w:color w:val="000000"/>
          <w:sz w:val="18"/>
        </w:rPr>
        <w:t>million, respectively.</w:t>
      </w:r>
    </w:p>
    <w:p>
      <w:pPr>
        <w:pStyle w:val="TextBody"/>
        <w:bidi w:val="0"/>
        <w:spacing w:before="120" w:after="283"/>
        <w:jc w:val="left"/>
        <w:rPr>
          <w:rFonts w:ascii="Arial" w:hAnsi="Arial"/>
          <w:b/>
          <w:color w:val="000000"/>
          <w:sz w:val="20"/>
        </w:rPr>
      </w:pPr>
      <w:r>
        <w:rPr>
          <w:rFonts w:ascii="Arial" w:hAnsi="Arial"/>
          <w:b/>
          <w:color w:val="000000"/>
          <w:sz w:val="20"/>
        </w:rPr>
        <w:t>10. Receivables</w:t>
      </w:r>
    </w:p>
    <w:p>
      <w:pPr>
        <w:pStyle w:val="TextBody"/>
        <w:bidi w:val="0"/>
        <w:spacing w:before="160" w:after="283"/>
        <w:jc w:val="left"/>
        <w:rPr/>
      </w:pPr>
      <w:r>
        <w:rPr/>
        <w:t> </w:t>
      </w:r>
    </w:p>
    <w:tbl>
      <w:tblPr>
        <w:tblW w:w="4407" w:type="dxa"/>
        <w:jc w:val="left"/>
        <w:tblInd w:w="0" w:type="dxa"/>
        <w:tblLayout w:type="fixed"/>
        <w:tblCellMar>
          <w:top w:w="28" w:type="dxa"/>
          <w:left w:w="28" w:type="dxa"/>
          <w:bottom w:w="28" w:type="dxa"/>
          <w:right w:w="28" w:type="dxa"/>
        </w:tblCellMar>
      </w:tblPr>
      <w:tblGrid>
        <w:gridCol w:w="1666"/>
        <w:gridCol w:w="146"/>
        <w:gridCol w:w="146"/>
        <w:gridCol w:w="826"/>
        <w:gridCol w:w="146"/>
        <w:gridCol w:w="146"/>
        <w:gridCol w:w="171"/>
        <w:gridCol w:w="969"/>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4,199,257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556,739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4,551,123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11. Other current assets</w:t>
      </w:r>
    </w:p>
    <w:p>
      <w:pPr>
        <w:pStyle w:val="TextBody"/>
        <w:bidi w:val="0"/>
        <w:spacing w:before="160" w:after="283"/>
        <w:jc w:val="left"/>
        <w:rPr/>
      </w:pPr>
      <w:r>
        <w:rPr/>
        <w:t> </w:t>
      </w:r>
    </w:p>
    <w:tbl>
      <w:tblPr>
        <w:tblW w:w="3777" w:type="dxa"/>
        <w:jc w:val="left"/>
        <w:tblInd w:w="0" w:type="dxa"/>
        <w:tblLayout w:type="fixed"/>
        <w:tblCellMar>
          <w:top w:w="28" w:type="dxa"/>
          <w:left w:w="28" w:type="dxa"/>
          <w:bottom w:w="28" w:type="dxa"/>
          <w:right w:w="28" w:type="dxa"/>
        </w:tblCellMar>
      </w:tblPr>
      <w:tblGrid>
        <w:gridCol w:w="1036"/>
        <w:gridCol w:w="146"/>
        <w:gridCol w:w="146"/>
        <w:gridCol w:w="826"/>
        <w:gridCol w:w="146"/>
        <w:gridCol w:w="146"/>
        <w:gridCol w:w="171"/>
        <w:gridCol w:w="969"/>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3,325,773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3,325,773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2,938,215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Prepayments mainly relate to prepaid insurance, prepaid research and development expenses and rent.</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12. Cash and cash equivalents</w:t>
      </w:r>
    </w:p>
    <w:p>
      <w:pPr>
        <w:pStyle w:val="TextBody"/>
        <w:bidi w:val="0"/>
        <w:spacing w:before="120" w:after="283"/>
        <w:jc w:val="left"/>
        <w:rPr>
          <w:rFonts w:ascii="Times New Roman" w:hAnsi="Times New Roman"/>
          <w:sz w:val="20"/>
        </w:rPr>
      </w:pPr>
      <w:r>
        <w:rPr>
          <w:rFonts w:ascii="Arial" w:hAnsi="Arial"/>
          <w:color w:val="000000"/>
          <w:sz w:val="18"/>
        </w:rPr>
        <w:t>As of June 30, 2026</w:t>
      </w:r>
      <w:r>
        <w:rPr>
          <w:rFonts w:ascii="Times New Roman" w:hAnsi="Times New Roman"/>
          <w:color w:val="000000"/>
          <w:sz w:val="20"/>
        </w:rPr>
        <w:t xml:space="preserve"> </w:t>
      </w:r>
      <w:r>
        <w:rPr>
          <w:rFonts w:ascii="Arial" w:hAnsi="Arial"/>
          <w:color w:val="000000"/>
          <w:sz w:val="18"/>
        </w:rPr>
        <w:t>and December 31, 2025, there were no</w:t>
      </w:r>
      <w:r>
        <w:rPr>
          <w:rFonts w:ascii="Times New Roman" w:hAnsi="Times New Roman"/>
          <w:color w:val="000000"/>
          <w:sz w:val="20"/>
        </w:rPr>
        <w:t xml:space="preserve"> </w:t>
      </w:r>
      <w:r>
        <w:rPr>
          <w:rFonts w:ascii="Arial" w:hAnsi="Arial"/>
          <w:color w:val="000000"/>
          <w:sz w:val="18"/>
        </w:rPr>
        <w:t xml:space="preserve">restricted cash and cash equivalent balances. Cash and cash equivalent balances as of June 30, 2026 include investments in money market funds of </w:t>
      </w:r>
      <w:r>
        <w:rPr>
          <w:rFonts w:ascii="Times New Roman" w:hAnsi="Times New Roman"/>
          <w:color w:val="000000"/>
          <w:sz w:val="20"/>
        </w:rPr>
        <w:t>€</w:t>
      </w:r>
      <w:r>
        <w:rPr>
          <w:rFonts w:ascii="Arial" w:hAnsi="Arial"/>
          <w:color w:val="000000"/>
          <w:sz w:val="18"/>
        </w:rPr>
        <w:t>318.3</w:t>
      </w:r>
      <w:r>
        <w:rPr>
          <w:rFonts w:ascii="Times New Roman" w:hAnsi="Times New Roman"/>
          <w:color w:val="000000"/>
          <w:sz w:val="20"/>
        </w:rPr>
        <w:t xml:space="preserve"> </w:t>
      </w:r>
      <w:r>
        <w:rPr>
          <w:rFonts w:ascii="Arial" w:hAnsi="Arial"/>
          <w:color w:val="000000"/>
          <w:sz w:val="18"/>
        </w:rPr>
        <w:t>million at fair market value.</w:t>
      </w:r>
      <w:r>
        <w:rPr>
          <w:rFonts w:ascii="Times New Roman" w:hAnsi="Times New Roman"/>
          <w:color w:val="000000"/>
          <w:sz w:val="20"/>
        </w:rPr>
        <w:t xml:space="preserve"> </w:t>
      </w:r>
      <w:r>
        <w:rPr>
          <w:rFonts w:ascii="Arial" w:hAnsi="Arial"/>
          <w:color w:val="000000"/>
          <w:sz w:val="18"/>
        </w:rPr>
        <w:t>(Cost: €323.7</w:t>
      </w:r>
      <w:r>
        <w:rPr>
          <w:rFonts w:ascii="Times New Roman" w:hAnsi="Times New Roman"/>
          <w:color w:val="000000"/>
          <w:sz w:val="20"/>
        </w:rPr>
        <w:t xml:space="preserve"> </w:t>
      </w:r>
      <w:r>
        <w:rPr>
          <w:rFonts w:ascii="Arial" w:hAnsi="Arial"/>
          <w:color w:val="000000"/>
          <w:sz w:val="18"/>
        </w:rPr>
        <w:t>million). December 31, 2025 include investments in money market funds of €232.5</w:t>
      </w:r>
      <w:r>
        <w:rPr>
          <w:rFonts w:ascii="Times New Roman" w:hAnsi="Times New Roman"/>
          <w:color w:val="000000"/>
          <w:sz w:val="20"/>
        </w:rPr>
        <w:t xml:space="preserve"> </w:t>
      </w:r>
      <w:r>
        <w:rPr>
          <w:rFonts w:ascii="Arial" w:hAnsi="Arial"/>
          <w:color w:val="000000"/>
          <w:sz w:val="18"/>
        </w:rPr>
        <w:t>million at fair market value. (Cost: €241.2</w:t>
      </w:r>
      <w:r>
        <w:rPr>
          <w:rFonts w:ascii="Times New Roman" w:hAnsi="Times New Roman"/>
          <w:color w:val="000000"/>
          <w:sz w:val="20"/>
        </w:rPr>
        <w:t xml:space="preserve"> </w:t>
      </w:r>
      <w:r>
        <w:rPr>
          <w:rFonts w:ascii="Arial" w:hAnsi="Arial"/>
          <w:color w:val="000000"/>
          <w:sz w:val="18"/>
        </w:rPr>
        <w:t>million).</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13. Equity</w:t>
      </w:r>
    </w:p>
    <w:p>
      <w:pPr>
        <w:pStyle w:val="TextBody"/>
        <w:bidi w:val="0"/>
        <w:spacing w:before="120" w:after="283"/>
        <w:jc w:val="left"/>
        <w:rPr>
          <w:rFonts w:ascii="Times New Roman" w:hAnsi="Times New Roman"/>
          <w:sz w:val="20"/>
        </w:rPr>
      </w:pPr>
      <w:r>
        <w:rPr>
          <w:rFonts w:ascii="Arial" w:hAnsi="Arial"/>
          <w:color w:val="000000"/>
          <w:sz w:val="18"/>
        </w:rPr>
        <w:t>On June 30, 2026, the Company’s authorized share capital amounted to € 14.1</w:t>
      </w:r>
      <w:r>
        <w:rPr>
          <w:rFonts w:ascii="Times New Roman" w:hAnsi="Times New Roman"/>
          <w:color w:val="000000"/>
          <w:sz w:val="20"/>
        </w:rPr>
        <w:t xml:space="preserve"> </w:t>
      </w:r>
      <w:r>
        <w:rPr>
          <w:rFonts w:ascii="Arial" w:hAnsi="Arial"/>
          <w:color w:val="000000"/>
          <w:sz w:val="18"/>
        </w:rPr>
        <w:t>million divided into 117.5</w:t>
      </w:r>
      <w:r>
        <w:rPr>
          <w:rFonts w:ascii="Times New Roman" w:hAnsi="Times New Roman"/>
          <w:color w:val="000000"/>
          <w:sz w:val="20"/>
        </w:rPr>
        <w:t xml:space="preserve"> </w:t>
      </w:r>
      <w:r>
        <w:rPr>
          <w:rFonts w:ascii="Arial" w:hAnsi="Arial"/>
          <w:color w:val="000000"/>
          <w:sz w:val="18"/>
        </w:rPr>
        <w:t>million ordinary shares each with a nominal value of twelve eurocents (€0.12).</w:t>
      </w:r>
    </w:p>
    <w:p>
      <w:pPr>
        <w:pStyle w:val="TextBody"/>
        <w:bidi w:val="0"/>
        <w:spacing w:before="120" w:after="283"/>
        <w:jc w:val="left"/>
        <w:rPr>
          <w:rFonts w:ascii="Times New Roman" w:hAnsi="Times New Roman"/>
          <w:sz w:val="20"/>
        </w:rPr>
      </w:pPr>
      <w:r>
        <w:rPr>
          <w:rFonts w:ascii="Arial" w:hAnsi="Arial"/>
          <w:color w:val="000000"/>
          <w:sz w:val="18"/>
        </w:rPr>
        <w:t>As of June 30, 2026, the total number of issued and fully paid shares was 70.2</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(December 31, 2025: 65,210,590</w:t>
      </w:r>
      <w:r>
        <w:rPr>
          <w:rFonts w:ascii="Times New Roman" w:hAnsi="Times New Roman"/>
          <w:color w:val="000000"/>
          <w:sz w:val="20"/>
        </w:rPr>
        <w:t xml:space="preserve"> </w:t>
      </w:r>
      <w:r>
        <w:rPr>
          <w:rFonts w:ascii="Arial" w:hAnsi="Arial"/>
          <w:color w:val="000000"/>
          <w:sz w:val="18"/>
        </w:rPr>
        <w:t xml:space="preserve">). On June 30, 2026, the issued share capital totaled </w:t>
      </w:r>
      <w:r>
        <w:rPr>
          <w:rFonts w:ascii="Times New Roman" w:hAnsi="Times New Roman"/>
          <w:color w:val="000000"/>
          <w:sz w:val="20"/>
        </w:rPr>
        <w:t>€</w:t>
      </w:r>
      <w:r>
        <w:rPr>
          <w:rFonts w:ascii="Arial" w:hAnsi="Arial"/>
          <w:color w:val="000000"/>
          <w:sz w:val="18"/>
        </w:rPr>
        <w:t>8.4</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(December 31, 2025: €7.8</w:t>
      </w:r>
      <w:r>
        <w:rPr>
          <w:rFonts w:ascii="Times New Roman" w:hAnsi="Times New Roman"/>
          <w:color w:val="000000"/>
          <w:sz w:val="20"/>
        </w:rPr>
        <w:t xml:space="preserve"> </w:t>
      </w:r>
      <w:r>
        <w:rPr>
          <w:rFonts w:ascii="Arial" w:hAnsi="Arial"/>
          <w:color w:val="000000"/>
          <w:sz w:val="18"/>
        </w:rPr>
        <w:t>million).</w:t>
      </w:r>
    </w:p>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color w:val="000000"/>
          <w:sz w:val="18"/>
        </w:rPr>
        <w:t>In April 2024, the Company entered into an at-the-market sales agreement with Leerink Partners, pursuant to which it may sell ordinary shares having an aggregate offering price of up to $175</w:t>
      </w:r>
      <w:r>
        <w:rPr>
          <w:rFonts w:ascii="Times New Roman" w:hAnsi="Times New Roman"/>
          <w:color w:val="000000"/>
          <w:sz w:val="20"/>
        </w:rPr>
        <w:t xml:space="preserve"> </w:t>
      </w:r>
      <w:r>
        <w:rPr>
          <w:rFonts w:ascii="Arial" w:hAnsi="Arial"/>
          <w:color w:val="000000"/>
          <w:sz w:val="18"/>
        </w:rPr>
        <w:t>million from time to time through Leerink Partners. As of March 31, 2026, no ordinary shares have been sold under this agreement.</w:t>
      </w:r>
    </w:p>
    <w:p>
      <w:pPr>
        <w:pStyle w:val="TextBody"/>
        <w:bidi w:val="0"/>
        <w:spacing w:before="120" w:after="283"/>
        <w:jc w:val="left"/>
        <w:rPr>
          <w:rFonts w:ascii="Times New Roman" w:hAnsi="Times New Roman"/>
          <w:sz w:val="20"/>
        </w:rPr>
      </w:pPr>
      <w:r>
        <w:rPr>
          <w:rFonts w:ascii="Arial" w:hAnsi="Arial"/>
          <w:color w:val="000000"/>
          <w:sz w:val="18"/>
        </w:rPr>
        <w:t>In July 2025, the Company entered into an underwriting agreement with Morgan Stanley &amp; Co. and Leerink Partners, as representatives of the underwriters, pursuant to which the Company agreed to issue and sell (i) 9,562,500</w:t>
      </w:r>
      <w:r>
        <w:rPr>
          <w:rFonts w:ascii="Times New Roman" w:hAnsi="Times New Roman"/>
          <w:color w:val="000000"/>
          <w:sz w:val="20"/>
        </w:rPr>
        <w:t xml:space="preserve"> </w:t>
      </w:r>
      <w:r>
        <w:rPr>
          <w:rFonts w:ascii="Arial" w:hAnsi="Arial"/>
          <w:color w:val="000000"/>
          <w:sz w:val="18"/>
        </w:rPr>
        <w:t>ordinary shares, par value €0.12</w:t>
      </w:r>
      <w:r>
        <w:rPr>
          <w:rFonts w:ascii="Times New Roman" w:hAnsi="Times New Roman"/>
          <w:color w:val="000000"/>
          <w:sz w:val="20"/>
        </w:rPr>
        <w:t xml:space="preserve"> </w:t>
      </w:r>
      <w:r>
        <w:rPr>
          <w:rFonts w:ascii="Arial" w:hAnsi="Arial"/>
          <w:color w:val="000000"/>
          <w:sz w:val="18"/>
        </w:rPr>
        <w:t>per share and (ii) pre-funded warrants to purchase up to 500,000</w:t>
      </w:r>
      <w:r>
        <w:rPr>
          <w:rFonts w:ascii="Times New Roman" w:hAnsi="Times New Roman"/>
          <w:color w:val="000000"/>
          <w:sz w:val="20"/>
        </w:rPr>
        <w:t xml:space="preserve"> </w:t>
      </w:r>
      <w:r>
        <w:rPr>
          <w:rFonts w:ascii="Arial" w:hAnsi="Arial"/>
          <w:color w:val="000000"/>
          <w:sz w:val="18"/>
        </w:rPr>
        <w:t>ordinary shares in an underwritten offering. The offering closed on July 24, 2025, and the Company generated net proceeds of €160.3</w:t>
      </w:r>
      <w:r>
        <w:rPr>
          <w:rFonts w:ascii="Times New Roman" w:hAnsi="Times New Roman"/>
          <w:color w:val="000000"/>
          <w:sz w:val="20"/>
        </w:rPr>
        <w:t xml:space="preserve"> </w:t>
      </w:r>
      <w:r>
        <w:rPr>
          <w:rFonts w:ascii="Arial" w:hAnsi="Arial"/>
          <w:color w:val="000000"/>
          <w:sz w:val="18"/>
        </w:rPr>
        <w:t>million ($188.5</w:t>
      </w:r>
      <w:r>
        <w:rPr>
          <w:rFonts w:ascii="Times New Roman" w:hAnsi="Times New Roman"/>
          <w:color w:val="000000"/>
          <w:sz w:val="20"/>
        </w:rPr>
        <w:t xml:space="preserve"> </w:t>
      </w:r>
      <w:r>
        <w:rPr>
          <w:rFonts w:ascii="Arial" w:hAnsi="Arial"/>
          <w:color w:val="000000"/>
          <w:sz w:val="18"/>
        </w:rPr>
        <w:t>million), after deducting fees and expenses of €10.9</w:t>
      </w:r>
      <w:r>
        <w:rPr>
          <w:rFonts w:ascii="Times New Roman" w:hAnsi="Times New Roman"/>
          <w:color w:val="000000"/>
          <w:sz w:val="20"/>
        </w:rPr>
        <w:t xml:space="preserve"> </w:t>
      </w:r>
      <w:r>
        <w:rPr>
          <w:rFonts w:ascii="Arial" w:hAnsi="Arial"/>
          <w:color w:val="000000"/>
          <w:sz w:val="18"/>
        </w:rPr>
        <w:t>million ($12.8</w:t>
      </w:r>
      <w:r>
        <w:rPr>
          <w:rFonts w:ascii="Times New Roman" w:hAnsi="Times New Roman"/>
          <w:color w:val="000000"/>
          <w:sz w:val="20"/>
        </w:rPr>
        <w:t xml:space="preserve"> </w:t>
      </w:r>
      <w:r>
        <w:rPr>
          <w:rFonts w:ascii="Arial" w:hAnsi="Arial"/>
          <w:color w:val="000000"/>
          <w:sz w:val="18"/>
        </w:rPr>
        <w:t>million).The pre-funded warrants were exercised in September 2025 for gross exercise proceeds of €0.04</w:t>
      </w:r>
      <w:r>
        <w:rPr>
          <w:rFonts w:ascii="Times New Roman" w:hAnsi="Times New Roman"/>
          <w:color w:val="000000"/>
          <w:sz w:val="20"/>
        </w:rPr>
        <w:t xml:space="preserve"> </w:t>
      </w:r>
      <w:r>
        <w:rPr>
          <w:rFonts w:ascii="Arial" w:hAnsi="Arial"/>
          <w:color w:val="000000"/>
          <w:sz w:val="18"/>
        </w:rPr>
        <w:t>million ($0.05</w:t>
      </w:r>
      <w:r>
        <w:rPr>
          <w:rFonts w:ascii="Times New Roman" w:hAnsi="Times New Roman"/>
          <w:color w:val="000000"/>
          <w:sz w:val="20"/>
        </w:rPr>
        <w:t xml:space="preserve"> </w:t>
      </w:r>
      <w:r>
        <w:rPr>
          <w:rFonts w:ascii="Arial" w:hAnsi="Arial"/>
          <w:color w:val="000000"/>
          <w:sz w:val="18"/>
        </w:rPr>
        <w:t>million) and resulted in issuance of 500,000</w:t>
      </w:r>
      <w:r>
        <w:rPr>
          <w:rFonts w:ascii="Times New Roman" w:hAnsi="Times New Roman"/>
          <w:color w:val="000000"/>
          <w:sz w:val="20"/>
        </w:rPr>
        <w:t xml:space="preserve"> </w:t>
      </w:r>
      <w:r>
        <w:rPr>
          <w:rFonts w:ascii="Arial" w:hAnsi="Arial"/>
          <w:color w:val="000000"/>
          <w:sz w:val="18"/>
        </w:rPr>
        <w:t>ordinary shares.</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color w:val="000000"/>
          <w:sz w:val="18"/>
        </w:rPr>
        <w:t>On May 8, 2026, the Company entered into an underwriting agreement with Morgan Stanley &amp; Co. LLC and Leerink Partners LLC as representatives of the underwriters named therein, pursuant to which the Company agreed to issue and sell in an underwritten offering 4,455,863</w:t>
      </w:r>
      <w:r>
        <w:rPr>
          <w:rFonts w:ascii="Times New Roman" w:hAnsi="Times New Roman"/>
          <w:color w:val="000000"/>
          <w:sz w:val="20"/>
        </w:rPr>
        <w:t xml:space="preserve"> </w:t>
      </w:r>
      <w:r>
        <w:rPr>
          <w:rFonts w:ascii="Arial" w:hAnsi="Arial"/>
          <w:color w:val="000000"/>
          <w:sz w:val="18"/>
        </w:rPr>
        <w:t>ordinary shares, par value €0.12</w:t>
      </w:r>
      <w:r>
        <w:rPr>
          <w:rFonts w:ascii="Times New Roman" w:hAnsi="Times New Roman"/>
          <w:color w:val="000000"/>
          <w:sz w:val="20"/>
        </w:rPr>
        <w:t xml:space="preserve"> </w:t>
      </w:r>
      <w:r>
        <w:rPr>
          <w:rFonts w:ascii="Arial" w:hAnsi="Arial"/>
          <w:color w:val="000000"/>
          <w:sz w:val="18"/>
        </w:rPr>
        <w:t>per share (which includes the exercise in full by the underwriters of their option to purchase up to an additional 581,199</w:t>
      </w:r>
      <w:r>
        <w:rPr>
          <w:rFonts w:ascii="Times New Roman" w:hAnsi="Times New Roman"/>
          <w:color w:val="000000"/>
          <w:sz w:val="20"/>
        </w:rPr>
        <w:t xml:space="preserve"> </w:t>
      </w:r>
      <w:r>
        <w:rPr>
          <w:rFonts w:ascii="Arial" w:hAnsi="Arial"/>
          <w:color w:val="000000"/>
          <w:sz w:val="18"/>
        </w:rPr>
        <w:t>ordinary shares). The offering closed on May 11, 2026, and the Company generated net proceeds of approximately €105.7</w:t>
      </w:r>
      <w:r>
        <w:rPr>
          <w:rFonts w:ascii="Times New Roman" w:hAnsi="Times New Roman"/>
          <w:color w:val="000000"/>
          <w:sz w:val="20"/>
        </w:rPr>
        <w:t xml:space="preserve"> </w:t>
      </w:r>
      <w:r>
        <w:rPr>
          <w:rFonts w:ascii="Arial" w:hAnsi="Arial"/>
          <w:color w:val="000000"/>
          <w:sz w:val="18"/>
        </w:rPr>
        <w:t>million ($124.3</w:t>
      </w:r>
      <w:r>
        <w:rPr>
          <w:rFonts w:ascii="Times New Roman" w:hAnsi="Times New Roman"/>
          <w:color w:val="000000"/>
          <w:sz w:val="20"/>
        </w:rPr>
        <w:t xml:space="preserve"> </w:t>
      </w:r>
      <w:r>
        <w:rPr>
          <w:rFonts w:ascii="Arial" w:hAnsi="Arial"/>
          <w:color w:val="000000"/>
          <w:sz w:val="18"/>
        </w:rPr>
        <w:t>million), after deducting bank fees of approximately €6.7</w:t>
      </w:r>
      <w:r>
        <w:rPr>
          <w:rFonts w:ascii="Times New Roman" w:hAnsi="Times New Roman"/>
          <w:color w:val="000000"/>
          <w:sz w:val="20"/>
        </w:rPr>
        <w:t xml:space="preserve"> </w:t>
      </w:r>
      <w:r>
        <w:rPr>
          <w:rFonts w:ascii="Arial" w:hAnsi="Arial"/>
          <w:color w:val="000000"/>
          <w:sz w:val="18"/>
        </w:rPr>
        <w:t>million ($7.9</w:t>
      </w:r>
      <w:r>
        <w:rPr>
          <w:rFonts w:ascii="Times New Roman" w:hAnsi="Times New Roman"/>
          <w:color w:val="000000"/>
          <w:sz w:val="20"/>
        </w:rPr>
        <w:t xml:space="preserve"> </w:t>
      </w:r>
      <w:r>
        <w:rPr>
          <w:rFonts w:ascii="Arial" w:hAnsi="Arial"/>
          <w:color w:val="000000"/>
          <w:sz w:val="18"/>
        </w:rPr>
        <w:t>million).</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Issued shares</w:t>
      </w:r>
      <w:r>
        <w:rPr>
          <w:rFonts w:ascii="Times New Roman" w:hAnsi="Times New Roman"/>
          <w:color w:val="000000"/>
          <w:sz w:val="20"/>
        </w:rPr>
        <w:t xml:space="preserve"> </w:t>
      </w:r>
    </w:p>
    <w:p>
      <w:pPr>
        <w:pStyle w:val="TextBody"/>
        <w:bidi w:val="0"/>
        <w:jc w:val="left"/>
        <w:rPr/>
      </w:pPr>
      <w:r>
        <w:rPr/>
        <w:t> </w:t>
      </w:r>
    </w:p>
    <w:tbl>
      <w:tblPr>
        <w:tblW w:w="4860" w:type="dxa"/>
        <w:jc w:val="left"/>
        <w:tblInd w:w="0" w:type="dxa"/>
        <w:tblLayout w:type="fixed"/>
        <w:tblCellMar>
          <w:top w:w="28" w:type="dxa"/>
          <w:left w:w="28" w:type="dxa"/>
          <w:bottom w:w="28" w:type="dxa"/>
          <w:right w:w="28" w:type="dxa"/>
        </w:tblCellMar>
      </w:tblPr>
      <w:tblGrid>
        <w:gridCol w:w="1261"/>
        <w:gridCol w:w="146"/>
        <w:gridCol w:w="204"/>
        <w:gridCol w:w="1281"/>
        <w:gridCol w:w="146"/>
        <w:gridCol w:w="146"/>
        <w:gridCol w:w="203"/>
        <w:gridCol w:w="1282"/>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70,204,506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65,210,590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70,204,506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65,210,590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14. Trade and other payables</w:t>
      </w:r>
      <w:r>
        <w:rPr>
          <w:rFonts w:ascii="Times New Roman" w:hAnsi="Times New Roman"/>
          <w:color w:val="000000"/>
          <w:sz w:val="20"/>
        </w:rPr>
        <w:t xml:space="preserve"> </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186"/>
        <w:gridCol w:w="146"/>
        <w:gridCol w:w="146"/>
        <w:gridCol w:w="826"/>
        <w:gridCol w:w="146"/>
        <w:gridCol w:w="146"/>
        <w:gridCol w:w="171"/>
        <w:gridCol w:w="969"/>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2,793,702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5,114,186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15. Accrued liabilities</w:t>
      </w:r>
    </w:p>
    <w:p>
      <w:pPr>
        <w:pStyle w:val="TextBody"/>
        <w:bidi w:val="0"/>
        <w:jc w:val="left"/>
        <w:rPr/>
      </w:pPr>
      <w:r>
        <w:rPr/>
        <w:t> </w:t>
      </w:r>
    </w:p>
    <w:tbl>
      <w:tblPr>
        <w:tblW w:w="5952" w:type="dxa"/>
        <w:jc w:val="left"/>
        <w:tblInd w:w="0" w:type="dxa"/>
        <w:tblLayout w:type="fixed"/>
        <w:tblCellMar>
          <w:top w:w="28" w:type="dxa"/>
          <w:left w:w="28" w:type="dxa"/>
          <w:bottom w:w="28" w:type="dxa"/>
          <w:right w:w="28" w:type="dxa"/>
        </w:tblCellMar>
      </w:tblPr>
      <w:tblGrid>
        <w:gridCol w:w="3121"/>
        <w:gridCol w:w="146"/>
        <w:gridCol w:w="146"/>
        <w:gridCol w:w="916"/>
        <w:gridCol w:w="146"/>
        <w:gridCol w:w="146"/>
        <w:gridCol w:w="156"/>
        <w:gridCol w:w="984"/>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11,432,445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professional and audit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1,475,916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24,389,457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23,348,472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16. Risk management activities</w:t>
      </w:r>
    </w:p>
    <w:p>
      <w:pPr>
        <w:pStyle w:val="TextBody"/>
        <w:bidi w:val="0"/>
        <w:spacing w:before="120" w:after="283"/>
        <w:jc w:val="left"/>
        <w:rPr>
          <w:rFonts w:ascii="Arial" w:hAnsi="Arial"/>
          <w:color w:val="000000"/>
          <w:sz w:val="18"/>
        </w:rPr>
      </w:pPr>
      <w:r>
        <w:rPr>
          <w:rFonts w:ascii="Arial" w:hAnsi="Arial"/>
          <w:color w:val="000000"/>
          <w:sz w:val="18"/>
        </w:rPr>
        <w:t>The Group’s risk management activities are the same as disclosed in Note 17 of the consolidated financial statements for the year ended December 31, 2025.</w:t>
      </w:r>
    </w:p>
    <w:p>
      <w:pPr>
        <w:pStyle w:val="TextBody"/>
        <w:bidi w:val="0"/>
        <w:spacing w:before="120" w:after="283"/>
        <w:jc w:val="left"/>
        <w:rPr>
          <w:rFonts w:ascii="Arial" w:hAnsi="Arial"/>
          <w:b/>
          <w:color w:val="000000"/>
          <w:sz w:val="20"/>
        </w:rPr>
      </w:pPr>
      <w:r>
        <w:rPr>
          <w:rFonts w:ascii="Arial" w:hAnsi="Arial"/>
          <w:b/>
          <w:color w:val="000000"/>
          <w:sz w:val="20"/>
        </w:rPr>
        <w:t>17. Fair values</w:t>
      </w:r>
    </w:p>
    <w:p>
      <w:pPr>
        <w:pStyle w:val="TextBody"/>
        <w:bidi w:val="0"/>
        <w:spacing w:before="120" w:after="283"/>
        <w:jc w:val="left"/>
        <w:rPr>
          <w:rFonts w:ascii="Times New Roman" w:hAnsi="Times New Roman"/>
          <w:sz w:val="20"/>
        </w:rPr>
      </w:pPr>
      <w:r>
        <w:rPr>
          <w:rFonts w:ascii="Arial" w:hAnsi="Arial"/>
          <w:color w:val="000000"/>
          <w:sz w:val="18"/>
        </w:rPr>
        <w:t>Fair values of cash balances, trade receivables, trade payables, and other current liabilities approximate their carrying amounts largely due to the short-term maturities of these instruments.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fair value of the cash equivalents, Group’s financial instruments measured at fair value on recurring basis, is categorized within level 1 of the fair value hierarchy, as the valuation is based on quoted net asset values (NAV) in active markets at the reporting date.</w:t>
      </w:r>
    </w:p>
    <w:p>
      <w:pPr>
        <w:pStyle w:val="TextBody"/>
        <w:bidi w:val="0"/>
        <w:spacing w:before="120" w:after="283"/>
        <w:jc w:val="left"/>
        <w:rPr>
          <w:rFonts w:ascii="Arial" w:hAnsi="Arial"/>
          <w:b/>
          <w:color w:val="000000"/>
          <w:sz w:val="20"/>
        </w:rPr>
      </w:pPr>
      <w:r>
        <w:rPr>
          <w:rFonts w:ascii="Arial" w:hAnsi="Arial"/>
          <w:b/>
          <w:color w:val="000000"/>
          <w:sz w:val="20"/>
        </w:rPr>
        <w:t>18. Share-based payments</w:t>
      </w:r>
    </w:p>
    <w:p>
      <w:pPr>
        <w:pStyle w:val="TextBody"/>
        <w:bidi w:val="0"/>
        <w:spacing w:before="120" w:after="283"/>
        <w:jc w:val="left"/>
        <w:rPr>
          <w:rFonts w:ascii="Times New Roman" w:hAnsi="Times New Roman"/>
          <w:sz w:val="20"/>
        </w:rPr>
      </w:pPr>
      <w:r>
        <w:rPr>
          <w:rFonts w:ascii="Arial" w:hAnsi="Arial"/>
          <w:color w:val="000000"/>
          <w:sz w:val="18"/>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Equity Incentive Plan (the “2021 Plan”).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Set out below is an overview of changes in the Stock Options and Restricted Stock Units (“RSUs”) during the six months ended June 30, 2026.</w:t>
      </w:r>
    </w:p>
    <w:p>
      <w:pPr>
        <w:pStyle w:val="TextBody"/>
        <w:bidi w:val="0"/>
        <w:jc w:val="left"/>
        <w:rPr/>
      </w:pPr>
      <w:r>
        <w:rPr/>
        <w:t> </w:t>
      </w:r>
    </w:p>
    <w:tbl>
      <w:tblPr>
        <w:tblW w:w="6260" w:type="dxa"/>
        <w:jc w:val="left"/>
        <w:tblInd w:w="0" w:type="dxa"/>
        <w:tblLayout w:type="fixed"/>
        <w:tblCellMar>
          <w:top w:w="28" w:type="dxa"/>
          <w:left w:w="28" w:type="dxa"/>
          <w:bottom w:w="28" w:type="dxa"/>
          <w:right w:w="28" w:type="dxa"/>
        </w:tblCellMar>
      </w:tblPr>
      <w:tblGrid>
        <w:gridCol w:w="2296"/>
        <w:gridCol w:w="146"/>
        <w:gridCol w:w="162"/>
        <w:gridCol w:w="919"/>
        <w:gridCol w:w="166"/>
        <w:gridCol w:w="146"/>
        <w:gridCol w:w="186"/>
        <w:gridCol w:w="655"/>
        <w:gridCol w:w="146"/>
        <w:gridCol w:w="146"/>
        <w:gridCol w:w="162"/>
        <w:gridCol w:w="919"/>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b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616,605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 (Vested and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4,455,397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1,545,152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2026,</w:t>
      </w:r>
      <w:r>
        <w:rPr>
          <w:rFonts w:ascii="Times New Roman" w:hAnsi="Times New Roman"/>
          <w:color w:val="000000"/>
          <w:sz w:val="20"/>
        </w:rPr>
        <w:t xml:space="preserve"> </w:t>
      </w:r>
      <w:r>
        <w:rPr>
          <w:rFonts w:ascii="Arial" w:hAnsi="Arial"/>
          <w:color w:val="000000"/>
          <w:sz w:val="18"/>
        </w:rPr>
        <w:t>a total of 376,105</w:t>
      </w:r>
      <w:r>
        <w:rPr>
          <w:rFonts w:ascii="Times New Roman" w:hAnsi="Times New Roman"/>
          <w:color w:val="000000"/>
          <w:sz w:val="20"/>
        </w:rPr>
        <w:t xml:space="preserve"> </w:t>
      </w:r>
      <w:r>
        <w:rPr>
          <w:rFonts w:ascii="Arial" w:hAnsi="Arial"/>
          <w:color w:val="000000"/>
          <w:sz w:val="18"/>
        </w:rPr>
        <w:t>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2026, 193,000</w:t>
      </w:r>
      <w:r>
        <w:rPr>
          <w:rFonts w:ascii="Times New Roman" w:hAnsi="Times New Roman"/>
          <w:color w:val="000000"/>
          <w:sz w:val="20"/>
        </w:rPr>
        <w:t xml:space="preserve"> </w:t>
      </w:r>
      <w:r>
        <w:rPr>
          <w:rFonts w:ascii="Arial" w:hAnsi="Arial"/>
          <w:color w:val="000000"/>
          <w:sz w:val="18"/>
        </w:rPr>
        <w:t>RSUs were issued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2026, 27,500</w:t>
      </w:r>
      <w:r>
        <w:rPr>
          <w:rFonts w:ascii="Times New Roman" w:hAnsi="Times New Roman"/>
          <w:color w:val="000000"/>
          <w:sz w:val="20"/>
        </w:rPr>
        <w:t xml:space="preserve"> </w:t>
      </w:r>
      <w:r>
        <w:rPr>
          <w:rFonts w:ascii="Arial" w:hAnsi="Arial"/>
          <w:color w:val="000000"/>
          <w:sz w:val="18"/>
        </w:rPr>
        <w:t>RSUs were issued to members of the Board of Directors. The RSUs shall vest on the 12-month anniversary of the vesting start date.</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2026, 20,000</w:t>
      </w:r>
      <w:r>
        <w:rPr>
          <w:rFonts w:ascii="Times New Roman" w:hAnsi="Times New Roman"/>
          <w:color w:val="000000"/>
          <w:sz w:val="20"/>
        </w:rPr>
        <w:t xml:space="preserve"> </w:t>
      </w:r>
      <w:r>
        <w:rPr>
          <w:rFonts w:ascii="Arial" w:hAnsi="Arial"/>
          <w:color w:val="000000"/>
          <w:sz w:val="18"/>
        </w:rPr>
        <w:t>RSUs were issued to an existing member of key management. The RSUs shall vest subject to a milestone-based vesting condition based on the achievement of the below milestones:</w:t>
      </w:r>
    </w:p>
    <w:p>
      <w:pPr>
        <w:pStyle w:val="TextBody"/>
        <w:bidi w:val="0"/>
        <w:spacing w:before="120" w:after="283"/>
        <w:jc w:val="left"/>
        <w:rPr>
          <w:rFonts w:ascii="Times New Roman" w:hAnsi="Times New Roman"/>
          <w:sz w:val="20"/>
        </w:rPr>
      </w:pPr>
      <w:r>
        <w:rPr>
          <w:rFonts w:ascii="Arial" w:hAnsi="Arial"/>
          <w:color w:val="000000"/>
          <w:sz w:val="18"/>
        </w:rPr>
        <w:t>(a) Milestone 1- the approval by the U.S. Food and Drug Administration ("FDA") of the Company's New Drug Application ("NDA") for deucrictibant immediate-release capsules for the on-demand treatment of hereditary angioedema ("HAE") attacks: Forty percent (40%) of the aggregate number of RSUs (i.e. 8,000</w:t>
      </w:r>
      <w:r>
        <w:rPr>
          <w:rFonts w:ascii="Times New Roman" w:hAnsi="Times New Roman"/>
          <w:color w:val="000000"/>
          <w:sz w:val="20"/>
        </w:rPr>
        <w:t xml:space="preserve"> </w:t>
      </w:r>
      <w:r>
        <w:rPr>
          <w:rFonts w:ascii="Arial" w:hAnsi="Arial"/>
          <w:color w:val="000000"/>
          <w:sz w:val="18"/>
        </w:rPr>
        <w:t>RSUs) shall vest upon the achievement of Milestone 1, as determined by the Board in its sole discretion.</w:t>
      </w:r>
    </w:p>
    <w:p>
      <w:pPr>
        <w:pStyle w:val="TextBody"/>
        <w:bidi w:val="0"/>
        <w:spacing w:before="120" w:after="283"/>
        <w:jc w:val="left"/>
        <w:rPr>
          <w:rFonts w:ascii="Times New Roman" w:hAnsi="Times New Roman"/>
          <w:sz w:val="20"/>
        </w:rPr>
      </w:pPr>
      <w:r>
        <w:rPr>
          <w:rFonts w:ascii="Arial" w:hAnsi="Arial"/>
          <w:color w:val="000000"/>
          <w:sz w:val="18"/>
        </w:rPr>
        <w:t>(b) Milestone 2 - the approval by the U.S. Food and Drug Administration ("FDA") of the Company's New Drug Application ("NDA") for deucrictibant extended-release tablets for the prophylactic treatment of hereditary angioedema ("HAE") attacks: Sixty percent (60%) of the aggregate number of RSUs (i.e. 12,000</w:t>
      </w:r>
      <w:r>
        <w:rPr>
          <w:rFonts w:ascii="Times New Roman" w:hAnsi="Times New Roman"/>
          <w:color w:val="000000"/>
          <w:sz w:val="20"/>
        </w:rPr>
        <w:t xml:space="preserve"> </w:t>
      </w:r>
      <w:r>
        <w:rPr>
          <w:rFonts w:ascii="Arial" w:hAnsi="Arial"/>
          <w:color w:val="000000"/>
          <w:sz w:val="18"/>
        </w:rPr>
        <w:t>RSUs) shall vest upon the achievement of Milestone 2, as determined by the Board in its sole discretion.</w:t>
      </w:r>
    </w:p>
    <w:p>
      <w:pPr>
        <w:pStyle w:val="TextBody"/>
        <w:bidi w:val="0"/>
        <w:spacing w:before="120" w:after="283"/>
        <w:jc w:val="left"/>
        <w:rPr>
          <w:rFonts w:ascii="Times New Roman" w:hAnsi="Times New Roman"/>
          <w:sz w:val="20"/>
        </w:rPr>
      </w:pPr>
      <w:r>
        <w:rPr>
          <w:rFonts w:ascii="Arial" w:hAnsi="Arial"/>
          <w:color w:val="000000"/>
          <w:sz w:val="18"/>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six months of 2026 were: January 1 (€23.63), February 1 (€22.83), March 1 (€24.03), March 3 (€23.05), April 1 (</w:t>
      </w:r>
      <w:r>
        <w:rPr>
          <w:rFonts w:ascii="Times New Roman" w:hAnsi="Times New Roman"/>
          <w:color w:val="000000"/>
          <w:sz w:val="20"/>
        </w:rPr>
        <w:t>€</w:t>
      </w:r>
      <w:r>
        <w:rPr>
          <w:rFonts w:ascii="Arial" w:hAnsi="Arial"/>
          <w:color w:val="000000"/>
          <w:sz w:val="18"/>
        </w:rPr>
        <w:t>25.42), May 1, (€25.12) and June 1 (€25.02), respectively.</w:t>
      </w:r>
    </w:p>
    <w:p>
      <w:pPr>
        <w:pStyle w:val="TextBody"/>
        <w:bidi w:val="0"/>
        <w:spacing w:before="120" w:after="283"/>
        <w:jc w:val="left"/>
        <w:rPr>
          <w:rFonts w:ascii="Times New Roman" w:hAnsi="Times New Roman"/>
          <w:sz w:val="20"/>
        </w:rPr>
      </w:pPr>
      <w:r>
        <w:rPr>
          <w:rFonts w:ascii="Arial" w:hAnsi="Arial"/>
          <w:color w:val="000000"/>
          <w:sz w:val="18"/>
        </w:rPr>
        <w:t>On March 3, 2026, a total of 82,500</w:t>
      </w:r>
      <w:r>
        <w:rPr>
          <w:rFonts w:ascii="Times New Roman" w:hAnsi="Times New Roman"/>
          <w:color w:val="000000"/>
          <w:sz w:val="20"/>
        </w:rPr>
        <w:t xml:space="preserve"> </w:t>
      </w:r>
      <w:r>
        <w:rPr>
          <w:rFonts w:ascii="Arial" w:hAnsi="Arial"/>
          <w:color w:val="000000"/>
          <w:sz w:val="18"/>
        </w:rPr>
        <w:t>stock options were granted to members of the Board of Directors with an exercise price of €24.11</w:t>
      </w:r>
      <w:r>
        <w:rPr>
          <w:rFonts w:ascii="Times New Roman" w:hAnsi="Times New Roman"/>
          <w:color w:val="000000"/>
          <w:sz w:val="20"/>
        </w:rPr>
        <w:t xml:space="preserve"> </w:t>
      </w:r>
      <w:r>
        <w:rPr>
          <w:rFonts w:ascii="Arial" w:hAnsi="Arial"/>
          <w:color w:val="000000"/>
          <w:sz w:val="18"/>
        </w:rPr>
        <w:t>per share with a final exercise date of March 2, 2036, unless forfeited or exercised on an earlier date. 100% of the aggregate number of shares subject to the option shall vest on the 12-month anniversary of the vesting commencement date, subject to the option holder’s continuous service.</w:t>
      </w:r>
    </w:p>
    <w:p>
      <w:pPr>
        <w:pStyle w:val="TextBody"/>
        <w:bidi w:val="0"/>
        <w:spacing w:before="120" w:after="283"/>
        <w:jc w:val="left"/>
        <w:rPr>
          <w:rFonts w:ascii="Times New Roman" w:hAnsi="Times New Roman"/>
          <w:sz w:val="20"/>
        </w:rPr>
      </w:pPr>
      <w:r>
        <w:rPr>
          <w:rFonts w:ascii="Arial" w:hAnsi="Arial"/>
          <w:color w:val="000000"/>
          <w:sz w:val="18"/>
        </w:rPr>
        <w:t>On March 3, 2026, a total of 575,000</w:t>
      </w:r>
      <w:r>
        <w:rPr>
          <w:rFonts w:ascii="Times New Roman" w:hAnsi="Times New Roman"/>
          <w:color w:val="000000"/>
          <w:sz w:val="20"/>
        </w:rPr>
        <w:t xml:space="preserve"> </w:t>
      </w:r>
      <w:r>
        <w:rPr>
          <w:rFonts w:ascii="Arial" w:hAnsi="Arial"/>
          <w:color w:val="000000"/>
          <w:sz w:val="18"/>
        </w:rPr>
        <w:t>stock options were granted to members of key management with an exercise price of €24.11</w:t>
      </w:r>
      <w:r>
        <w:rPr>
          <w:rFonts w:ascii="Times New Roman" w:hAnsi="Times New Roman"/>
          <w:color w:val="000000"/>
          <w:sz w:val="20"/>
        </w:rPr>
        <w:t xml:space="preserve"> </w:t>
      </w:r>
      <w:r>
        <w:rPr>
          <w:rFonts w:ascii="Arial" w:hAnsi="Arial"/>
          <w:color w:val="000000"/>
          <w:sz w:val="18"/>
        </w:rPr>
        <w:t>per share with a final exercise date of March 2, 2036,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pStyle w:val="TextBody"/>
        <w:bidi w:val="0"/>
        <w:spacing w:before="120" w:after="283"/>
        <w:jc w:val="left"/>
        <w:rPr>
          <w:rFonts w:ascii="Times New Roman" w:hAnsi="Times New Roman"/>
          <w:sz w:val="20"/>
        </w:rPr>
      </w:pPr>
      <w:r>
        <w:rPr>
          <w:rFonts w:ascii="Arial" w:hAnsi="Arial"/>
          <w:color w:val="000000"/>
          <w:sz w:val="18"/>
        </w:rPr>
        <w:t>On June 1, 2026, 60,000</w:t>
      </w:r>
      <w:r>
        <w:rPr>
          <w:rFonts w:ascii="Times New Roman" w:hAnsi="Times New Roman"/>
          <w:color w:val="000000"/>
          <w:sz w:val="20"/>
        </w:rPr>
        <w:t xml:space="preserve"> </w:t>
      </w:r>
      <w:r>
        <w:rPr>
          <w:rFonts w:ascii="Arial" w:hAnsi="Arial"/>
          <w:color w:val="000000"/>
          <w:sz w:val="18"/>
        </w:rPr>
        <w:t>Options were issued to an existing member of key management. The Options shall vest subject to a milestone-based vesting condition based on the achievement of the below milestones:</w:t>
      </w:r>
    </w:p>
    <w:p>
      <w:pPr>
        <w:pStyle w:val="TextBody"/>
        <w:bidi w:val="0"/>
        <w:spacing w:before="120" w:after="283"/>
        <w:jc w:val="left"/>
        <w:rPr>
          <w:rFonts w:ascii="Times New Roman" w:hAnsi="Times New Roman"/>
          <w:sz w:val="20"/>
        </w:rPr>
      </w:pPr>
      <w:r>
        <w:rPr>
          <w:rFonts w:ascii="Arial" w:hAnsi="Arial"/>
          <w:color w:val="000000"/>
          <w:sz w:val="18"/>
        </w:rPr>
        <w:t>Milestone 1 - the approval by the U.S. Food and Drug Administration ("FDA") of the Company's New Drug Application ("NDA") for deucrictibant immediate-release capsules for the on-demand treatment of hereditary angioedema ("HAE") attacks: Forty percent (40%) of the aggregate number of Shares subject to the Option (i.e. 24,000</w:t>
      </w:r>
      <w:r>
        <w:rPr>
          <w:rFonts w:ascii="Times New Roman" w:hAnsi="Times New Roman"/>
          <w:color w:val="000000"/>
          <w:sz w:val="20"/>
        </w:rPr>
        <w:t xml:space="preserve"> </w:t>
      </w:r>
      <w:r>
        <w:rPr>
          <w:rFonts w:ascii="Arial" w:hAnsi="Arial"/>
          <w:color w:val="000000"/>
          <w:sz w:val="18"/>
        </w:rPr>
        <w:t>options) shall vest upon the achievement of Milestone 1, as determined by the Board in its sole discretion.</w:t>
      </w:r>
    </w:p>
    <w:p>
      <w:pPr>
        <w:pStyle w:val="TextBody"/>
        <w:bidi w:val="0"/>
        <w:spacing w:before="120" w:after="283"/>
        <w:jc w:val="left"/>
        <w:rPr>
          <w:rFonts w:ascii="Times New Roman" w:hAnsi="Times New Roman"/>
          <w:sz w:val="20"/>
        </w:rPr>
      </w:pPr>
      <w:r>
        <w:rPr>
          <w:rFonts w:ascii="Arial" w:hAnsi="Arial"/>
          <w:color w:val="000000"/>
          <w:sz w:val="18"/>
        </w:rPr>
        <w:t>Milestone 2 - the approval by the U.S. Food and Drug Administration ("FDA") of the Company's New Drug Application ("NDA") for deucrictibant extended-release tablets for the prophylactic treatment of hereditary angioedema ("HAE")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attacks: Sixty percent (60%) of the aggregate number of Shares subject to the Option (i.e. 36,000</w:t>
      </w:r>
      <w:r>
        <w:rPr>
          <w:rFonts w:ascii="Times New Roman" w:hAnsi="Times New Roman"/>
          <w:color w:val="000000"/>
          <w:sz w:val="20"/>
        </w:rPr>
        <w:t xml:space="preserve"> </w:t>
      </w:r>
      <w:r>
        <w:rPr>
          <w:rFonts w:ascii="Arial" w:hAnsi="Arial"/>
          <w:color w:val="000000"/>
          <w:sz w:val="18"/>
        </w:rPr>
        <w:t>options) shall vest upon the achievement of Milestone 2, as determined by the Board in its sole discretion.</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As of June 30, 2026, a total number of 2,858,237</w:t>
      </w:r>
      <w:r>
        <w:rPr>
          <w:rFonts w:ascii="Times New Roman" w:hAnsi="Times New Roman"/>
          <w:color w:val="000000"/>
          <w:sz w:val="20"/>
        </w:rPr>
        <w:t xml:space="preserve"> </w:t>
      </w:r>
      <w:r>
        <w:rPr>
          <w:rFonts w:ascii="Arial" w:hAnsi="Arial"/>
          <w:color w:val="000000"/>
          <w:sz w:val="18"/>
        </w:rPr>
        <w:t>stock options are exercisable (June 30, 2025: 2,601,619).</w:t>
      </w:r>
    </w:p>
    <w:p>
      <w:pPr>
        <w:pStyle w:val="TextBody"/>
        <w:bidi w:val="0"/>
        <w:spacing w:before="120" w:after="283"/>
        <w:jc w:val="left"/>
        <w:rPr>
          <w:rFonts w:ascii="Times New Roman" w:hAnsi="Times New Roman"/>
          <w:sz w:val="20"/>
        </w:rPr>
      </w:pPr>
      <w:r>
        <w:rPr>
          <w:rFonts w:ascii="Arial" w:hAnsi="Arial"/>
          <w:color w:val="000000"/>
          <w:sz w:val="18"/>
        </w:rPr>
        <w:t xml:space="preserve">For the six months ended June 30, 2026, the Group recognized </w:t>
      </w:r>
      <w:r>
        <w:rPr>
          <w:rFonts w:ascii="Times New Roman" w:hAnsi="Times New Roman"/>
          <w:color w:val="000000"/>
          <w:sz w:val="20"/>
        </w:rPr>
        <w:t>€</w:t>
      </w:r>
      <w:r>
        <w:rPr>
          <w:rFonts w:ascii="Arial" w:hAnsi="Arial"/>
          <w:color w:val="000000"/>
          <w:sz w:val="18"/>
        </w:rPr>
        <w:t>11.5</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of share-based payment expense in the unaudited condensed consolidated statement of income or loss and other comprehensive income (six months ended June 30, 2025: €9.6</w:t>
      </w:r>
      <w:r>
        <w:rPr>
          <w:rFonts w:ascii="Times New Roman" w:hAnsi="Times New Roman"/>
          <w:color w:val="000000"/>
          <w:sz w:val="20"/>
        </w:rPr>
        <w:t xml:space="preserve"> </w:t>
      </w:r>
      <w:r>
        <w:rPr>
          <w:rFonts w:ascii="Arial" w:hAnsi="Arial"/>
          <w:color w:val="000000"/>
          <w:sz w:val="18"/>
        </w:rPr>
        <w:t>million).</w:t>
      </w:r>
    </w:p>
    <w:p>
      <w:pPr>
        <w:pStyle w:val="TextBody"/>
        <w:bidi w:val="0"/>
        <w:spacing w:before="120" w:after="283"/>
        <w:jc w:val="left"/>
        <w:rPr>
          <w:rFonts w:ascii="Arial" w:hAnsi="Arial"/>
          <w:color w:val="000000"/>
          <w:sz w:val="18"/>
        </w:rPr>
      </w:pPr>
      <w:r>
        <w:rPr>
          <w:rFonts w:ascii="Arial" w:hAnsi="Arial"/>
          <w:color w:val="000000"/>
          <w:sz w:val="18"/>
        </w:rPr>
        <w:t>The inputs and outputs used in the measurement of the fair value per option at each grant/ measurement date using the Black-Scholes formula (including the related number of options and the fair value of the options)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37"/>
        <w:gridCol w:w="146"/>
        <w:gridCol w:w="327"/>
        <w:gridCol w:w="871"/>
        <w:gridCol w:w="256"/>
        <w:gridCol w:w="338"/>
        <w:gridCol w:w="901"/>
        <w:gridCol w:w="256"/>
        <w:gridCol w:w="327"/>
        <w:gridCol w:w="1001"/>
        <w:gridCol w:w="256"/>
        <w:gridCol w:w="360"/>
        <w:gridCol w:w="959"/>
        <w:gridCol w:w="256"/>
        <w:gridCol w:w="347"/>
        <w:gridCol w:w="1062"/>
        <w:gridCol w:w="305"/>
      </w:tblGrid>
      <w:tr>
        <w:trPr/>
        <w:tc>
          <w:tcPr>
            <w:tcW w:w="2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12,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12, 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555,000</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the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the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 Granted to the Board of Directors</w:t>
      </w:r>
    </w:p>
    <w:p>
      <w:pPr>
        <w:pStyle w:val="TextBody"/>
        <w:bidi w:val="0"/>
        <w:jc w:val="left"/>
        <w:rPr>
          <w:rFonts w:ascii="Times New Roman" w:hAnsi="Times New Roman"/>
          <w:color w:val="000000"/>
          <w:sz w:val="15"/>
        </w:rPr>
      </w:pPr>
      <w:r>
        <w:rPr>
          <w:rFonts w:ascii="Times New Roman" w:hAnsi="Times New Roman"/>
          <w:color w:val="000000"/>
          <w:sz w:val="15"/>
        </w:rPr>
        <w:t>** Granted to members of key management</w:t>
      </w:r>
    </w:p>
    <w:p>
      <w:pPr>
        <w:pStyle w:val="TextBody"/>
        <w:bidi w:val="0"/>
        <w:spacing w:before="120" w:after="283"/>
        <w:jc w:val="left"/>
        <w:rPr>
          <w:rFonts w:ascii="Arial" w:hAnsi="Arial"/>
          <w:b/>
          <w:color w:val="000000"/>
          <w:sz w:val="20"/>
        </w:rPr>
      </w:pPr>
      <w:r>
        <w:rPr>
          <w:rFonts w:ascii="Arial" w:hAnsi="Arial"/>
          <w:b/>
          <w:color w:val="000000"/>
          <w:sz w:val="20"/>
        </w:rPr>
        <w:t>19. Basic and diluted loss per share</w:t>
      </w:r>
    </w:p>
    <w:p>
      <w:pPr>
        <w:pStyle w:val="TextBody"/>
        <w:bidi w:val="0"/>
        <w:spacing w:before="120" w:after="283"/>
        <w:jc w:val="left"/>
        <w:rPr>
          <w:rFonts w:ascii="Times New Roman" w:hAnsi="Times New Roman"/>
          <w:sz w:val="20"/>
        </w:rPr>
      </w:pPr>
      <w:r>
        <w:rPr>
          <w:rFonts w:ascii="Arial" w:hAnsi="Arial"/>
          <w:color w:val="000000"/>
          <w:sz w:val="18"/>
        </w:rPr>
        <w:t>Basic and diluted loss per share is calculated by dividing the loss attributable to equity holders of the Company by the weighted average number of issued and outstanding ordinary shares during the three months ended June 30, 2026 and 2025.</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All of the Company’s potential dilutive securities have been excluded from the computation of diluted net loss per share attributable to ordinary stockholders as the effect of including them would be antidilutive.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40"/>
        <w:gridCol w:w="146"/>
        <w:gridCol w:w="166"/>
        <w:gridCol w:w="1111"/>
        <w:gridCol w:w="189"/>
        <w:gridCol w:w="166"/>
        <w:gridCol w:w="166"/>
        <w:gridCol w:w="1111"/>
        <w:gridCol w:w="166"/>
        <w:gridCol w:w="165"/>
        <w:gridCol w:w="1106"/>
        <w:gridCol w:w="188"/>
        <w:gridCol w:w="165"/>
        <w:gridCol w:w="1106"/>
        <w:gridCol w:w="214"/>
      </w:tblGrid>
      <w:tr>
        <w:trPr/>
        <w:tc>
          <w:tcPr>
            <w:tcW w:w="4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(47,842,729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(87,043,402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68,072,885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54,688,182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66,696,719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54,588,321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20.</w:t>
      </w:r>
      <w:r>
        <w:rPr>
          <w:rFonts w:ascii="Times New Roman" w:hAnsi="Times New Roman"/>
          <w:color w:val="000000"/>
          <w:sz w:val="20"/>
        </w:rPr>
        <w:t xml:space="preserve"> </w:t>
      </w:r>
      <w:r>
        <w:rPr>
          <w:rFonts w:ascii="Arial" w:hAnsi="Arial"/>
          <w:b/>
          <w:color w:val="000000"/>
          <w:sz w:val="20"/>
        </w:rPr>
        <w:t>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Claims</w:t>
      </w:r>
    </w:p>
    <w:p>
      <w:pPr>
        <w:pStyle w:val="TextBody"/>
        <w:bidi w:val="0"/>
        <w:spacing w:before="120" w:after="283"/>
        <w:jc w:val="left"/>
        <w:rPr>
          <w:rFonts w:ascii="Times New Roman" w:hAnsi="Times New Roman"/>
          <w:sz w:val="20"/>
        </w:rPr>
      </w:pPr>
      <w:r>
        <w:rPr>
          <w:rFonts w:ascii="Arial" w:hAnsi="Arial"/>
          <w:color w:val="000000"/>
          <w:sz w:val="18"/>
        </w:rPr>
        <w:t>There are no</w:t>
      </w:r>
      <w:r>
        <w:rPr>
          <w:rFonts w:ascii="Times New Roman" w:hAnsi="Times New Roman"/>
          <w:color w:val="000000"/>
          <w:sz w:val="20"/>
        </w:rPr>
        <w:t xml:space="preserve"> </w:t>
      </w:r>
      <w:r>
        <w:rPr>
          <w:rFonts w:ascii="Arial" w:hAnsi="Arial"/>
          <w:color w:val="000000"/>
          <w:sz w:val="18"/>
        </w:rPr>
        <w:t>material claims known to management related to the activities of the Group.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jc w:val="left"/>
        <w:rPr>
          <w:rFonts w:ascii="Times New Roman" w:hAnsi="Times New Roman"/>
          <w:sz w:val="20"/>
        </w:rPr>
      </w:pPr>
      <w:r>
        <w:rPr>
          <w:rFonts w:ascii="Arial" w:hAnsi="Arial"/>
          <w:color w:val="000000"/>
          <w:sz w:val="18"/>
        </w:rPr>
        <w:t xml:space="preserve">The Group's contractual obligations and commitments as of June 30, 2026 amounted to </w:t>
      </w:r>
      <w:r>
        <w:rPr>
          <w:rFonts w:ascii="Times New Roman" w:hAnsi="Times New Roman"/>
          <w:color w:val="000000"/>
          <w:sz w:val="20"/>
        </w:rPr>
        <w:t>€</w:t>
      </w:r>
      <w:r>
        <w:rPr>
          <w:rFonts w:ascii="Arial" w:hAnsi="Arial"/>
          <w:color w:val="000000"/>
          <w:sz w:val="18"/>
        </w:rPr>
        <w:t>118</w:t>
      </w:r>
      <w:r>
        <w:rPr>
          <w:rFonts w:ascii="Times New Roman" w:hAnsi="Times New Roman"/>
          <w:color w:val="000000"/>
          <w:sz w:val="20"/>
        </w:rPr>
        <w:t xml:space="preserve"> </w:t>
      </w:r>
      <w:r>
        <w:rPr>
          <w:rFonts w:ascii="Arial" w:hAnsi="Arial"/>
          <w:color w:val="000000"/>
          <w:sz w:val="18"/>
        </w:rPr>
        <w:t>million, (December 31, 2025: €119.2</w:t>
      </w:r>
      <w:r>
        <w:rPr>
          <w:rFonts w:ascii="Times New Roman" w:hAnsi="Times New Roman"/>
          <w:color w:val="000000"/>
          <w:sz w:val="20"/>
        </w:rPr>
        <w:t xml:space="preserve"> </w:t>
      </w:r>
      <w:r>
        <w:rPr>
          <w:rFonts w:ascii="Arial" w:hAnsi="Arial"/>
          <w:color w:val="000000"/>
          <w:sz w:val="18"/>
        </w:rPr>
        <w:t>million) primarily related to research and development activities.</w:t>
      </w:r>
    </w:p>
    <w:p>
      <w:pPr>
        <w:pStyle w:val="TextBody"/>
        <w:bidi w:val="0"/>
        <w:spacing w:before="120" w:after="283"/>
        <w:jc w:val="left"/>
        <w:rPr>
          <w:rFonts w:ascii="Arial" w:hAnsi="Arial"/>
          <w:color w:val="000000"/>
          <w:sz w:val="18"/>
        </w:rPr>
      </w:pPr>
      <w:r>
        <w:rPr>
          <w:rFonts w:ascii="Arial" w:hAnsi="Arial"/>
          <w:color w:val="000000"/>
          <w:sz w:val="18"/>
        </w:rPr>
        <w:t>The Group had no contingent liabilities and no contingent assets as of June 30, 2026 and December 31, 2025.</w:t>
      </w:r>
    </w:p>
    <w:p>
      <w:pPr>
        <w:pStyle w:val="TextBody"/>
        <w:bidi w:val="0"/>
        <w:spacing w:before="120" w:after="283"/>
        <w:jc w:val="left"/>
        <w:rPr>
          <w:rFonts w:ascii="Arial" w:hAnsi="Arial"/>
          <w:b/>
          <w:color w:val="000000"/>
          <w:sz w:val="20"/>
        </w:rPr>
      </w:pPr>
      <w:r>
        <w:rPr>
          <w:rFonts w:ascii="Arial" w:hAnsi="Arial"/>
          <w:b/>
          <w:color w:val="000000"/>
          <w:sz w:val="20"/>
        </w:rPr>
        <w:t>21. Related parties</w:t>
      </w:r>
    </w:p>
    <w:p>
      <w:pPr>
        <w:pStyle w:val="TextBody"/>
        <w:bidi w:val="0"/>
        <w:spacing w:before="120" w:after="283"/>
        <w:jc w:val="left"/>
        <w:rPr>
          <w:rFonts w:ascii="Arial" w:hAnsi="Arial"/>
          <w:color w:val="000000"/>
          <w:sz w:val="18"/>
        </w:rPr>
      </w:pPr>
      <w:r>
        <w:rPr>
          <w:rFonts w:ascii="Arial" w:hAnsi="Arial"/>
          <w:color w:val="000000"/>
          <w:sz w:val="18"/>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pStyle w:val="TextBody"/>
        <w:bidi w:val="0"/>
        <w:spacing w:before="12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management personnel compensation</w:t>
      </w:r>
    </w:p>
    <w:p>
      <w:pPr>
        <w:pStyle w:val="TextBody"/>
        <w:bidi w:val="0"/>
        <w:jc w:val="left"/>
        <w:rPr/>
      </w:pPr>
      <w:r>
        <w:rPr/>
        <w:t> </w:t>
      </w:r>
    </w:p>
    <w:tbl>
      <w:tblPr>
        <w:tblW w:w="8340" w:type="dxa"/>
        <w:jc w:val="left"/>
        <w:tblInd w:w="0" w:type="dxa"/>
        <w:tblLayout w:type="fixed"/>
        <w:tblCellMar>
          <w:top w:w="28" w:type="dxa"/>
          <w:left w:w="28" w:type="dxa"/>
          <w:bottom w:w="28" w:type="dxa"/>
          <w:right w:w="28" w:type="dxa"/>
        </w:tblCellMar>
      </w:tblPr>
      <w:tblGrid>
        <w:gridCol w:w="2191"/>
        <w:gridCol w:w="146"/>
        <w:gridCol w:w="204"/>
        <w:gridCol w:w="1156"/>
        <w:gridCol w:w="204"/>
        <w:gridCol w:w="204"/>
        <w:gridCol w:w="1156"/>
        <w:gridCol w:w="146"/>
        <w:gridCol w:w="183"/>
        <w:gridCol w:w="1153"/>
        <w:gridCol w:w="183"/>
        <w:gridCol w:w="183"/>
        <w:gridCol w:w="1040"/>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 term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985,136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3,807,354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Post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67,732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3,804,580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6,651,041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5,952,342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4,857,448</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4,362,331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10,599,726</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8,703,332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Company engages GrayMatters Consulting BV, a management entity for the purpose of providing key management services to the Company. This management entity is considered a related party, as it provides key management services and exercises key management functions.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aggregate amount of expense recognized in the unaudited condensed consolidated interim financial statements related to this related party was €0.3</w:t>
      </w:r>
      <w:r>
        <w:rPr>
          <w:rFonts w:ascii="Times New Roman" w:hAnsi="Times New Roman"/>
          <w:color w:val="000000"/>
          <w:sz w:val="20"/>
        </w:rPr>
        <w:t xml:space="preserve"> </w:t>
      </w:r>
      <w:r>
        <w:rPr>
          <w:rFonts w:ascii="Arial" w:hAnsi="Arial"/>
          <w:color w:val="000000"/>
          <w:sz w:val="18"/>
        </w:rPr>
        <w:t xml:space="preserve">million and </w:t>
      </w:r>
      <w:r>
        <w:rPr>
          <w:rFonts w:ascii="Times New Roman" w:hAnsi="Times New Roman"/>
          <w:color w:val="000000"/>
          <w:sz w:val="20"/>
        </w:rPr>
        <w:t>€</w:t>
      </w:r>
      <w:r>
        <w:rPr>
          <w:rFonts w:ascii="Arial" w:hAnsi="Arial"/>
          <w:color w:val="000000"/>
          <w:sz w:val="18"/>
        </w:rPr>
        <w:t>0.4</w:t>
      </w:r>
      <w:r>
        <w:rPr>
          <w:rFonts w:ascii="Times New Roman" w:hAnsi="Times New Roman"/>
          <w:color w:val="000000"/>
          <w:sz w:val="20"/>
        </w:rPr>
        <w:t xml:space="preserve"> </w:t>
      </w:r>
      <w:r>
        <w:rPr>
          <w:rFonts w:ascii="Arial" w:hAnsi="Arial"/>
          <w:color w:val="000000"/>
          <w:sz w:val="18"/>
        </w:rPr>
        <w:t>million in the six months ended June 30, 2026 and 2025,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outstanding balances payable to key management personnel, or entities which they control, as per June 30, 2026</w:t>
      </w:r>
      <w:r>
        <w:rPr>
          <w:rFonts w:ascii="Times New Roman" w:hAnsi="Times New Roman"/>
          <w:color w:val="000000"/>
          <w:sz w:val="20"/>
        </w:rPr>
        <w:t xml:space="preserve"> </w:t>
      </w:r>
      <w:r>
        <w:rPr>
          <w:rFonts w:ascii="Arial" w:hAnsi="Arial"/>
          <w:color w:val="000000"/>
          <w:sz w:val="18"/>
        </w:rPr>
        <w:t>and December 31, 2025 were €1.0</w:t>
      </w:r>
      <w:r>
        <w:rPr>
          <w:rFonts w:ascii="Times New Roman" w:hAnsi="Times New Roman"/>
          <w:color w:val="000000"/>
          <w:sz w:val="20"/>
        </w:rPr>
        <w:t xml:space="preserve"> </w:t>
      </w:r>
      <w:r>
        <w:rPr>
          <w:rFonts w:ascii="Arial" w:hAnsi="Arial"/>
          <w:color w:val="000000"/>
          <w:sz w:val="18"/>
        </w:rPr>
        <w:t>million and €1.6</w:t>
      </w:r>
      <w:r>
        <w:rPr>
          <w:rFonts w:ascii="Times New Roman" w:hAnsi="Times New Roman"/>
          <w:color w:val="000000"/>
          <w:sz w:val="20"/>
        </w:rPr>
        <w:t xml:space="preserve"> </w:t>
      </w:r>
      <w:r>
        <w:rPr>
          <w:rFonts w:ascii="Arial" w:hAnsi="Arial"/>
          <w:color w:val="000000"/>
          <w:sz w:val="18"/>
        </w:rPr>
        <w:t>million, respectively.</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22. Events after the reporting period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Company has evaluated subsequent events through August 12, 2026, which is the date the condensed consolidated interim financial statements were authorized for issuance, and did not identify any significant event after reporting period that needs to be disclosed.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Arial" w:hAnsi="Arial"/>
          <w:b/>
          <w:color w:val="000000"/>
          <w:sz w:val="20"/>
        </w:rPr>
      </w:pPr>
      <w:r>
        <w:rPr>
          <w:rFonts w:ascii="Arial" w:hAnsi="Arial"/>
          <w:b/>
          <w:color w:val="000000"/>
          <w:sz w:val="20"/>
        </w:rPr>
        <w:t>Signatories to the unaudited condensed consolidated interim financial statements</w:t>
      </w:r>
    </w:p>
    <w:p>
      <w:pPr>
        <w:pStyle w:val="TextBody"/>
        <w:bidi w:val="0"/>
        <w:jc w:val="left"/>
        <w:rPr>
          <w:rFonts w:ascii="Arial" w:hAnsi="Arial"/>
          <w:color w:val="000000"/>
          <w:sz w:val="20"/>
        </w:rPr>
      </w:pPr>
      <w:r>
        <w:rPr>
          <w:rFonts w:ascii="Arial" w:hAnsi="Arial"/>
          <w:color w:val="000000"/>
          <w:sz w:val="20"/>
        </w:rPr>
        <w:t>Leiden, August 12, 2026</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Pharvaris N.V.</w:t>
      </w:r>
    </w:p>
    <w:p>
      <w:pPr>
        <w:pStyle w:val="TextBody"/>
        <w:bidi w:val="0"/>
        <w:jc w:val="left"/>
        <w:rPr>
          <w:rFonts w:ascii="Arial" w:hAnsi="Arial"/>
          <w:color w:val="000000"/>
          <w:sz w:val="20"/>
        </w:rPr>
      </w:pPr>
      <w:r>
        <w:rPr>
          <w:rFonts w:ascii="Arial" w:hAnsi="Arial"/>
          <w:color w:val="000000"/>
          <w:sz w:val="20"/>
        </w:rPr>
        <w:t>Board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1291"/>
        <w:gridCol w:w="1486"/>
      </w:tblGrid>
      <w:tr>
        <w:trPr/>
        <w:tc>
          <w:tcPr>
            <w:tcW w:w="12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B.A.E. Modig</w:t>
            </w:r>
          </w:p>
        </w:tc>
        <w:tc>
          <w:tcPr>
            <w:tcW w:w="14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R.H. Glassman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07" w:type="dxa"/>
        <w:jc w:val="left"/>
        <w:tblInd w:w="0" w:type="dxa"/>
        <w:tblLayout w:type="fixed"/>
        <w:tblCellMar>
          <w:top w:w="28" w:type="dxa"/>
          <w:left w:w="28" w:type="dxa"/>
          <w:bottom w:w="28" w:type="dxa"/>
          <w:right w:w="28" w:type="dxa"/>
        </w:tblCellMar>
      </w:tblPr>
      <w:tblGrid>
        <w:gridCol w:w="826"/>
        <w:gridCol w:w="1681"/>
      </w:tblGrid>
      <w:tr>
        <w:trPr/>
        <w:tc>
          <w:tcPr>
            <w:tcW w:w="8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 Björk</w:t>
            </w:r>
          </w:p>
        </w:tc>
        <w:tc>
          <w:tcPr>
            <w:tcW w:w="1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J.G.C.P. Schikan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312" w:type="dxa"/>
        <w:jc w:val="left"/>
        <w:tblInd w:w="0" w:type="dxa"/>
        <w:tblLayout w:type="fixed"/>
        <w:tblCellMar>
          <w:top w:w="28" w:type="dxa"/>
          <w:left w:w="28" w:type="dxa"/>
          <w:bottom w:w="28" w:type="dxa"/>
          <w:right w:w="28" w:type="dxa"/>
        </w:tblCellMar>
      </w:tblPr>
      <w:tblGrid>
        <w:gridCol w:w="1216"/>
        <w:gridCol w:w="1096"/>
      </w:tblGrid>
      <w:tr>
        <w:trPr/>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D.P. Meeker</w:t>
            </w:r>
          </w:p>
        </w:tc>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 Monges</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15205</Words>
  <Characters>85207</Characters>
  <CharactersWithSpaces>101027</CharactersWithSpaces>
  <Paragraphs>5123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