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04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048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 Peng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446"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04/29/2026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69,816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04/29/2026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30.0649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62,350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04/30/2026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81,083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04/30/2026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30.2418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66,083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04/29/2026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3,733</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02/03/2030</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3,733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234,474</w:t>
            </w:r>
            <w:r>
              <w:rPr>
                <w:rFonts w:ascii="Times New Roman" w:cs="Times New Roman" w:eastAsia="Times New Roman" w:hAnsi="Times New Roman"/>
                <w:sz w:val="21"/>
                <w:szCs w:val="21"/>
                <w:color w:val="008000"/>
                <w:vertAlign w:val="superscript"/>
              </w:rPr>
              <w:t>(5)</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7"/>
                <w:szCs w:val="17"/>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15,000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02/03/2030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206" w:lineRule="exact"/>
              <w:rPr>
                <w:sz w:val="20"/>
                <w:szCs w:val="20"/>
                <w:color w:val="auto"/>
              </w:rPr>
            </w:pPr>
            <w:r>
              <w:rPr>
                <w:rFonts w:ascii="Times New Roman" w:cs="Times New Roman" w:eastAsia="Times New Roman" w:hAnsi="Times New Roman"/>
                <w:sz w:val="13"/>
                <w:szCs w:val="13"/>
                <w:color w:val="0000FF"/>
              </w:rPr>
              <w:t>219,474</w:t>
            </w:r>
            <w:r>
              <w:rPr>
                <w:rFonts w:ascii="Times New Roman" w:cs="Times New Roman" w:eastAsia="Times New Roman" w:hAnsi="Times New Roman"/>
                <w:sz w:val="21"/>
                <w:szCs w:val="21"/>
                <w:color w:val="008000"/>
                <w:vertAlign w:val="superscript"/>
              </w:rPr>
              <w:t>(5)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$30.00 to $30.20.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$30.75 to $30.2418.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February 3, 2021 with the remaining shares vesting in 1/48 monthly installments thereafter.</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derivative securities beneficially owned following the reported transaction has been updated to correct an error in the number of options remaining from this grant as previously reported. This correction does not reflect a new transaction.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Marnus Nel,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Peng Lu</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2159"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2026-05-01T18:10:45Z</dcterms:created>
  <dcterms:modified xsi:type="dcterms:W3CDTF">2026-05-01T18:10:45Z</dcterms:modified>
</cp:coreProperties>
</file>