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2025</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38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June 10, 2025, Pharvaris N.V. (the “Company”) issued a press release announcing its 2025 annual general meeting of shareholders to be held on June 27, 2025 and made available to its shareholders certain other materials in connection with such meeting. A copy of the press release is attached hereto as Exhibit 99.1 and is incorporated by reference herein. The materials made available to the Company’s shareholders are attached as Exhibits 99.2 and 99.3 hereto and are incorporated by reference herein. Exhibit 99.4 contains the Company’s Annual Report for the year ended December 31, 2024, which is furnished herewith.</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940" w:type="dxa"/>
            <w:vAlign w:val="bottom"/>
            <w:gridSpan w:val="2"/>
          </w:tcPr>
          <w:p>
            <w:pPr>
              <w:ind w:left="2340"/>
              <w:spacing w:after="0"/>
              <w:rPr>
                <w:sz w:val="20"/>
                <w:szCs w:val="20"/>
                <w:color w:val="auto"/>
              </w:rPr>
            </w:pPr>
            <w:r>
              <w:rPr>
                <w:rFonts w:ascii="Arial" w:cs="Arial" w:eastAsia="Arial" w:hAnsi="Arial"/>
                <w:sz w:val="18"/>
                <w:szCs w:val="18"/>
                <w:b w:val="1"/>
                <w:bCs w:val="1"/>
                <w:color w:val="auto"/>
              </w:rPr>
              <w:t>PHARVARIS N.V.</w:t>
            </w:r>
          </w:p>
        </w:tc>
      </w:tr>
      <w:tr>
        <w:trPr>
          <w:trHeight w:val="414"/>
        </w:trPr>
        <w:tc>
          <w:tcPr>
            <w:tcW w:w="3300" w:type="dxa"/>
            <w:vAlign w:val="bottom"/>
            <w:gridSpan w:val="3"/>
          </w:tcPr>
          <w:p>
            <w:pPr>
              <w:spacing w:after="0"/>
              <w:rPr>
                <w:sz w:val="20"/>
                <w:szCs w:val="20"/>
                <w:color w:val="auto"/>
              </w:rPr>
            </w:pPr>
            <w:r>
              <w:rPr>
                <w:rFonts w:ascii="Arial" w:cs="Arial" w:eastAsia="Arial" w:hAnsi="Arial"/>
                <w:sz w:val="18"/>
                <w:szCs w:val="18"/>
                <w:color w:val="auto"/>
              </w:rPr>
              <w:t>Date: June 10, 2025</w:t>
            </w:r>
          </w:p>
        </w:tc>
        <w:tc>
          <w:tcPr>
            <w:tcW w:w="3260" w:type="dxa"/>
            <w:vAlign w:val="bottom"/>
          </w:tcPr>
          <w:p>
            <w:pPr>
              <w:ind w:left="234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197"/>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60" w:type="dxa"/>
            <w:vAlign w:val="bottom"/>
          </w:tcPr>
          <w:p>
            <w:pPr>
              <w:ind w:left="2340"/>
              <w:spacing w:after="0" w:line="197"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7" w:lineRule="exact"/>
              <w:rPr>
                <w:sz w:val="20"/>
                <w:szCs w:val="20"/>
                <w:color w:val="auto"/>
              </w:rPr>
            </w:pPr>
            <w:r>
              <w:rPr>
                <w:rFonts w:ascii="Arial" w:cs="Arial" w:eastAsia="Arial" w:hAnsi="Arial"/>
                <w:sz w:val="18"/>
                <w:szCs w:val="18"/>
                <w:color w:val="auto"/>
              </w:rPr>
              <w:t>Berndt Modig</w:t>
            </w:r>
          </w:p>
        </w:tc>
      </w:tr>
      <w:tr>
        <w:trPr>
          <w:trHeight w:val="239"/>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60" w:type="dxa"/>
            <w:vAlign w:val="bottom"/>
          </w:tcPr>
          <w:p>
            <w:pPr>
              <w:ind w:left="234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40"/>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60" w:type="dxa"/>
            <w:vAlign w:val="bottom"/>
          </w:tcPr>
          <w:p>
            <w:pPr>
              <w:ind w:left="1660"/>
              <w:spacing w:after="0"/>
              <w:rPr>
                <w:sz w:val="20"/>
                <w:szCs w:val="20"/>
                <w:color w:val="auto"/>
              </w:rPr>
            </w:pPr>
            <w:r>
              <w:rPr>
                <w:rFonts w:ascii="Arial" w:cs="Arial" w:eastAsia="Arial" w:hAnsi="Arial"/>
                <w:sz w:val="18"/>
                <w:szCs w:val="18"/>
                <w:b w:val="1"/>
                <w:bCs w:val="1"/>
                <w:color w:val="auto"/>
              </w:rPr>
              <w:t>EXHIBIT INDEX</w:t>
            </w:r>
          </w:p>
        </w:tc>
        <w:tc>
          <w:tcPr>
            <w:tcW w:w="4680" w:type="dxa"/>
            <w:vAlign w:val="bottom"/>
          </w:tcPr>
          <w:p>
            <w:pPr>
              <w:spacing w:after="0"/>
              <w:rPr>
                <w:sz w:val="24"/>
                <w:szCs w:val="24"/>
                <w:color w:val="auto"/>
              </w:rPr>
            </w:pPr>
          </w:p>
        </w:tc>
      </w:tr>
      <w:tr>
        <w:trPr>
          <w:trHeight w:val="379"/>
        </w:trPr>
        <w:tc>
          <w:tcPr>
            <w:tcW w:w="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No.</w:t>
            </w:r>
          </w:p>
        </w:tc>
        <w:tc>
          <w:tcPr>
            <w:tcW w:w="10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ind w:left="2400"/>
              <w:spacing w:after="0"/>
              <w:rPr>
                <w:sz w:val="20"/>
                <w:szCs w:val="20"/>
                <w:color w:val="auto"/>
              </w:rPr>
            </w:pPr>
            <w:r>
              <w:rPr>
                <w:rFonts w:ascii="Arial" w:cs="Arial" w:eastAsia="Arial" w:hAnsi="Arial"/>
                <w:sz w:val="16"/>
                <w:szCs w:val="16"/>
                <w:b w:val="1"/>
                <w:bCs w:val="1"/>
                <w:color w:val="auto"/>
              </w:rPr>
              <w:t>Description</w:t>
            </w:r>
          </w:p>
        </w:tc>
      </w:tr>
    </w:tbl>
    <w:p>
      <w:pPr>
        <w:spacing w:after="0" w:line="107"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6"/>
          <w:szCs w:val="16"/>
          <w:u w:val="single" w:color="auto"/>
          <w:color w:val="0000FF"/>
        </w:rPr>
        <w:t>99.1</w:t>
      </w:r>
      <w:r>
        <w:rPr>
          <w:sz w:val="20"/>
          <w:szCs w:val="20"/>
          <w:color w:val="auto"/>
        </w:rPr>
        <w:tab/>
      </w:r>
      <w:r>
        <w:rPr>
          <w:rFonts w:ascii="Arial" w:cs="Arial" w:eastAsia="Arial" w:hAnsi="Arial"/>
          <w:sz w:val="16"/>
          <w:szCs w:val="16"/>
          <w:u w:val="single" w:color="auto"/>
          <w:color w:val="0000FF"/>
        </w:rPr>
        <w:t>Press Release dated June 10, 2025.</w:t>
      </w:r>
    </w:p>
    <w:p>
      <w:pPr>
        <w:spacing w:after="0" w:line="21"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6"/>
          <w:szCs w:val="16"/>
          <w:u w:val="single" w:color="auto"/>
          <w:color w:val="0000FF"/>
        </w:rPr>
        <w:t>99.2</w:t>
      </w:r>
      <w:r>
        <w:rPr>
          <w:sz w:val="20"/>
          <w:szCs w:val="20"/>
          <w:color w:val="auto"/>
        </w:rPr>
        <w:tab/>
      </w:r>
      <w:r>
        <w:rPr>
          <w:rFonts w:ascii="Arial" w:cs="Arial" w:eastAsia="Arial" w:hAnsi="Arial"/>
          <w:sz w:val="16"/>
          <w:szCs w:val="16"/>
          <w:u w:val="single" w:color="auto"/>
          <w:color w:val="0000FF"/>
        </w:rPr>
        <w:t>Convening Notice, including Agenda and Explanatory Notes.</w:t>
      </w:r>
    </w:p>
    <w:p>
      <w:pPr>
        <w:spacing w:after="0" w:line="5"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6"/>
          <w:szCs w:val="16"/>
          <w:u w:val="single" w:color="auto"/>
          <w:color w:val="0000FF"/>
        </w:rPr>
        <w:t>99.3</w:t>
      </w:r>
      <w:r>
        <w:rPr>
          <w:sz w:val="20"/>
          <w:szCs w:val="20"/>
          <w:color w:val="auto"/>
        </w:rPr>
        <w:tab/>
      </w:r>
      <w:r>
        <w:rPr>
          <w:rFonts w:ascii="Arial" w:cs="Arial" w:eastAsia="Arial" w:hAnsi="Arial"/>
          <w:sz w:val="16"/>
          <w:szCs w:val="16"/>
          <w:u w:val="single" w:color="auto"/>
          <w:color w:val="0000FF"/>
        </w:rPr>
        <w:t>Voting Proxy</w:t>
      </w:r>
    </w:p>
    <w:p>
      <w:pPr>
        <w:spacing w:after="0" w:line="5"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6"/>
          <w:szCs w:val="16"/>
          <w:u w:val="single" w:color="auto"/>
          <w:color w:val="0000FF"/>
        </w:rPr>
        <w:t>99.4</w:t>
      </w:r>
      <w:r>
        <w:rPr>
          <w:sz w:val="20"/>
          <w:szCs w:val="20"/>
          <w:color w:val="auto"/>
        </w:rPr>
        <w:tab/>
      </w:r>
      <w:r>
        <w:rPr>
          <w:rFonts w:ascii="Arial" w:cs="Arial" w:eastAsia="Arial" w:hAnsi="Arial"/>
          <w:sz w:val="16"/>
          <w:szCs w:val="16"/>
          <w:u w:val="single" w:color="auto"/>
          <w:color w:val="0000FF"/>
        </w:rPr>
        <w:t>Pharvaris N.V. Annual Report for the year ended December 31, 2024 (prepared in accordance with IFRS-EU).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4871720</wp:posOffset>
            </wp:positionH>
            <wp:positionV relativeFrom="page">
              <wp:posOffset>791845</wp:posOffset>
            </wp:positionV>
            <wp:extent cx="2468880"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6004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Pharvaris Announces Annual Meeting of Shareholders</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Zug, Switzerland, June 10, 2025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Pharvaris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PHVS), a late-stage biopharmaceutical company developing novel, oral bradykinin</w:t>
      </w:r>
      <w:r>
        <w:rPr>
          <w:rFonts w:ascii="Arial" w:cs="Arial" w:eastAsia="Arial" w:hAnsi="Arial"/>
          <w:sz w:val="18"/>
          <w:szCs w:val="18"/>
          <w:b w:val="1"/>
          <w:bCs w:val="1"/>
          <w:color w:val="auto"/>
        </w:rPr>
        <w:t xml:space="preserve"> </w:t>
      </w:r>
      <w:r>
        <w:rPr>
          <w:rFonts w:ascii="Arial" w:cs="Arial" w:eastAsia="Arial" w:hAnsi="Arial"/>
          <w:sz w:val="18"/>
          <w:szCs w:val="18"/>
          <w:color w:val="auto"/>
        </w:rPr>
        <w:t>B2 receptor antagonists to help address unmet needs of those living with bradykinin-mediated diseases such as hereditary angioedema (HAE) and acquired angioedema due to C1 inhibitor deficiency (AAE-C1INH), today announced the annual general meeting of shareholders will take place on Friday, June 27, 2025, at 16:00 CEST (10:00 a.m. EDT).</w:t>
      </w:r>
    </w:p>
    <w:p>
      <w:pPr>
        <w:spacing w:after="0" w:line="16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All relevant documents and information relating to the annual general meeting, including the notice and agenda for the annual general meeting, are or will be made available in the “Investors” section of Pharvaris’ website under “Events &amp; Presentations”. The documents will also be made available on the SEC’s website at www.sec.gov. Shareholders who wish to attend the meeting should register as described in the notice and agenda for the annual general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Pharvaris</w:t>
      </w:r>
    </w:p>
    <w:p>
      <w:pPr>
        <w:spacing w:after="0" w:line="1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 xml:space="preserve">Pharvaris is a late-stage biopharmaceutical company developing novel, oral bradykinin B2 receptor antagonists to potentially address all types of bradykinin-mediated angioedema. Pharvaris intends to provide injectable-like efficacy™ and placebo-like tolerability with the convenience of oral therapies to prevent and treat bradykinin-mediated angioedema attacks. With positive data in both Phase 2 prophylaxis and on-demand studies in HAE, Pharvaris is currently evaluating the efficacy and safety of deucrictibant in a pivotal Phase 3 study for the prevention of HAE attacks (CHAPTER-3) and a pivotal Phase 3 study for the on-demand treatment of HAE attacks (RAPIDe-3). For more information, visit </w:t>
      </w:r>
      <w:r>
        <w:rPr>
          <w:rFonts w:ascii="Arial" w:cs="Arial" w:eastAsia="Arial" w:hAnsi="Arial"/>
          <w:sz w:val="18"/>
          <w:szCs w:val="18"/>
          <w:u w:val="single" w:color="auto"/>
          <w:color w:val="0563C1"/>
        </w:rPr>
        <w:t>https://pharvaris.com/</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Maggie Beller</w:t>
      </w:r>
    </w:p>
    <w:p>
      <w:pPr>
        <w:spacing w:after="0" w:line="234" w:lineRule="auto"/>
        <w:rPr>
          <w:sz w:val="20"/>
          <w:szCs w:val="20"/>
          <w:color w:val="auto"/>
        </w:rPr>
      </w:pPr>
      <w:r>
        <w:rPr>
          <w:rFonts w:ascii="Arial" w:cs="Arial" w:eastAsia="Arial" w:hAnsi="Arial"/>
          <w:sz w:val="18"/>
          <w:szCs w:val="18"/>
          <w:color w:val="auto"/>
        </w:rPr>
        <w:t>Executive Director, Head of Corporate and Investor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CONVENING NOTICE</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This is the convening notice for the Annual General Meeting of shareholders of Pharvaris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June 27, 2025 at 4:00 p.m. CEST at the offices of NautaDutilh N.V., Beethovenstraat 400, 1082 PR Amsterdam, the Netherlands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agenda for the AGM is as follows:</w:t>
      </w:r>
    </w:p>
    <w:p>
      <w:pPr>
        <w:spacing w:after="0" w:line="229"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Opening</w:t>
      </w:r>
    </w:p>
    <w:p>
      <w:pPr>
        <w:spacing w:after="0" w:line="22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Dutch statutory board report for the fiscal year ended December 31, 2024 (</w:t>
      </w:r>
      <w:r>
        <w:rPr>
          <w:rFonts w:ascii="Times New Roman" w:cs="Times New Roman" w:eastAsia="Times New Roman" w:hAnsi="Times New Roman"/>
          <w:sz w:val="20"/>
          <w:szCs w:val="20"/>
          <w:i w:val="1"/>
          <w:iCs w:val="1"/>
          <w:color w:val="auto"/>
        </w:rPr>
        <w:t>discussion item</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Dutch statutory annual accounts for the fiscal year ended December 31, 2024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Appointment of PricewaterhouseCoopers Accountants N.V. as the Company’s external independent auditor for the fiscal year ending December 31, 2025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Discharge from liability of the Company's directors with respect to the performance of their duties during the fiscal year ended December 31, 2024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the Company's dividend and reservation policy (</w:t>
      </w:r>
      <w:r>
        <w:rPr>
          <w:rFonts w:ascii="Times New Roman" w:cs="Times New Roman" w:eastAsia="Times New Roman" w:hAnsi="Times New Roman"/>
          <w:sz w:val="20"/>
          <w:szCs w:val="20"/>
          <w:i w:val="1"/>
          <w:iCs w:val="1"/>
          <w:color w:val="auto"/>
        </w:rPr>
        <w:t>discussion item</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 of authorization for the Company's board of directors to acquire shares and depository receipts for shares in the Company's capital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Re-appointment of Dr. Meeker as non-executive director of the Company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Re-appointment of Dr. Glassman as non-executive director of the Company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Re-appointment of Ms. Monges as non-executive director of the Company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business shall be voted on at the AGM, except such items as included in the foregoing agenda.</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record date for the AGM is May 30, 2025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All shareholders of record on the Record Date, including those who otherwise have voting rights and/or meeting rights with respect to shares in the Company's capital and who are recorded as such in the Company's shareholders' register or in the register maintained by the Company's U.S. transfer agent may attend and, if relevant, vote at the AGM ("</w:t>
      </w:r>
      <w:r>
        <w:rPr>
          <w:rFonts w:ascii="Times New Roman" w:cs="Times New Roman" w:eastAsia="Times New Roman" w:hAnsi="Times New Roman"/>
          <w:sz w:val="20"/>
          <w:szCs w:val="20"/>
          <w:b w:val="1"/>
          <w:bCs w:val="1"/>
          <w:color w:val="auto"/>
        </w:rPr>
        <w:t>Persons with Meeting Rights</w:t>
      </w:r>
      <w:r>
        <w:rPr>
          <w:rFonts w:ascii="Times New Roman" w:cs="Times New Roman" w:eastAsia="Times New Roman" w:hAnsi="Times New Roman"/>
          <w:sz w:val="20"/>
          <w:szCs w:val="20"/>
          <w:color w:val="auto"/>
        </w:rPr>
        <w:t>"), irrespective of changes to their shareholdings or rights after the Record Date.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Those who beneficially own shares in the Company's capital in an account at a bank, a financial institution, an account holder or other financial intermediary (the "</w:t>
      </w:r>
      <w:r>
        <w:rPr>
          <w:rFonts w:ascii="Times New Roman" w:cs="Times New Roman" w:eastAsia="Times New Roman" w:hAnsi="Times New Roman"/>
          <w:sz w:val="20"/>
          <w:szCs w:val="20"/>
          <w:b w:val="1"/>
          <w:bCs w:val="1"/>
          <w:color w:val="auto"/>
        </w:rPr>
        <w:t>Beneficial Owners</w:t>
      </w:r>
      <w:r>
        <w:rPr>
          <w:rFonts w:ascii="Times New Roman" w:cs="Times New Roman" w:eastAsia="Times New Roman" w:hAnsi="Times New Roman"/>
          <w:sz w:val="20"/>
          <w:szCs w:val="20"/>
          <w:color w:val="auto"/>
        </w:rPr>
        <w:t>") on the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4" w:name="page5"/>
    <w:bookmarkEnd w:id="4"/>
    <w:p>
      <w:pPr>
        <w:jc w:val="both"/>
        <w:spacing w:after="0" w:line="269" w:lineRule="auto"/>
        <w:rPr>
          <w:sz w:val="20"/>
          <w:szCs w:val="20"/>
          <w:color w:val="auto"/>
        </w:rPr>
      </w:pPr>
      <w:r>
        <w:rPr>
          <w:rFonts w:ascii="Times New Roman" w:cs="Times New Roman" w:eastAsia="Times New Roman" w:hAnsi="Times New Roman"/>
          <w:sz w:val="20"/>
          <w:szCs w:val="20"/>
          <w:color w:val="auto"/>
        </w:rPr>
        <w:t>Date, must also have their financial intermediary or their agent with whom the underlying shares are on deposit issue a proxy to them which confirms they are authorized to take part in and vote at the AGM.</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Persons with Meeting Rights and Beneficial Owners who wish to attend the AGM, in person or represented by proxy, must notify the Company in writing of their identity and intention to attend the AGM (an "</w:t>
      </w:r>
      <w:r>
        <w:rPr>
          <w:rFonts w:ascii="Times New Roman" w:cs="Times New Roman" w:eastAsia="Times New Roman" w:hAnsi="Times New Roman"/>
          <w:sz w:val="20"/>
          <w:szCs w:val="20"/>
          <w:b w:val="1"/>
          <w:bCs w:val="1"/>
          <w:color w:val="auto"/>
        </w:rPr>
        <w:t>Attendance Notice</w:t>
      </w:r>
      <w:r>
        <w:rPr>
          <w:rFonts w:ascii="Times New Roman" w:cs="Times New Roman" w:eastAsia="Times New Roman" w:hAnsi="Times New Roman"/>
          <w:sz w:val="20"/>
          <w:szCs w:val="20"/>
          <w:color w:val="auto"/>
        </w:rPr>
        <w:t>") no later than 5:59 a.m. CEST on June 25, 2025 (such time, the "</w:t>
      </w:r>
      <w:r>
        <w:rPr>
          <w:rFonts w:ascii="Times New Roman" w:cs="Times New Roman" w:eastAsia="Times New Roman" w:hAnsi="Times New Roman"/>
          <w:sz w:val="20"/>
          <w:szCs w:val="20"/>
          <w:b w:val="1"/>
          <w:bCs w:val="1"/>
          <w:color w:val="auto"/>
        </w:rPr>
        <w:t>Cut-off Time</w:t>
      </w:r>
      <w:r>
        <w:rPr>
          <w:rFonts w:ascii="Times New Roman" w:cs="Times New Roman" w:eastAsia="Times New Roman" w:hAnsi="Times New Roman"/>
          <w:sz w:val="20"/>
          <w:szCs w:val="20"/>
          <w:color w:val="auto"/>
        </w:rPr>
        <w:t>"). The Attendance Notice must contain the name and number of shares the person will represent in the AGM. Beneficial Owners must also enclose with their Attendance Notice (i) proof of their beneficial ownership of the relevant underlying shares in the Company's capital, such as a recent account statement, and (ii) their signed proxy from their financial intermediary or agent with whom the shares are on deposit.</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Persons with Meeting Rights and Beneficial Owners who have duly provided an Attendance Notice to the Company may have themselves represented at the AGM using a written or electronically recorded proxy. Proxyholders must submit a signed proxy to the Company no later than the Cut-off Time and present a copy of their proxy upon entry to the AGM. A proxy form can be downloaded from the Company's website (http://www.pharvaris.com).</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Attendance Notice, proof of beneficial ownership or signed proxy to be sent to the Company as part of the procedures described above must be provided via regular mail or e-mail to: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Pharvaris N.V.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c/o Chief Legal Officer</w:t>
      </w:r>
    </w:p>
    <w:p>
      <w:pPr>
        <w:jc w:val="center"/>
        <w:spacing w:after="0"/>
        <w:rPr>
          <w:sz w:val="20"/>
          <w:szCs w:val="20"/>
          <w:color w:val="auto"/>
        </w:rPr>
      </w:pPr>
      <w:r>
        <w:rPr>
          <w:rFonts w:ascii="Times New Roman" w:cs="Times New Roman" w:eastAsia="Times New Roman" w:hAnsi="Times New Roman"/>
          <w:sz w:val="20"/>
          <w:szCs w:val="20"/>
          <w:i w:val="1"/>
          <w:iCs w:val="1"/>
          <w:color w:val="auto"/>
        </w:rPr>
        <w:t>Emmy Noetherweg 2</w:t>
      </w:r>
    </w:p>
    <w:p>
      <w:pPr>
        <w:jc w:val="center"/>
        <w:spacing w:after="0"/>
        <w:rPr>
          <w:sz w:val="20"/>
          <w:szCs w:val="20"/>
          <w:color w:val="auto"/>
        </w:rPr>
      </w:pPr>
      <w:r>
        <w:rPr>
          <w:rFonts w:ascii="Times New Roman" w:cs="Times New Roman" w:eastAsia="Times New Roman" w:hAnsi="Times New Roman"/>
          <w:sz w:val="20"/>
          <w:szCs w:val="20"/>
          <w:i w:val="1"/>
          <w:iCs w:val="1"/>
          <w:color w:val="auto"/>
        </w:rPr>
        <w:t>2333 BK Leiden</w:t>
      </w:r>
    </w:p>
    <w:p>
      <w:pPr>
        <w:jc w:val="center"/>
        <w:spacing w:after="0"/>
        <w:rPr>
          <w:sz w:val="20"/>
          <w:szCs w:val="20"/>
          <w:color w:val="auto"/>
        </w:rPr>
      </w:pPr>
      <w:r>
        <w:rPr>
          <w:rFonts w:ascii="Times New Roman" w:cs="Times New Roman" w:eastAsia="Times New Roman" w:hAnsi="Times New Roman"/>
          <w:sz w:val="20"/>
          <w:szCs w:val="20"/>
          <w:i w:val="1"/>
          <w:iCs w:val="1"/>
          <w:color w:val="auto"/>
        </w:rPr>
        <w:t>the Netherlands</w:t>
      </w:r>
    </w:p>
    <w:p>
      <w:pPr>
        <w:jc w:val="center"/>
        <w:spacing w:after="0"/>
        <w:rPr>
          <w:sz w:val="20"/>
          <w:szCs w:val="20"/>
          <w:color w:val="auto"/>
        </w:rPr>
      </w:pPr>
      <w:r>
        <w:rPr>
          <w:rFonts w:ascii="Times New Roman" w:cs="Times New Roman" w:eastAsia="Times New Roman" w:hAnsi="Times New Roman"/>
          <w:sz w:val="20"/>
          <w:szCs w:val="20"/>
          <w:i w:val="1"/>
          <w:iCs w:val="1"/>
          <w:color w:val="auto"/>
        </w:rPr>
        <w:t>investor.relations@pharvaris.com</w:t>
      </w:r>
    </w:p>
    <w:p>
      <w:pPr>
        <w:spacing w:after="0" w:line="20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Any Attendance Notice, proof of beneficial ownership or signed proxy received after the Cut-off Time may be ignored. Persons with Meeting Rights, Beneficial Owners and proxyholders who have not complied with the procedures described above may be refused entry to the AGM.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Broadridge Voting Instructions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engaged Broadridge to assist in soliciting voting proxies in connection with the AGM. Broadridge will mail this notice and a voting proxy card to all Persons with Meeting Rights. Persons with Meetings Rights who choose to give voting instructions through Broadridge may do so on the internet, by telephone or by returning the proxy card as explained in more detail below.</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Beneficial Owners will not be mailed by Broadridge, but should receive a notice containing voting instructions from their bank, a financial institution, an account holder or other financial intermediary. Follow the instructions from your bank, a financial institution, an account holder or other financial intermediary, or contact such organization to request a proxy card.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 Rights may provide voting instructions through the internet before the AGM. Go to www.proxyvote.com to complete an electronic proxy card. You will be asked to provide the 16-digit control number from the proxy card. Your voting instruction must be received by the Cut-off Time to be counted.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by Telephone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Meetings Rights may provide voting instructions over the telephone from a location in the United States by dialing toll-free 1-800-690-6903, using a touch-tone phone and follow the recorded instructions. You will be asked to provide the 16-digit control number from the proxy card. Your voting instruction must be received by the Cut-off Time to be counted.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by Mail</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Meetings Rights may provide voting instructions using a proxy card by simply completing, signing and dating the proxy card mailed to you and returning it promptly in the envelope provided. If you return your signed proxy card to us before the AGM, we will vote your shares as you direct. Your vote must be received by the Cut-off Time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NOTES TO THE AGENDA</w:t>
      </w: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2.</w:t>
        <w:tab/>
        <w:t>Discussion of Dutch statutory board report for the fiscal year ended December 31, 2024  (</w:t>
      </w:r>
      <w:r>
        <w:rPr>
          <w:rFonts w:ascii="Times New Roman" w:cs="Times New Roman" w:eastAsia="Times New Roman" w:hAnsi="Times New Roman"/>
          <w:sz w:val="20"/>
          <w:szCs w:val="20"/>
          <w:b w:val="1"/>
          <w:bCs w:val="1"/>
          <w:i w:val="1"/>
          <w:iCs w:val="1"/>
          <w:color w:val="auto"/>
        </w:rPr>
        <w:t>discussion item</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The Company's statutory board report over the fiscal year ended December 31, 2024 has been made available on the Company's website (http://www.pharvaris.com) and at the Company's office address.</w:t>
      </w:r>
    </w:p>
    <w:p>
      <w:pPr>
        <w:spacing w:after="0" w:line="16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Adoption of Dutch statutory annual accounts for the fiscal year ended December 31, 2024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740" w:right="20"/>
        <w:spacing w:after="0" w:line="269" w:lineRule="auto"/>
        <w:rPr>
          <w:sz w:val="20"/>
          <w:szCs w:val="20"/>
          <w:color w:val="auto"/>
        </w:rPr>
      </w:pPr>
      <w:r>
        <w:rPr>
          <w:rFonts w:ascii="Times New Roman" w:cs="Times New Roman" w:eastAsia="Times New Roman" w:hAnsi="Times New Roman"/>
          <w:sz w:val="20"/>
          <w:szCs w:val="20"/>
          <w:color w:val="auto"/>
        </w:rPr>
        <w:t>The Company's annual accounts over the fiscal year ended December 31, 2024 have been made available on the Company's website (http://www.pharvaris.com) and at the Company's office address. It is proposed that these annual accounts be adopted.</w:t>
      </w:r>
    </w:p>
    <w:p>
      <w:pPr>
        <w:spacing w:after="0" w:line="169" w:lineRule="exact"/>
        <w:rPr>
          <w:sz w:val="20"/>
          <w:szCs w:val="20"/>
          <w:color w:val="auto"/>
        </w:rPr>
      </w:pPr>
    </w:p>
    <w:p>
      <w:pPr>
        <w:ind w:left="740" w:right="20" w:hanging="732"/>
        <w:spacing w:after="0" w:line="273" w:lineRule="auto"/>
        <w:tabs>
          <w:tab w:leader="none" w:pos="399"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Appointment of PricewaterhouseCoopers Accountants N.V. as the Company's external independent auditor for the fiscal year ending December 31, 2025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Under Dutch law, the General Meeting is, in principle, the corporate body authorized to annually appoint the external independent auditor for the audit of the Company's annual accounts, annual report and, to the extent required by law, the Company's sustainability reporting. It is now proposed to appoint PricewaterhouseCoopers Accountants N.V. as the external independent auditor for the fiscal year ending December 31, 2025.</w:t>
      </w:r>
    </w:p>
    <w:p>
      <w:pPr>
        <w:spacing w:after="0" w:line="189" w:lineRule="exact"/>
        <w:rPr>
          <w:sz w:val="20"/>
          <w:szCs w:val="20"/>
          <w:color w:val="auto"/>
        </w:rPr>
      </w:pPr>
    </w:p>
    <w:p>
      <w:pPr>
        <w:ind w:left="740" w:right="20" w:hanging="732"/>
        <w:spacing w:after="0" w:line="273" w:lineRule="auto"/>
        <w:tabs>
          <w:tab w:leader="none" w:pos="399"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Discharge from liability of the Company's directors with respect to the performance of their duties during the fiscal year ended December 31, 2024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It is proposed that the Company's directors be released from liability for the exercise of their duties during the fiscal year ended December 31, 2024. The scope of this release from liability extends to the exercise of their respective duties insofar as these are reflected in the Company's statutory board report or annual accounts over the fiscal year ended December 31, 2024 or in other public disclosures.</w:t>
      </w:r>
    </w:p>
    <w:p>
      <w:pPr>
        <w:spacing w:after="0" w:line="189"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Discussion of the Company's dividend and reservation policy (</w:t>
      </w:r>
      <w:r>
        <w:rPr>
          <w:rFonts w:ascii="Times New Roman" w:cs="Times New Roman" w:eastAsia="Times New Roman" w:hAnsi="Times New Roman"/>
          <w:sz w:val="20"/>
          <w:szCs w:val="20"/>
          <w:b w:val="1"/>
          <w:bCs w:val="1"/>
          <w:i w:val="1"/>
          <w:iCs w:val="1"/>
          <w:color w:val="auto"/>
        </w:rPr>
        <w:t>discussion item</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left="740"/>
        <w:spacing w:after="0" w:line="243" w:lineRule="auto"/>
        <w:rPr>
          <w:sz w:val="20"/>
          <w:szCs w:val="20"/>
          <w:color w:val="auto"/>
        </w:rPr>
      </w:pPr>
      <w:r>
        <w:rPr>
          <w:rFonts w:ascii="Times New Roman" w:cs="Times New Roman" w:eastAsia="Times New Roman" w:hAnsi="Times New Roman"/>
          <w:sz w:val="20"/>
          <w:szCs w:val="20"/>
          <w:color w:val="auto"/>
        </w:rPr>
        <w:t>The Company has never paid or declared any cash dividends on its shares, and the Company does not anticipate paying any cash dividends on its shares in the foreseeable future. The Company intends to retain available funds and future earnings to fund the development and expansion of its business. Under Dutch law, the Company may only pay dividends to the extent its shareholders' equity (</w:t>
      </w:r>
      <w:r>
        <w:rPr>
          <w:rFonts w:ascii="Times New Roman" w:cs="Times New Roman" w:eastAsia="Times New Roman" w:hAnsi="Times New Roman"/>
          <w:sz w:val="20"/>
          <w:szCs w:val="20"/>
          <w:i w:val="1"/>
          <w:iCs w:val="1"/>
          <w:color w:val="auto"/>
        </w:rPr>
        <w:t>eigen vermogen</w:t>
      </w:r>
      <w:r>
        <w:rPr>
          <w:rFonts w:ascii="Times New Roman" w:cs="Times New Roman" w:eastAsia="Times New Roman" w:hAnsi="Times New Roman"/>
          <w:sz w:val="20"/>
          <w:szCs w:val="20"/>
          <w:color w:val="auto"/>
        </w:rPr>
        <w:t>) exceeds the sum of the Company's paid-up and called-up share capital plus the reserves required to be maintained by Dutch law or by the Company's articles of association (if any). Subject to such restrictions, any future determination to pay dividends will be at the discretion of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will depend upon a number of factors, including the Company's results of operations, financial condition, future prospects, contractual restrictions, restrictions imposed by applicable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7" w:name="page8"/>
    <w:bookmarkEnd w:id="7"/>
    <w:p>
      <w:pPr>
        <w:jc w:val="both"/>
        <w:ind w:left="732"/>
        <w:spacing w:after="0" w:line="254" w:lineRule="auto"/>
        <w:rPr>
          <w:sz w:val="20"/>
          <w:szCs w:val="20"/>
          <w:color w:val="auto"/>
        </w:rPr>
      </w:pPr>
      <w:r>
        <w:rPr>
          <w:rFonts w:ascii="Times New Roman" w:cs="Times New Roman" w:eastAsia="Times New Roman" w:hAnsi="Times New Roman"/>
          <w:sz w:val="20"/>
          <w:szCs w:val="20"/>
          <w:color w:val="auto"/>
        </w:rPr>
        <w:t>other factors the Board deem relevant. If and when the Company does intend to distribute a dividend, such dividend may be distributed in the form of cash only or shares only, through a combination of the foregoing (cash and shares) or through a choice dividend (cash or shares), in each case subject to applicable law.</w:t>
      </w:r>
    </w:p>
    <w:p>
      <w:pPr>
        <w:spacing w:after="0" w:line="184" w:lineRule="exact"/>
        <w:rPr>
          <w:sz w:val="20"/>
          <w:szCs w:val="20"/>
          <w:color w:val="auto"/>
        </w:rPr>
      </w:pPr>
    </w:p>
    <w:p>
      <w:pPr>
        <w:ind w:left="732" w:right="100" w:hanging="732"/>
        <w:spacing w:after="0" w:line="273" w:lineRule="auto"/>
        <w:tabs>
          <w:tab w:leader="none" w:pos="394"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Extension of authorization for the Board to acquire ordinary shares and depository receipts for ordinary shares in the Company's capital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jc w:val="both"/>
        <w:ind w:left="732"/>
        <w:spacing w:after="0" w:line="244" w:lineRule="auto"/>
        <w:rPr>
          <w:sz w:val="20"/>
          <w:szCs w:val="20"/>
          <w:color w:val="auto"/>
        </w:rPr>
      </w:pPr>
      <w:r>
        <w:rPr>
          <w:rFonts w:ascii="Times New Roman" w:cs="Times New Roman" w:eastAsia="Times New Roman" w:hAnsi="Times New Roman"/>
          <w:sz w:val="20"/>
          <w:szCs w:val="20"/>
          <w:color w:val="auto"/>
        </w:rPr>
        <w:t>The General Meeting has authorized the Board, for a period of 18 months following June 28, 2024, to resolve for the Company to acquire fully paid-up ordinary shares in the Company's capital (and depository receipts for such ordinary shares), by any means, including through derivative products, purchases on a stock exchange, private purchases, block trades, or otherwise, for a price which is higher than nil and does not exceed 110% of the average market price of the Company's ordinary shares on the Nasdaq Stock Market (such average market price being the average of the closing prices on each of the five consecutive trading days preceding the date the acquisition is agreed upon by the Company), up to 10% of the Company's issued share capital (determined as at the close of business on June 28, 2024).</w:t>
      </w:r>
    </w:p>
    <w:p>
      <w:pPr>
        <w:spacing w:after="0" w:line="199" w:lineRule="exact"/>
        <w:rPr>
          <w:sz w:val="20"/>
          <w:szCs w:val="20"/>
          <w:color w:val="auto"/>
        </w:rPr>
      </w:pPr>
    </w:p>
    <w:p>
      <w:pPr>
        <w:jc w:val="both"/>
        <w:ind w:left="732"/>
        <w:spacing w:after="0" w:line="249" w:lineRule="auto"/>
        <w:rPr>
          <w:sz w:val="20"/>
          <w:szCs w:val="20"/>
          <w:color w:val="auto"/>
        </w:rPr>
      </w:pPr>
      <w:r>
        <w:rPr>
          <w:rFonts w:ascii="Times New Roman" w:cs="Times New Roman" w:eastAsia="Times New Roman" w:hAnsi="Times New Roman"/>
          <w:sz w:val="20"/>
          <w:szCs w:val="20"/>
          <w:color w:val="auto"/>
        </w:rPr>
        <w:t>It is proposed that this authorization be renewed for a period of, an effectively extended to expire, 18 months following the date of this AGM, provided that the authorization shall be limited to 10% of the Company's issued share capital determined as at the close of business on the date of the AGM. If the resolution proposed under this agenda item 7. is passed, the proposed authorization shall replace the currently existing authorization.</w:t>
      </w:r>
    </w:p>
    <w:p>
      <w:pPr>
        <w:spacing w:after="0" w:line="189" w:lineRule="exact"/>
        <w:rPr>
          <w:sz w:val="20"/>
          <w:szCs w:val="20"/>
          <w:color w:val="auto"/>
        </w:rPr>
      </w:pPr>
    </w:p>
    <w:p>
      <w:pPr>
        <w:ind w:left="392" w:hanging="392"/>
        <w:spacing w:after="0"/>
        <w:tabs>
          <w:tab w:leader="none" w:pos="392"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Re-appointment of Dr. David Meeker as non-executive director of the Company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732"/>
        <w:spacing w:after="0" w:line="269" w:lineRule="auto"/>
        <w:rPr>
          <w:sz w:val="20"/>
          <w:szCs w:val="20"/>
          <w:color w:val="auto"/>
        </w:rPr>
      </w:pPr>
      <w:r>
        <w:rPr>
          <w:rFonts w:ascii="Times New Roman" w:cs="Times New Roman" w:eastAsia="Times New Roman" w:hAnsi="Times New Roman"/>
          <w:sz w:val="20"/>
          <w:szCs w:val="20"/>
          <w:color w:val="auto"/>
        </w:rPr>
        <w:t>The Board has made a binding nomination to re-appoint Dr. David Meeker as non-executive director of the Company for a period of four years, ending at the end of the annual General Meeting to be held in the year 2029.</w:t>
      </w:r>
    </w:p>
    <w:p>
      <w:pPr>
        <w:spacing w:after="0" w:line="173" w:lineRule="exact"/>
        <w:rPr>
          <w:sz w:val="20"/>
          <w:szCs w:val="20"/>
          <w:color w:val="auto"/>
        </w:rPr>
      </w:pPr>
    </w:p>
    <w:p>
      <w:pPr>
        <w:jc w:val="both"/>
        <w:ind w:left="732"/>
        <w:spacing w:after="0" w:line="246" w:lineRule="auto"/>
        <w:rPr>
          <w:sz w:val="20"/>
          <w:szCs w:val="20"/>
          <w:color w:val="auto"/>
        </w:rPr>
      </w:pPr>
      <w:r>
        <w:rPr>
          <w:rFonts w:ascii="Times New Roman" w:cs="Times New Roman" w:eastAsia="Times New Roman" w:hAnsi="Times New Roman"/>
          <w:sz w:val="20"/>
          <w:szCs w:val="20"/>
          <w:color w:val="auto"/>
        </w:rPr>
        <w:t>Dr. Meeker is being nominated for re-appointment in view of his knowledge of the Company and the dedication with which he has performed his duties as non-executive director of the Company during his previous term of office, his financial, capital markets and management experience, his extensive experience in the healthcare industry, his knowledge and experience in corporate governance and compliance, his understanding of corporate responsibility and his experience in disclosure, investor relations and communication matters.</w:t>
      </w:r>
    </w:p>
    <w:p>
      <w:pPr>
        <w:spacing w:after="0" w:line="181" w:lineRule="exact"/>
        <w:rPr>
          <w:sz w:val="20"/>
          <w:szCs w:val="20"/>
          <w:color w:val="auto"/>
        </w:rPr>
      </w:pPr>
    </w:p>
    <w:p>
      <w:pPr>
        <w:ind w:left="392" w:hanging="392"/>
        <w:spacing w:after="0"/>
        <w:tabs>
          <w:tab w:leader="none" w:pos="392"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Re-appointment of Dr. Robert Glassman as non-executive director of the Company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32"/>
        <w:spacing w:after="0" w:line="269" w:lineRule="auto"/>
        <w:rPr>
          <w:sz w:val="20"/>
          <w:szCs w:val="20"/>
          <w:color w:val="auto"/>
        </w:rPr>
      </w:pPr>
      <w:r>
        <w:rPr>
          <w:rFonts w:ascii="Times New Roman" w:cs="Times New Roman" w:eastAsia="Times New Roman" w:hAnsi="Times New Roman"/>
          <w:sz w:val="20"/>
          <w:szCs w:val="20"/>
          <w:color w:val="auto"/>
        </w:rPr>
        <w:t>The Board has made a binding nomination to re-appoint Dr. Robert Glassman as non-executive director of the Company for a period of four years, ending at the end of the annual General Meeting to be held in the year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977265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6" w:right="339" w:bottom="1440" w:gutter="0" w:footer="0" w:header="0"/>
        </w:sectPr>
      </w:pPr>
    </w:p>
    <w:bookmarkStart w:id="8" w:name="page9"/>
    <w:bookmarkEnd w:id="8"/>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Dr. Glassman is being nominated for re-appointment in view of his knowledge of the Company and the dedication with which he has performed his duties as non-executive director of the Company during his previous term of office, his board and executive experience in international business, his knowledge and experience in finance, accounting and remuneration, his understanding of corporate governance and compliance and his experience in the life sciences industry.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Re-appointment of Ms. Viviane Monges as non-executive director of the Company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740" w:right="20"/>
        <w:spacing w:after="0" w:line="269" w:lineRule="auto"/>
        <w:rPr>
          <w:sz w:val="20"/>
          <w:szCs w:val="20"/>
          <w:color w:val="auto"/>
        </w:rPr>
      </w:pPr>
      <w:r>
        <w:rPr>
          <w:rFonts w:ascii="Times New Roman" w:cs="Times New Roman" w:eastAsia="Times New Roman" w:hAnsi="Times New Roman"/>
          <w:sz w:val="20"/>
          <w:szCs w:val="20"/>
          <w:color w:val="auto"/>
        </w:rPr>
        <w:t>The Board has made a binding nomination to re-appoint Ms. Viviane Monges as non-executive director of the Company for a period of four years, ending at the end of the annual General Meeting to be held in the year 2029.</w:t>
      </w:r>
    </w:p>
    <w:p>
      <w:pPr>
        <w:spacing w:after="0" w:line="173"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Ms. Monges is being nominated for re-appointment in view of her knowledge of the Company and the dedication with which she has performed her duties as non-executive director of the Company during her previous term of office, her board and executive experience in international business, her knowledge and experience in finance, accounting and remuneration, her extensive experience in the pharmaceutical industry and her understanding of corporate governance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PROXY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UNDERSIGNED</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-8255</wp:posOffset>
            </wp:positionV>
            <wp:extent cx="26911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-8255</wp:posOffset>
            </wp:positionV>
            <wp:extent cx="26911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acting on behalf of </w:t>
      </w:r>
      <w:r>
        <w:rPr>
          <w:rFonts w:ascii="Times New Roman" w:cs="Times New Roman" w:eastAsia="Times New Roman" w:hAnsi="Times New Roman"/>
          <w:sz w:val="20"/>
          <w:szCs w:val="20"/>
          <w:i w:val="1"/>
          <w:iCs w:val="1"/>
          <w:color w:val="auto"/>
        </w:rPr>
        <w:t>(only to be completed if relevant)</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-8255</wp:posOffset>
            </wp:positionV>
            <wp:extent cx="2691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-8255</wp:posOffset>
            </wp:positionV>
            <wp:extent cx="26911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Principal</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DECLARES AS FOLLOWS</w:t>
      </w:r>
    </w:p>
    <w:p>
      <w:pPr>
        <w:spacing w:after="0" w:line="229" w:lineRule="exact"/>
        <w:rPr>
          <w:sz w:val="20"/>
          <w:szCs w:val="20"/>
          <w:color w:val="auto"/>
        </w:rPr>
      </w:pPr>
    </w:p>
    <w:p>
      <w:pPr>
        <w:jc w:val="both"/>
        <w:ind w:left="760" w:hanging="752"/>
        <w:spacing w:after="0" w:line="250" w:lineRule="auto"/>
        <w:tabs>
          <w:tab w:leader="none" w:pos="76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Principal hereby registers for the annual general meeting of shareholders of Pharvaris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June 27, 2025 at 4:00 p.m. CEST at the offices of NautaDutilh N.V., Beethovenstraat 400, 1082 PR Amsterdam, the Netherlands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 and, for purposes of being represented at the AGM, grants a power of attorney to each civil law notary and candidate civil law notary working with NautaDutilh N.V. (the "</w:t>
      </w:r>
      <w:r>
        <w:rPr>
          <w:rFonts w:ascii="Times New Roman" w:cs="Times New Roman" w:eastAsia="Times New Roman" w:hAnsi="Times New Roman"/>
          <w:sz w:val="20"/>
          <w:szCs w:val="20"/>
          <w:b w:val="1"/>
          <w:bCs w:val="1"/>
          <w:color w:val="auto"/>
        </w:rPr>
        <w:t>Proxyholder</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scope of this power of attorney extends to the performance of the following acts on behalf of the Principal at the AGM:</w:t>
      </w:r>
    </w:p>
    <w:p>
      <w:pPr>
        <w:spacing w:after="0" w:line="21" w:lineRule="exact"/>
        <w:rPr>
          <w:rFonts w:ascii="Times New Roman" w:cs="Times New Roman" w:eastAsia="Times New Roman" w:hAnsi="Times New Roman"/>
          <w:sz w:val="20"/>
          <w:szCs w:val="20"/>
          <w:b w:val="1"/>
          <w:bCs w:val="1"/>
          <w:color w:val="auto"/>
        </w:rPr>
      </w:pPr>
    </w:p>
    <w:p>
      <w:pPr>
        <w:ind w:left="1500" w:hanging="758"/>
        <w:spacing w:after="0"/>
        <w:tabs>
          <w:tab w:leader="none" w:pos="1500" w:val="left"/>
        </w:tabs>
        <w:numPr>
          <w:ilvl w:val="1"/>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exercise the voting rights of the Principal in accordance with paragraph 3 below; and</w:t>
      </w:r>
    </w:p>
    <w:p>
      <w:pPr>
        <w:ind w:left="1500" w:hanging="758"/>
        <w:spacing w:after="0"/>
        <w:tabs>
          <w:tab w:leader="none" w:pos="1500" w:val="left"/>
        </w:tabs>
        <w:numPr>
          <w:ilvl w:val="1"/>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exercise any other right of the Principal which the Principal would be allowed to exercise at the AGM.</w:t>
      </w:r>
    </w:p>
    <w:p>
      <w:pPr>
        <w:spacing w:after="0" w:line="207" w:lineRule="exact"/>
        <w:rPr>
          <w:rFonts w:ascii="Times New Roman" w:cs="Times New Roman" w:eastAsia="Times New Roman" w:hAnsi="Times New Roman"/>
          <w:sz w:val="20"/>
          <w:szCs w:val="20"/>
          <w:b w:val="1"/>
          <w:bCs w:val="1"/>
          <w:color w:val="auto"/>
        </w:rPr>
      </w:pPr>
    </w:p>
    <w:p>
      <w:pPr>
        <w:ind w:left="760" w:hanging="752"/>
        <w:spacing w:after="0" w:line="269" w:lineRule="auto"/>
        <w:tabs>
          <w:tab w:leader="none" w:pos="76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power of attorney shall be used by the Proxyholder to exercise the Principal's voting rights in the manner directed as set out below.</w:t>
      </w:r>
    </w:p>
    <w:p>
      <w:pPr>
        <w:spacing w:after="0" w:line="16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Note: If no choice is specified, if multiple choices are specified, or if the voting instruction is otherwise unclear with respect to one or more agenda items, the relevant Proxyholder shall vote "FOR" such agenda item(s).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6220" w:type="dxa"/>
            <w:vAlign w:val="bottom"/>
            <w:tcBorders>
              <w:top w:val="single" w:sz="8" w:color="auto"/>
              <w:left w:val="single" w:sz="8" w:color="auto"/>
            </w:tcBorders>
            <w:shd w:val="clear" w:color="auto" w:fill="DBE5F1"/>
          </w:tcPr>
          <w:p>
            <w:pPr>
              <w:ind w:left="120"/>
              <w:spacing w:after="0"/>
              <w:rPr>
                <w:sz w:val="20"/>
                <w:szCs w:val="20"/>
                <w:color w:val="auto"/>
              </w:rPr>
            </w:pPr>
            <w:r>
              <w:rPr>
                <w:rFonts w:ascii="Times New Roman" w:cs="Times New Roman" w:eastAsia="Times New Roman" w:hAnsi="Times New Roman"/>
                <w:sz w:val="20"/>
                <w:szCs w:val="20"/>
                <w:i w:val="1"/>
                <w:iCs w:val="1"/>
                <w:color w:val="auto"/>
              </w:rPr>
              <w:t>Agenda item</w:t>
            </w:r>
          </w:p>
        </w:tc>
        <w:tc>
          <w:tcPr>
            <w:tcW w:w="460" w:type="dxa"/>
            <w:vAlign w:val="bottom"/>
            <w:tcBorders>
              <w:top w:val="single" w:sz="8" w:color="auto"/>
              <w:right w:val="single" w:sz="8" w:color="auto"/>
            </w:tcBorders>
            <w:shd w:val="clear" w:color="auto" w:fill="DBE5F1"/>
          </w:tcPr>
          <w:p>
            <w:pPr>
              <w:spacing w:after="0"/>
              <w:rPr>
                <w:sz w:val="24"/>
                <w:szCs w:val="24"/>
                <w:color w:val="auto"/>
              </w:rPr>
            </w:pPr>
          </w:p>
        </w:tc>
        <w:tc>
          <w:tcPr>
            <w:tcW w:w="1080" w:type="dxa"/>
            <w:vAlign w:val="bottom"/>
            <w:tcBorders>
              <w:top w:val="single" w:sz="8" w:color="auto"/>
              <w:right w:val="single" w:sz="8" w:color="auto"/>
            </w:tcBorders>
            <w:shd w:val="clear" w:color="auto" w:fill="DBE5F1"/>
          </w:tcPr>
          <w:p>
            <w:pPr>
              <w:ind w:left="320"/>
              <w:spacing w:after="0"/>
              <w:rPr>
                <w:sz w:val="20"/>
                <w:szCs w:val="20"/>
                <w:color w:val="auto"/>
              </w:rPr>
            </w:pPr>
            <w:r>
              <w:rPr>
                <w:rFonts w:ascii="Times New Roman" w:cs="Times New Roman" w:eastAsia="Times New Roman" w:hAnsi="Times New Roman"/>
                <w:sz w:val="20"/>
                <w:szCs w:val="20"/>
                <w:i w:val="1"/>
                <w:iCs w:val="1"/>
                <w:color w:val="auto"/>
              </w:rPr>
              <w:t>FOR</w:t>
            </w:r>
          </w:p>
        </w:tc>
        <w:tc>
          <w:tcPr>
            <w:tcW w:w="1380" w:type="dxa"/>
            <w:vAlign w:val="bottom"/>
            <w:tcBorders>
              <w:top w:val="single" w:sz="8" w:color="auto"/>
              <w:right w:val="single" w:sz="8" w:color="auto"/>
            </w:tcBorders>
            <w:shd w:val="clear" w:color="auto" w:fill="DBE5F1"/>
          </w:tcPr>
          <w:p>
            <w:pPr>
              <w:ind w:left="280"/>
              <w:spacing w:after="0"/>
              <w:rPr>
                <w:sz w:val="20"/>
                <w:szCs w:val="20"/>
                <w:color w:val="auto"/>
              </w:rPr>
            </w:pPr>
            <w:r>
              <w:rPr>
                <w:rFonts w:ascii="Times New Roman" w:cs="Times New Roman" w:eastAsia="Times New Roman" w:hAnsi="Times New Roman"/>
                <w:sz w:val="20"/>
                <w:szCs w:val="20"/>
                <w:i w:val="1"/>
                <w:iCs w:val="1"/>
                <w:color w:val="auto"/>
              </w:rPr>
              <w:t>AGAINST</w:t>
            </w:r>
          </w:p>
        </w:tc>
        <w:tc>
          <w:tcPr>
            <w:tcW w:w="1300" w:type="dxa"/>
            <w:vAlign w:val="bottom"/>
            <w:tcBorders>
              <w:top w:val="single" w:sz="8" w:color="auto"/>
              <w:right w:val="single" w:sz="8" w:color="auto"/>
            </w:tcBorders>
            <w:shd w:val="clear" w:color="auto" w:fill="DBE5F1"/>
          </w:tcPr>
          <w:p>
            <w:pPr>
              <w:ind w:left="260"/>
              <w:spacing w:after="0"/>
              <w:rPr>
                <w:sz w:val="20"/>
                <w:szCs w:val="20"/>
                <w:color w:val="auto"/>
              </w:rPr>
            </w:pPr>
            <w:r>
              <w:rPr>
                <w:rFonts w:ascii="Times New Roman" w:cs="Times New Roman" w:eastAsia="Times New Roman" w:hAnsi="Times New Roman"/>
                <w:sz w:val="20"/>
                <w:szCs w:val="20"/>
                <w:i w:val="1"/>
                <w:iCs w:val="1"/>
                <w:color w:val="auto"/>
              </w:rPr>
              <w:t>ABSTAIN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6680" w:type="dxa"/>
            <w:vAlign w:val="bottom"/>
            <w:tcBorders>
              <w:left w:val="single" w:sz="8" w:color="auto"/>
              <w:bottom w:val="single" w:sz="8" w:color="auto"/>
              <w:right w:val="single" w:sz="8" w:color="auto"/>
            </w:tcBorders>
            <w:gridSpan w:val="2"/>
            <w:shd w:val="clear" w:color="auto" w:fill="DBE5F1"/>
          </w:tcPr>
          <w:p>
            <w:pPr>
              <w:spacing w:after="0"/>
              <w:rPr>
                <w:sz w:val="7"/>
                <w:szCs w:val="7"/>
                <w:color w:val="auto"/>
              </w:rPr>
            </w:pPr>
          </w:p>
        </w:tc>
        <w:tc>
          <w:tcPr>
            <w:tcW w:w="1080" w:type="dxa"/>
            <w:vAlign w:val="bottom"/>
            <w:tcBorders>
              <w:bottom w:val="single" w:sz="8" w:color="auto"/>
              <w:right w:val="single" w:sz="8" w:color="auto"/>
            </w:tcBorders>
            <w:shd w:val="clear" w:color="auto" w:fill="DBE5F1"/>
          </w:tcPr>
          <w:p>
            <w:pPr>
              <w:spacing w:after="0"/>
              <w:rPr>
                <w:sz w:val="7"/>
                <w:szCs w:val="7"/>
                <w:color w:val="auto"/>
              </w:rPr>
            </w:pPr>
          </w:p>
        </w:tc>
        <w:tc>
          <w:tcPr>
            <w:tcW w:w="1380" w:type="dxa"/>
            <w:vAlign w:val="bottom"/>
            <w:tcBorders>
              <w:bottom w:val="single" w:sz="8" w:color="auto"/>
              <w:right w:val="single" w:sz="8" w:color="auto"/>
            </w:tcBorders>
            <w:shd w:val="clear" w:color="auto" w:fill="DBE5F1"/>
          </w:tcPr>
          <w:p>
            <w:pPr>
              <w:spacing w:after="0"/>
              <w:rPr>
                <w:sz w:val="7"/>
                <w:szCs w:val="7"/>
                <w:color w:val="auto"/>
              </w:rPr>
            </w:pPr>
          </w:p>
        </w:tc>
        <w:tc>
          <w:tcPr>
            <w:tcW w:w="1300" w:type="dxa"/>
            <w:vAlign w:val="bottom"/>
            <w:tcBorders>
              <w:bottom w:val="single" w:sz="8" w:color="auto"/>
              <w:right w:val="single" w:sz="8" w:color="auto"/>
            </w:tcBorders>
            <w:shd w:val="clear" w:color="auto" w:fill="DBE5F1"/>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668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20"/>
                <w:szCs w:val="20"/>
                <w:color w:val="auto"/>
              </w:rPr>
              <w:t>Adoption of Dutch statutory annual accounts for the fiscal year ended December</w:t>
            </w:r>
          </w:p>
        </w:tc>
        <w:tc>
          <w:tcPr>
            <w:tcW w:w="108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62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31, 2024</w:t>
            </w:r>
          </w:p>
        </w:tc>
        <w:tc>
          <w:tcPr>
            <w:tcW w:w="4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220" w:type="dxa"/>
            <w:vAlign w:val="bottom"/>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680" w:type="dxa"/>
            <w:vAlign w:val="bottom"/>
            <w:tcBorders>
              <w:bottom w:val="single" w:sz="8" w:color="auto"/>
              <w:right w:val="single" w:sz="8" w:color="auto"/>
            </w:tcBorders>
            <w:gridSpan w:val="2"/>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680" w:type="dxa"/>
            <w:vAlign w:val="bottom"/>
            <w:tcBorders>
              <w:right w:val="single" w:sz="8" w:color="auto"/>
            </w:tcBorders>
            <w:gridSpan w:val="2"/>
          </w:tcPr>
          <w:p>
            <w:pPr>
              <w:ind w:left="120"/>
              <w:spacing w:after="0" w:line="200" w:lineRule="exact"/>
              <w:rPr>
                <w:sz w:val="20"/>
                <w:szCs w:val="20"/>
                <w:color w:val="auto"/>
              </w:rPr>
            </w:pPr>
            <w:r>
              <w:rPr>
                <w:rFonts w:ascii="Times New Roman" w:cs="Times New Roman" w:eastAsia="Times New Roman" w:hAnsi="Times New Roman"/>
                <w:sz w:val="20"/>
                <w:szCs w:val="20"/>
                <w:color w:val="auto"/>
              </w:rPr>
              <w:t>Appointment of PricewaterhouseCoopers Accountants N.V. as the Company’s</w:t>
            </w:r>
          </w:p>
        </w:tc>
        <w:tc>
          <w:tcPr>
            <w:tcW w:w="10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2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external independent auditor for the fiscal year ending December 31, 2025</w:t>
            </w:r>
          </w:p>
        </w:tc>
        <w:tc>
          <w:tcPr>
            <w:tcW w:w="4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220" w:type="dxa"/>
            <w:vAlign w:val="bottom"/>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2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2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Discharge  from  liability  for  the  Company's  directors  with  respect  to</w:t>
            </w:r>
          </w:p>
        </w:tc>
        <w:tc>
          <w:tcPr>
            <w:tcW w:w="46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the</w:t>
            </w:r>
          </w:p>
        </w:tc>
        <w:tc>
          <w:tcPr>
            <w:tcW w:w="10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2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performance of their duties during the fiscal year ended December 31, 2024</w:t>
            </w:r>
          </w:p>
        </w:tc>
        <w:tc>
          <w:tcPr>
            <w:tcW w:w="4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220" w:type="dxa"/>
            <w:vAlign w:val="bottom"/>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2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2"/>
        </w:trPr>
        <w:tc>
          <w:tcPr>
            <w:tcW w:w="6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ind w:left="120" w:right="2580"/>
        <w:spacing w:after="0" w:line="269" w:lineRule="auto"/>
        <w:rPr>
          <w:sz w:val="20"/>
          <w:szCs w:val="20"/>
          <w:color w:val="auto"/>
        </w:rPr>
      </w:pPr>
      <w:r>
        <w:rPr>
          <w:rFonts w:ascii="Times New Roman" w:cs="Times New Roman" w:eastAsia="Times New Roman" w:hAnsi="Times New Roman"/>
          <w:sz w:val="20"/>
          <w:szCs w:val="20"/>
          <w:color w:val="auto"/>
        </w:rPr>
        <w:t>Extension of authorization for the Board to acquire shares and depository receipts for shares in the Company's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-322580</wp:posOffset>
            </wp:positionV>
            <wp:extent cx="6628765" cy="1691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28765" cy="1691005"/>
                    </a:xfrm>
                    <a:prstGeom prst="rect">
                      <a:avLst/>
                    </a:prstGeom>
                    <a:noFill/>
                  </pic:spPr>
                </pic:pic>
              </a:graphicData>
            </a:graphic>
          </wp:anchor>
        </w:drawing>
      </w:r>
    </w:p>
    <w:p>
      <w:pPr>
        <w:spacing w:after="0" w:line="1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Re-appointment of Dr. Meeker as non-executive director of the Company</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Re-appointment of Dr. Glassman as non-executive director of the Company</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Re-appointment of Ms. Monges as non-executive director of the Company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0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0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0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9100" w:space="720"/>
            <w:col w:w="1420"/>
          </w:cols>
          <w:pgMar w:left="320" w:top="1129"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power of attorney is granted with full power of substitution.</w:t>
      </w:r>
    </w:p>
    <w:p>
      <w:pPr>
        <w:spacing w:after="0" w:line="229" w:lineRule="exact"/>
        <w:rPr>
          <w:rFonts w:ascii="Times New Roman" w:cs="Times New Roman" w:eastAsia="Times New Roman" w:hAnsi="Times New Roman"/>
          <w:sz w:val="20"/>
          <w:szCs w:val="20"/>
          <w:b w:val="1"/>
          <w:bCs w:val="1"/>
          <w:color w:val="auto"/>
        </w:rPr>
      </w:pPr>
    </w:p>
    <w:p>
      <w:pPr>
        <w:ind w:left="760" w:hanging="752"/>
        <w:spacing w:after="0" w:line="269" w:lineRule="auto"/>
        <w:tabs>
          <w:tab w:leader="none" w:pos="76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relationship between the Principal and the Proxyholder under this power of attorney is governed exclusively by the laws of the Netherlands.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1049655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11" w:name="page12"/>
    <w:bookmarkEnd w:id="11"/>
    <w:p>
      <w:pPr>
        <w:ind w:left="5080"/>
        <w:spacing w:after="0"/>
        <w:rPr>
          <w:sz w:val="20"/>
          <w:szCs w:val="20"/>
          <w:color w:val="auto"/>
        </w:rPr>
      </w:pPr>
      <w:r>
        <w:rPr>
          <w:rFonts w:ascii="Times New Roman" w:cs="Times New Roman" w:eastAsia="Times New Roman" w:hAnsi="Times New Roman"/>
          <w:sz w:val="20"/>
          <w:szCs w:val="20"/>
          <w:b w:val="1"/>
          <w:bCs w:val="1"/>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160655</wp:posOffset>
            </wp:positionV>
            <wp:extent cx="3638550" cy="749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38550" cy="749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Please return this signed proxy via regular mail or e-mail to:</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i w:val="1"/>
          <w:iCs w:val="1"/>
          <w:color w:val="auto"/>
        </w:rPr>
        <w:t>Pharvaris N.V.</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i w:val="1"/>
          <w:iCs w:val="1"/>
          <w:color w:val="auto"/>
        </w:rPr>
        <w:t>c/o General Counsel</w:t>
      </w:r>
    </w:p>
    <w:p>
      <w:pPr>
        <w:jc w:val="center"/>
        <w:ind w:right="-1100"/>
        <w:spacing w:after="0"/>
        <w:rPr>
          <w:sz w:val="20"/>
          <w:szCs w:val="20"/>
          <w:color w:val="auto"/>
        </w:rPr>
      </w:pPr>
      <w:r>
        <w:rPr>
          <w:rFonts w:ascii="Times New Roman" w:cs="Times New Roman" w:eastAsia="Times New Roman" w:hAnsi="Times New Roman"/>
          <w:sz w:val="20"/>
          <w:szCs w:val="20"/>
          <w:i w:val="1"/>
          <w:iCs w:val="1"/>
          <w:color w:val="auto"/>
        </w:rPr>
        <w:t>Emmy Noetherweg 2</w:t>
      </w:r>
    </w:p>
    <w:p>
      <w:pPr>
        <w:jc w:val="center"/>
        <w:ind w:right="-1100"/>
        <w:spacing w:after="0"/>
        <w:rPr>
          <w:sz w:val="20"/>
          <w:szCs w:val="20"/>
          <w:color w:val="auto"/>
        </w:rPr>
      </w:pPr>
      <w:r>
        <w:rPr>
          <w:rFonts w:ascii="Times New Roman" w:cs="Times New Roman" w:eastAsia="Times New Roman" w:hAnsi="Times New Roman"/>
          <w:sz w:val="20"/>
          <w:szCs w:val="20"/>
          <w:i w:val="1"/>
          <w:iCs w:val="1"/>
          <w:color w:val="auto"/>
        </w:rPr>
        <w:t>2333 BK Leiden</w:t>
      </w:r>
    </w:p>
    <w:p>
      <w:pPr>
        <w:jc w:val="center"/>
        <w:ind w:right="-1100"/>
        <w:spacing w:after="0"/>
        <w:rPr>
          <w:sz w:val="20"/>
          <w:szCs w:val="20"/>
          <w:color w:val="auto"/>
        </w:rPr>
      </w:pPr>
      <w:r>
        <w:rPr>
          <w:rFonts w:ascii="Times New Roman" w:cs="Times New Roman" w:eastAsia="Times New Roman" w:hAnsi="Times New Roman"/>
          <w:sz w:val="20"/>
          <w:szCs w:val="20"/>
          <w:i w:val="1"/>
          <w:iCs w:val="1"/>
          <w:color w:val="auto"/>
        </w:rPr>
        <w:t>the Netherlands</w:t>
      </w:r>
    </w:p>
    <w:p>
      <w:pPr>
        <w:ind w:left="4260"/>
        <w:spacing w:after="0"/>
        <w:rPr>
          <w:sz w:val="20"/>
          <w:szCs w:val="20"/>
          <w:color w:val="auto"/>
        </w:rPr>
      </w:pPr>
      <w:r>
        <w:rPr>
          <w:rFonts w:ascii="Times New Roman" w:cs="Times New Roman" w:eastAsia="Times New Roman" w:hAnsi="Times New Roman"/>
          <w:sz w:val="20"/>
          <w:szCs w:val="20"/>
          <w:i w:val="1"/>
          <w:iCs w:val="1"/>
          <w:color w:val="auto"/>
        </w:rPr>
        <w:t>investor.relations@pharvaris.com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the Principal is a beneficial owner of shares in the Company's capital, please enclose:</w:t>
      </w:r>
    </w:p>
    <w:p>
      <w:pPr>
        <w:spacing w:after="0" w:line="26"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proof of beneficial ownership of the underlying shares, such as a recent account statement; and</w:t>
      </w:r>
    </w:p>
    <w:p>
      <w:pPr>
        <w:spacing w:after="0" w:line="11" w:lineRule="exact"/>
        <w:rPr>
          <w:rFonts w:ascii="Times New Roman" w:cs="Times New Roman" w:eastAsia="Times New Roman" w:hAnsi="Times New Roman"/>
          <w:sz w:val="19"/>
          <w:szCs w:val="19"/>
          <w:i w:val="1"/>
          <w:iCs w:val="1"/>
          <w:color w:val="auto"/>
        </w:rPr>
      </w:pPr>
    </w:p>
    <w:p>
      <w:pPr>
        <w:ind w:left="400" w:hanging="392"/>
        <w:spacing w:after="0"/>
        <w:tabs>
          <w:tab w:leader="none" w:pos="400" w:val="left"/>
        </w:tabs>
        <w:numPr>
          <w:ilvl w:val="0"/>
          <w:numId w:val="1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 signed proxy from its financial intermediary or its agent with whom the shares are on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2" w:right="1440"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04"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Pharvaris N.V.</w:t>
      </w:r>
    </w:p>
    <w:p>
      <w:pPr>
        <w:spacing w:after="0" w:line="202"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Annual Report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6"/>
                <w:szCs w:val="16"/>
                <w:b w:val="1"/>
                <w:bCs w:val="1"/>
                <w:color w:val="auto"/>
                <w:w w:val="98"/>
              </w:rPr>
              <w:t>Exhibit 99.4</w:t>
            </w:r>
          </w:p>
        </w:tc>
      </w:tr>
      <w:tr>
        <w:trPr>
          <w:trHeight w:val="297"/>
        </w:trPr>
        <w:tc>
          <w:tcPr>
            <w:tcW w:w="860" w:type="dxa"/>
            <w:vAlign w:val="bottom"/>
          </w:tcPr>
          <w:p>
            <w:pPr>
              <w:spacing w:after="0"/>
              <w:rPr>
                <w:sz w:val="24"/>
                <w:szCs w:val="24"/>
                <w:color w:val="auto"/>
              </w:rPr>
            </w:pPr>
          </w:p>
        </w:tc>
        <w:tc>
          <w:tcPr>
            <w:tcW w:w="9400" w:type="dxa"/>
            <w:vAlign w:val="bottom"/>
          </w:tcPr>
          <w:p>
            <w:pPr>
              <w:ind w:left="4220"/>
              <w:spacing w:after="0"/>
              <w:rPr>
                <w:sz w:val="20"/>
                <w:szCs w:val="20"/>
                <w:color w:val="auto"/>
              </w:rPr>
            </w:pPr>
            <w:r>
              <w:rPr>
                <w:rFonts w:ascii="Arial" w:cs="Arial" w:eastAsia="Arial" w:hAnsi="Arial"/>
                <w:sz w:val="16"/>
                <w:szCs w:val="16"/>
                <w:b w:val="1"/>
                <w:bCs w:val="1"/>
                <w:color w:val="auto"/>
              </w:rPr>
              <w:t>Pharvaris N.V.</w:t>
            </w:r>
          </w:p>
        </w:tc>
        <w:tc>
          <w:tcPr>
            <w:tcW w:w="98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9400" w:type="dxa"/>
            <w:vAlign w:val="bottom"/>
          </w:tcPr>
          <w:p>
            <w:pPr>
              <w:ind w:left="3900"/>
              <w:spacing w:after="0"/>
              <w:rPr>
                <w:sz w:val="20"/>
                <w:szCs w:val="20"/>
                <w:color w:val="auto"/>
              </w:rPr>
            </w:pPr>
            <w:r>
              <w:rPr>
                <w:rFonts w:ascii="Arial" w:cs="Arial" w:eastAsia="Arial" w:hAnsi="Arial"/>
                <w:sz w:val="16"/>
                <w:szCs w:val="16"/>
                <w:b w:val="1"/>
                <w:bCs w:val="1"/>
                <w:color w:val="auto"/>
              </w:rPr>
              <w:t>TABLE OF CONTENTS</w:t>
            </w:r>
          </w:p>
        </w:tc>
        <w:tc>
          <w:tcPr>
            <w:tcW w:w="980" w:type="dxa"/>
            <w:vAlign w:val="bottom"/>
          </w:tcPr>
          <w:p>
            <w:pPr>
              <w:spacing w:after="0"/>
              <w:rPr>
                <w:sz w:val="24"/>
                <w:szCs w:val="24"/>
                <w:color w:val="auto"/>
              </w:rPr>
            </w:pPr>
          </w:p>
        </w:tc>
      </w:tr>
      <w:tr>
        <w:trPr>
          <w:trHeight w:val="358"/>
        </w:trPr>
        <w:tc>
          <w:tcPr>
            <w:tcW w:w="86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Page</w:t>
            </w:r>
          </w:p>
        </w:tc>
      </w:tr>
      <w:tr>
        <w:trPr>
          <w:trHeight w:val="357"/>
        </w:trPr>
        <w:tc>
          <w:tcPr>
            <w:tcW w:w="10260" w:type="dxa"/>
            <w:vAlign w:val="bottom"/>
            <w:gridSpan w:val="2"/>
          </w:tcPr>
          <w:p>
            <w:pPr>
              <w:spacing w:after="0"/>
              <w:rPr>
                <w:sz w:val="20"/>
                <w:szCs w:val="20"/>
                <w:color w:val="auto"/>
              </w:rPr>
            </w:pPr>
            <w:r>
              <w:rPr>
                <w:rFonts w:ascii="Arial" w:cs="Arial" w:eastAsia="Arial" w:hAnsi="Arial"/>
                <w:sz w:val="16"/>
                <w:szCs w:val="16"/>
                <w:color w:val="auto"/>
              </w:rPr>
              <w:t>Report of Board of Directors</w:t>
            </w:r>
          </w:p>
        </w:tc>
        <w:tc>
          <w:tcPr>
            <w:tcW w:w="980" w:type="dxa"/>
            <w:vAlign w:val="bottom"/>
          </w:tcPr>
          <w:p>
            <w:pPr>
              <w:spacing w:after="0"/>
              <w:rPr>
                <w:sz w:val="24"/>
                <w:szCs w:val="24"/>
                <w:color w:val="auto"/>
              </w:rPr>
            </w:pP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9400" w:type="dxa"/>
            <w:vAlign w:val="bottom"/>
          </w:tcPr>
          <w:p>
            <w:pPr>
              <w:ind w:left="60"/>
              <w:spacing w:after="0"/>
              <w:rPr>
                <w:sz w:val="20"/>
                <w:szCs w:val="20"/>
                <w:color w:val="auto"/>
              </w:rPr>
            </w:pPr>
            <w:r>
              <w:rPr>
                <w:rFonts w:ascii="Arial" w:cs="Arial" w:eastAsia="Arial" w:hAnsi="Arial"/>
                <w:sz w:val="16"/>
                <w:szCs w:val="16"/>
                <w:color w:val="auto"/>
              </w:rPr>
              <w:t>Introduction</w:t>
            </w:r>
          </w:p>
        </w:tc>
        <w:tc>
          <w:tcPr>
            <w:tcW w:w="98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9400" w:type="dxa"/>
            <w:vAlign w:val="bottom"/>
          </w:tcPr>
          <w:p>
            <w:pPr>
              <w:ind w:left="60"/>
              <w:spacing w:after="0"/>
              <w:rPr>
                <w:sz w:val="20"/>
                <w:szCs w:val="20"/>
                <w:color w:val="auto"/>
              </w:rPr>
            </w:pPr>
            <w:r>
              <w:rPr>
                <w:rFonts w:ascii="Arial" w:cs="Arial" w:eastAsia="Arial" w:hAnsi="Arial"/>
                <w:sz w:val="16"/>
                <w:szCs w:val="16"/>
                <w:color w:val="auto"/>
              </w:rPr>
              <w:t>Preparation</w:t>
            </w:r>
          </w:p>
        </w:tc>
        <w:tc>
          <w:tcPr>
            <w:tcW w:w="98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9400" w:type="dxa"/>
            <w:vAlign w:val="bottom"/>
          </w:tcPr>
          <w:p>
            <w:pPr>
              <w:ind w:left="60"/>
              <w:spacing w:after="0"/>
              <w:rPr>
                <w:sz w:val="20"/>
                <w:szCs w:val="20"/>
                <w:color w:val="auto"/>
              </w:rPr>
            </w:pPr>
            <w:r>
              <w:rPr>
                <w:rFonts w:ascii="Arial" w:cs="Arial" w:eastAsia="Arial" w:hAnsi="Arial"/>
                <w:sz w:val="16"/>
                <w:szCs w:val="16"/>
                <w:color w:val="auto"/>
              </w:rPr>
              <w:t>Forward-looking statements</w:t>
            </w:r>
          </w:p>
        </w:tc>
        <w:tc>
          <w:tcPr>
            <w:tcW w:w="98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9400" w:type="dxa"/>
            <w:vAlign w:val="bottom"/>
          </w:tcPr>
          <w:p>
            <w:pPr>
              <w:ind w:left="60"/>
              <w:spacing w:after="0"/>
              <w:rPr>
                <w:sz w:val="20"/>
                <w:szCs w:val="20"/>
                <w:color w:val="auto"/>
              </w:rPr>
            </w:pPr>
            <w:r>
              <w:rPr>
                <w:rFonts w:ascii="Arial" w:cs="Arial" w:eastAsia="Arial" w:hAnsi="Arial"/>
                <w:sz w:val="16"/>
                <w:szCs w:val="16"/>
                <w:color w:val="auto"/>
              </w:rPr>
              <w:t>Business</w:t>
            </w:r>
          </w:p>
        </w:tc>
        <w:tc>
          <w:tcPr>
            <w:tcW w:w="98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9400" w:type="dxa"/>
            <w:vAlign w:val="bottom"/>
          </w:tcPr>
          <w:p>
            <w:pPr>
              <w:ind w:left="60"/>
              <w:spacing w:after="0"/>
              <w:rPr>
                <w:sz w:val="20"/>
                <w:szCs w:val="20"/>
                <w:color w:val="auto"/>
              </w:rPr>
            </w:pPr>
            <w:r>
              <w:rPr>
                <w:rFonts w:ascii="Arial" w:cs="Arial" w:eastAsia="Arial" w:hAnsi="Arial"/>
                <w:sz w:val="16"/>
                <w:szCs w:val="16"/>
                <w:color w:val="auto"/>
              </w:rPr>
              <w:t>History and development of the company</w:t>
            </w:r>
          </w:p>
        </w:tc>
        <w:tc>
          <w:tcPr>
            <w:tcW w:w="98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9400" w:type="dxa"/>
            <w:vAlign w:val="bottom"/>
          </w:tcPr>
          <w:p>
            <w:pPr>
              <w:ind w:left="60"/>
              <w:spacing w:after="0"/>
              <w:rPr>
                <w:sz w:val="20"/>
                <w:szCs w:val="20"/>
                <w:color w:val="auto"/>
              </w:rPr>
            </w:pPr>
            <w:r>
              <w:rPr>
                <w:rFonts w:ascii="Arial" w:cs="Arial" w:eastAsia="Arial" w:hAnsi="Arial"/>
                <w:sz w:val="16"/>
                <w:szCs w:val="16"/>
                <w:color w:val="auto"/>
              </w:rPr>
              <w:t>Overview</w:t>
            </w:r>
          </w:p>
        </w:tc>
        <w:tc>
          <w:tcPr>
            <w:tcW w:w="98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9400" w:type="dxa"/>
            <w:vAlign w:val="bottom"/>
          </w:tcPr>
          <w:p>
            <w:pPr>
              <w:ind w:left="60"/>
              <w:spacing w:after="0"/>
              <w:rPr>
                <w:sz w:val="20"/>
                <w:szCs w:val="20"/>
                <w:color w:val="auto"/>
              </w:rPr>
            </w:pPr>
            <w:r>
              <w:rPr>
                <w:rFonts w:ascii="Arial" w:cs="Arial" w:eastAsia="Arial" w:hAnsi="Arial"/>
                <w:sz w:val="16"/>
                <w:szCs w:val="16"/>
                <w:color w:val="auto"/>
              </w:rPr>
              <w:t>Organizational structure</w:t>
            </w:r>
          </w:p>
        </w:tc>
        <w:tc>
          <w:tcPr>
            <w:tcW w:w="980" w:type="dxa"/>
            <w:vAlign w:val="bottom"/>
          </w:tcPr>
          <w:p>
            <w:pPr>
              <w:jc w:val="center"/>
              <w:spacing w:after="0"/>
              <w:rPr>
                <w:sz w:val="20"/>
                <w:szCs w:val="20"/>
                <w:color w:val="auto"/>
              </w:rPr>
            </w:pPr>
            <w:r>
              <w:rPr>
                <w:rFonts w:ascii="Arial" w:cs="Arial" w:eastAsia="Arial" w:hAnsi="Arial"/>
                <w:sz w:val="16"/>
                <w:szCs w:val="16"/>
                <w:color w:val="auto"/>
              </w:rPr>
              <w:t>44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9400" w:type="dxa"/>
            <w:vAlign w:val="bottom"/>
          </w:tcPr>
          <w:p>
            <w:pPr>
              <w:ind w:left="60"/>
              <w:spacing w:after="0"/>
              <w:rPr>
                <w:sz w:val="20"/>
                <w:szCs w:val="20"/>
                <w:color w:val="auto"/>
              </w:rPr>
            </w:pPr>
            <w:r>
              <w:rPr>
                <w:rFonts w:ascii="Arial" w:cs="Arial" w:eastAsia="Arial" w:hAnsi="Arial"/>
                <w:sz w:val="16"/>
                <w:szCs w:val="16"/>
                <w:color w:val="auto"/>
              </w:rPr>
              <w:t>Property, plants and equipment</w:t>
            </w:r>
          </w:p>
        </w:tc>
        <w:tc>
          <w:tcPr>
            <w:tcW w:w="980" w:type="dxa"/>
            <w:vAlign w:val="bottom"/>
          </w:tcPr>
          <w:p>
            <w:pPr>
              <w:jc w:val="center"/>
              <w:spacing w:after="0"/>
              <w:rPr>
                <w:sz w:val="20"/>
                <w:szCs w:val="20"/>
                <w:color w:val="auto"/>
              </w:rPr>
            </w:pPr>
            <w:r>
              <w:rPr>
                <w:rFonts w:ascii="Arial" w:cs="Arial" w:eastAsia="Arial" w:hAnsi="Arial"/>
                <w:sz w:val="16"/>
                <w:szCs w:val="16"/>
                <w:color w:val="auto"/>
              </w:rPr>
              <w:t>44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9400" w:type="dxa"/>
            <w:vAlign w:val="bottom"/>
          </w:tcPr>
          <w:p>
            <w:pPr>
              <w:ind w:left="60"/>
              <w:spacing w:after="0"/>
              <w:rPr>
                <w:sz w:val="20"/>
                <w:szCs w:val="20"/>
                <w:color w:val="auto"/>
              </w:rPr>
            </w:pPr>
            <w:r>
              <w:rPr>
                <w:rFonts w:ascii="Arial" w:cs="Arial" w:eastAsia="Arial" w:hAnsi="Arial"/>
                <w:sz w:val="16"/>
                <w:szCs w:val="16"/>
                <w:color w:val="auto"/>
              </w:rPr>
              <w:t>Operating results</w:t>
            </w:r>
          </w:p>
        </w:tc>
        <w:tc>
          <w:tcPr>
            <w:tcW w:w="980" w:type="dxa"/>
            <w:vAlign w:val="bottom"/>
          </w:tcPr>
          <w:p>
            <w:pPr>
              <w:jc w:val="center"/>
              <w:spacing w:after="0"/>
              <w:rPr>
                <w:sz w:val="20"/>
                <w:szCs w:val="20"/>
                <w:color w:val="auto"/>
              </w:rPr>
            </w:pPr>
            <w:r>
              <w:rPr>
                <w:rFonts w:ascii="Arial" w:cs="Arial" w:eastAsia="Arial" w:hAnsi="Arial"/>
                <w:sz w:val="16"/>
                <w:szCs w:val="16"/>
                <w:color w:val="auto"/>
              </w:rPr>
              <w:t>44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9400" w:type="dxa"/>
            <w:vAlign w:val="bottom"/>
          </w:tcPr>
          <w:p>
            <w:pPr>
              <w:ind w:left="60"/>
              <w:spacing w:after="0"/>
              <w:rPr>
                <w:sz w:val="20"/>
                <w:szCs w:val="20"/>
                <w:color w:val="auto"/>
              </w:rPr>
            </w:pPr>
            <w:r>
              <w:rPr>
                <w:rFonts w:ascii="Arial" w:cs="Arial" w:eastAsia="Arial" w:hAnsi="Arial"/>
                <w:sz w:val="16"/>
                <w:szCs w:val="16"/>
                <w:color w:val="auto"/>
              </w:rPr>
              <w:t>Material subsequent events</w:t>
            </w:r>
          </w:p>
        </w:tc>
        <w:tc>
          <w:tcPr>
            <w:tcW w:w="980" w:type="dxa"/>
            <w:vAlign w:val="bottom"/>
          </w:tcPr>
          <w:p>
            <w:pPr>
              <w:jc w:val="center"/>
              <w:spacing w:after="0"/>
              <w:rPr>
                <w:sz w:val="20"/>
                <w:szCs w:val="20"/>
                <w:color w:val="auto"/>
              </w:rPr>
            </w:pPr>
            <w:r>
              <w:rPr>
                <w:rFonts w:ascii="Arial" w:cs="Arial" w:eastAsia="Arial" w:hAnsi="Arial"/>
                <w:sz w:val="16"/>
                <w:szCs w:val="16"/>
                <w:color w:val="auto"/>
              </w:rPr>
              <w:t>53</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9400" w:type="dxa"/>
            <w:vAlign w:val="bottom"/>
          </w:tcPr>
          <w:p>
            <w:pPr>
              <w:ind w:left="60"/>
              <w:spacing w:after="0"/>
              <w:rPr>
                <w:sz w:val="20"/>
                <w:szCs w:val="20"/>
                <w:color w:val="auto"/>
              </w:rPr>
            </w:pPr>
            <w:r>
              <w:rPr>
                <w:rFonts w:ascii="Arial" w:cs="Arial" w:eastAsia="Arial" w:hAnsi="Arial"/>
                <w:sz w:val="16"/>
                <w:szCs w:val="16"/>
                <w:color w:val="auto"/>
              </w:rPr>
              <w:t>Risk factors</w:t>
            </w:r>
          </w:p>
        </w:tc>
        <w:tc>
          <w:tcPr>
            <w:tcW w:w="980" w:type="dxa"/>
            <w:vAlign w:val="bottom"/>
          </w:tcPr>
          <w:p>
            <w:pPr>
              <w:jc w:val="center"/>
              <w:spacing w:after="0"/>
              <w:rPr>
                <w:sz w:val="20"/>
                <w:szCs w:val="20"/>
                <w:color w:val="auto"/>
              </w:rPr>
            </w:pPr>
            <w:r>
              <w:rPr>
                <w:rFonts w:ascii="Arial" w:cs="Arial" w:eastAsia="Arial" w:hAnsi="Arial"/>
                <w:sz w:val="16"/>
                <w:szCs w:val="16"/>
                <w:color w:val="auto"/>
              </w:rPr>
              <w:t>54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9400" w:type="dxa"/>
            <w:vAlign w:val="bottom"/>
          </w:tcPr>
          <w:p>
            <w:pPr>
              <w:ind w:left="60"/>
              <w:spacing w:after="0"/>
              <w:rPr>
                <w:sz w:val="20"/>
                <w:szCs w:val="20"/>
                <w:color w:val="auto"/>
              </w:rPr>
            </w:pPr>
            <w:r>
              <w:rPr>
                <w:rFonts w:ascii="Arial" w:cs="Arial" w:eastAsia="Arial" w:hAnsi="Arial"/>
                <w:sz w:val="16"/>
                <w:szCs w:val="16"/>
                <w:color w:val="auto"/>
              </w:rPr>
              <w:t>Summary of key risk factors</w:t>
            </w:r>
          </w:p>
        </w:tc>
        <w:tc>
          <w:tcPr>
            <w:tcW w:w="980" w:type="dxa"/>
            <w:vAlign w:val="bottom"/>
          </w:tcPr>
          <w:p>
            <w:pPr>
              <w:jc w:val="center"/>
              <w:spacing w:after="0"/>
              <w:rPr>
                <w:sz w:val="20"/>
                <w:szCs w:val="20"/>
                <w:color w:val="auto"/>
              </w:rPr>
            </w:pPr>
            <w:r>
              <w:rPr>
                <w:rFonts w:ascii="Arial" w:cs="Arial" w:eastAsia="Arial" w:hAnsi="Arial"/>
                <w:sz w:val="16"/>
                <w:szCs w:val="16"/>
                <w:color w:val="auto"/>
              </w:rPr>
              <w:t>54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9400" w:type="dxa"/>
            <w:vAlign w:val="bottom"/>
          </w:tcPr>
          <w:p>
            <w:pPr>
              <w:ind w:left="60"/>
              <w:spacing w:after="0"/>
              <w:rPr>
                <w:sz w:val="20"/>
                <w:szCs w:val="20"/>
                <w:color w:val="auto"/>
              </w:rPr>
            </w:pPr>
            <w:r>
              <w:rPr>
                <w:rFonts w:ascii="Arial" w:cs="Arial" w:eastAsia="Arial" w:hAnsi="Arial"/>
                <w:sz w:val="16"/>
                <w:szCs w:val="16"/>
                <w:color w:val="auto"/>
              </w:rPr>
              <w:t>Risk factors</w:t>
            </w:r>
          </w:p>
        </w:tc>
        <w:tc>
          <w:tcPr>
            <w:tcW w:w="980" w:type="dxa"/>
            <w:vAlign w:val="bottom"/>
          </w:tcPr>
          <w:p>
            <w:pPr>
              <w:jc w:val="center"/>
              <w:spacing w:after="0"/>
              <w:rPr>
                <w:sz w:val="20"/>
                <w:szCs w:val="20"/>
                <w:color w:val="auto"/>
              </w:rPr>
            </w:pPr>
            <w:r>
              <w:rPr>
                <w:rFonts w:ascii="Arial" w:cs="Arial" w:eastAsia="Arial" w:hAnsi="Arial"/>
                <w:sz w:val="16"/>
                <w:szCs w:val="16"/>
                <w:color w:val="auto"/>
              </w:rPr>
              <w:t>55</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9400" w:type="dxa"/>
            <w:vAlign w:val="bottom"/>
          </w:tcPr>
          <w:p>
            <w:pPr>
              <w:ind w:left="60"/>
              <w:spacing w:after="0"/>
              <w:rPr>
                <w:sz w:val="20"/>
                <w:szCs w:val="20"/>
                <w:color w:val="auto"/>
              </w:rPr>
            </w:pPr>
            <w:r>
              <w:rPr>
                <w:rFonts w:ascii="Arial" w:cs="Arial" w:eastAsia="Arial" w:hAnsi="Arial"/>
                <w:sz w:val="16"/>
                <w:szCs w:val="16"/>
                <w:color w:val="auto"/>
              </w:rPr>
              <w:t>Controls and procedures</w:t>
            </w:r>
          </w:p>
        </w:tc>
        <w:tc>
          <w:tcPr>
            <w:tcW w:w="980" w:type="dxa"/>
            <w:vAlign w:val="bottom"/>
          </w:tcPr>
          <w:p>
            <w:pPr>
              <w:jc w:val="center"/>
              <w:spacing w:after="0"/>
              <w:rPr>
                <w:sz w:val="20"/>
                <w:szCs w:val="20"/>
                <w:color w:val="auto"/>
              </w:rPr>
            </w:pPr>
            <w:r>
              <w:rPr>
                <w:rFonts w:ascii="Arial" w:cs="Arial" w:eastAsia="Arial" w:hAnsi="Arial"/>
                <w:sz w:val="16"/>
                <w:szCs w:val="16"/>
                <w:color w:val="auto"/>
              </w:rPr>
              <w:t>90</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9400" w:type="dxa"/>
            <w:vAlign w:val="bottom"/>
          </w:tcPr>
          <w:p>
            <w:pPr>
              <w:ind w:left="60"/>
              <w:spacing w:after="0"/>
              <w:rPr>
                <w:sz w:val="20"/>
                <w:szCs w:val="20"/>
                <w:color w:val="auto"/>
              </w:rPr>
            </w:pPr>
            <w:r>
              <w:rPr>
                <w:rFonts w:ascii="Arial" w:cs="Arial" w:eastAsia="Arial" w:hAnsi="Arial"/>
                <w:sz w:val="16"/>
                <w:szCs w:val="16"/>
                <w:color w:val="auto"/>
              </w:rPr>
              <w:t>Risk management and control systems</w:t>
            </w:r>
          </w:p>
        </w:tc>
        <w:tc>
          <w:tcPr>
            <w:tcW w:w="980" w:type="dxa"/>
            <w:vAlign w:val="bottom"/>
          </w:tcPr>
          <w:p>
            <w:pPr>
              <w:jc w:val="center"/>
              <w:spacing w:after="0"/>
              <w:rPr>
                <w:sz w:val="20"/>
                <w:szCs w:val="20"/>
                <w:color w:val="auto"/>
              </w:rPr>
            </w:pPr>
            <w:r>
              <w:rPr>
                <w:rFonts w:ascii="Arial" w:cs="Arial" w:eastAsia="Arial" w:hAnsi="Arial"/>
                <w:sz w:val="16"/>
                <w:szCs w:val="16"/>
                <w:color w:val="auto"/>
              </w:rPr>
              <w:t>90</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9400" w:type="dxa"/>
            <w:vAlign w:val="bottom"/>
          </w:tcPr>
          <w:p>
            <w:pPr>
              <w:ind w:left="60"/>
              <w:spacing w:after="0"/>
              <w:rPr>
                <w:sz w:val="20"/>
                <w:szCs w:val="20"/>
                <w:color w:val="auto"/>
              </w:rPr>
            </w:pPr>
            <w:r>
              <w:rPr>
                <w:rFonts w:ascii="Arial" w:cs="Arial" w:eastAsia="Arial" w:hAnsi="Arial"/>
                <w:sz w:val="16"/>
                <w:szCs w:val="16"/>
                <w:color w:val="auto"/>
              </w:rPr>
              <w:t>In control statement</w:t>
            </w:r>
          </w:p>
        </w:tc>
        <w:tc>
          <w:tcPr>
            <w:tcW w:w="980" w:type="dxa"/>
            <w:vAlign w:val="bottom"/>
          </w:tcPr>
          <w:p>
            <w:pPr>
              <w:jc w:val="center"/>
              <w:spacing w:after="0"/>
              <w:rPr>
                <w:sz w:val="20"/>
                <w:szCs w:val="20"/>
                <w:color w:val="auto"/>
              </w:rPr>
            </w:pPr>
            <w:r>
              <w:rPr>
                <w:rFonts w:ascii="Arial" w:cs="Arial" w:eastAsia="Arial" w:hAnsi="Arial"/>
                <w:sz w:val="16"/>
                <w:szCs w:val="16"/>
                <w:color w:val="auto"/>
              </w:rPr>
              <w:t>92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9400" w:type="dxa"/>
            <w:vAlign w:val="bottom"/>
          </w:tcPr>
          <w:p>
            <w:pPr>
              <w:ind w:left="60"/>
              <w:spacing w:after="0"/>
              <w:rPr>
                <w:sz w:val="20"/>
                <w:szCs w:val="20"/>
                <w:color w:val="auto"/>
              </w:rPr>
            </w:pPr>
            <w:r>
              <w:rPr>
                <w:rFonts w:ascii="Arial" w:cs="Arial" w:eastAsia="Arial" w:hAnsi="Arial"/>
                <w:sz w:val="16"/>
                <w:szCs w:val="16"/>
                <w:color w:val="auto"/>
              </w:rPr>
              <w:t>Corporate Governance</w:t>
            </w:r>
          </w:p>
        </w:tc>
        <w:tc>
          <w:tcPr>
            <w:tcW w:w="980" w:type="dxa"/>
            <w:vAlign w:val="bottom"/>
          </w:tcPr>
          <w:p>
            <w:pPr>
              <w:jc w:val="center"/>
              <w:spacing w:after="0"/>
              <w:rPr>
                <w:sz w:val="20"/>
                <w:szCs w:val="20"/>
                <w:color w:val="auto"/>
              </w:rPr>
            </w:pPr>
            <w:r>
              <w:rPr>
                <w:rFonts w:ascii="Arial" w:cs="Arial" w:eastAsia="Arial" w:hAnsi="Arial"/>
                <w:sz w:val="16"/>
                <w:szCs w:val="16"/>
                <w:color w:val="auto"/>
              </w:rPr>
              <w:t>92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9400" w:type="dxa"/>
            <w:vAlign w:val="bottom"/>
          </w:tcPr>
          <w:p>
            <w:pPr>
              <w:ind w:left="60"/>
              <w:spacing w:after="0"/>
              <w:rPr>
                <w:sz w:val="20"/>
                <w:szCs w:val="20"/>
                <w:color w:val="auto"/>
              </w:rPr>
            </w:pPr>
            <w:r>
              <w:rPr>
                <w:rFonts w:ascii="Arial" w:cs="Arial" w:eastAsia="Arial" w:hAnsi="Arial"/>
                <w:sz w:val="16"/>
                <w:szCs w:val="16"/>
                <w:color w:val="auto"/>
              </w:rPr>
              <w:t>Dutch Corporate Governance Code</w:t>
            </w:r>
          </w:p>
        </w:tc>
        <w:tc>
          <w:tcPr>
            <w:tcW w:w="980" w:type="dxa"/>
            <w:vAlign w:val="bottom"/>
          </w:tcPr>
          <w:p>
            <w:pPr>
              <w:jc w:val="center"/>
              <w:spacing w:after="0"/>
              <w:rPr>
                <w:sz w:val="20"/>
                <w:szCs w:val="20"/>
                <w:color w:val="auto"/>
              </w:rPr>
            </w:pPr>
            <w:r>
              <w:rPr>
                <w:rFonts w:ascii="Arial" w:cs="Arial" w:eastAsia="Arial" w:hAnsi="Arial"/>
                <w:sz w:val="16"/>
                <w:szCs w:val="16"/>
                <w:color w:val="auto"/>
              </w:rPr>
              <w:t>92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9400" w:type="dxa"/>
            <w:vAlign w:val="bottom"/>
          </w:tcPr>
          <w:p>
            <w:pPr>
              <w:ind w:left="60"/>
              <w:spacing w:after="0"/>
              <w:rPr>
                <w:sz w:val="20"/>
                <w:szCs w:val="20"/>
                <w:color w:val="auto"/>
              </w:rPr>
            </w:pPr>
            <w:r>
              <w:rPr>
                <w:rFonts w:ascii="Arial" w:cs="Arial" w:eastAsia="Arial" w:hAnsi="Arial"/>
                <w:sz w:val="16"/>
                <w:szCs w:val="16"/>
                <w:color w:val="auto"/>
              </w:rPr>
              <w:t>Code of business conduct and ethics and other corporate governance practices</w:t>
            </w:r>
          </w:p>
        </w:tc>
        <w:tc>
          <w:tcPr>
            <w:tcW w:w="980" w:type="dxa"/>
            <w:vAlign w:val="bottom"/>
          </w:tcPr>
          <w:p>
            <w:pPr>
              <w:jc w:val="center"/>
              <w:spacing w:after="0"/>
              <w:rPr>
                <w:sz w:val="20"/>
                <w:szCs w:val="20"/>
                <w:color w:val="auto"/>
              </w:rPr>
            </w:pPr>
            <w:r>
              <w:rPr>
                <w:rFonts w:ascii="Arial" w:cs="Arial" w:eastAsia="Arial" w:hAnsi="Arial"/>
                <w:sz w:val="16"/>
                <w:szCs w:val="16"/>
                <w:color w:val="auto"/>
              </w:rPr>
              <w:t>93</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9400" w:type="dxa"/>
            <w:vAlign w:val="bottom"/>
          </w:tcPr>
          <w:p>
            <w:pPr>
              <w:ind w:left="60"/>
              <w:spacing w:after="0"/>
              <w:rPr>
                <w:sz w:val="20"/>
                <w:szCs w:val="20"/>
                <w:color w:val="auto"/>
              </w:rPr>
            </w:pPr>
            <w:r>
              <w:rPr>
                <w:rFonts w:ascii="Arial" w:cs="Arial" w:eastAsia="Arial" w:hAnsi="Arial"/>
                <w:sz w:val="16"/>
                <w:szCs w:val="16"/>
                <w:color w:val="auto"/>
              </w:rPr>
              <w:t>Risk management and control systems</w:t>
            </w:r>
          </w:p>
        </w:tc>
        <w:tc>
          <w:tcPr>
            <w:tcW w:w="980" w:type="dxa"/>
            <w:vAlign w:val="bottom"/>
          </w:tcPr>
          <w:p>
            <w:pPr>
              <w:jc w:val="center"/>
              <w:spacing w:after="0"/>
              <w:rPr>
                <w:sz w:val="20"/>
                <w:szCs w:val="20"/>
                <w:color w:val="auto"/>
              </w:rPr>
            </w:pPr>
            <w:r>
              <w:rPr>
                <w:rFonts w:ascii="Arial" w:cs="Arial" w:eastAsia="Arial" w:hAnsi="Arial"/>
                <w:sz w:val="16"/>
                <w:szCs w:val="16"/>
                <w:color w:val="auto"/>
              </w:rPr>
              <w:t>93</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9400" w:type="dxa"/>
            <w:vAlign w:val="bottom"/>
          </w:tcPr>
          <w:p>
            <w:pPr>
              <w:ind w:left="60"/>
              <w:spacing w:after="0"/>
              <w:rPr>
                <w:sz w:val="20"/>
                <w:szCs w:val="20"/>
                <w:color w:val="auto"/>
              </w:rPr>
            </w:pPr>
            <w:r>
              <w:rPr>
                <w:rFonts w:ascii="Arial" w:cs="Arial" w:eastAsia="Arial" w:hAnsi="Arial"/>
                <w:sz w:val="16"/>
                <w:szCs w:val="16"/>
                <w:color w:val="auto"/>
              </w:rPr>
              <w:t>General Meeting</w:t>
            </w:r>
          </w:p>
        </w:tc>
        <w:tc>
          <w:tcPr>
            <w:tcW w:w="980" w:type="dxa"/>
            <w:vAlign w:val="bottom"/>
          </w:tcPr>
          <w:p>
            <w:pPr>
              <w:jc w:val="center"/>
              <w:spacing w:after="0"/>
              <w:rPr>
                <w:sz w:val="20"/>
                <w:szCs w:val="20"/>
                <w:color w:val="auto"/>
              </w:rPr>
            </w:pPr>
            <w:r>
              <w:rPr>
                <w:rFonts w:ascii="Arial" w:cs="Arial" w:eastAsia="Arial" w:hAnsi="Arial"/>
                <w:sz w:val="16"/>
                <w:szCs w:val="16"/>
                <w:color w:val="auto"/>
              </w:rPr>
              <w:t>93</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5.4.1</w:t>
            </w:r>
          </w:p>
        </w:tc>
        <w:tc>
          <w:tcPr>
            <w:tcW w:w="9400" w:type="dxa"/>
            <w:vAlign w:val="bottom"/>
          </w:tcPr>
          <w:p>
            <w:pPr>
              <w:ind w:left="60"/>
              <w:spacing w:after="0"/>
              <w:rPr>
                <w:sz w:val="20"/>
                <w:szCs w:val="20"/>
                <w:color w:val="auto"/>
              </w:rPr>
            </w:pPr>
            <w:r>
              <w:rPr>
                <w:rFonts w:ascii="Arial" w:cs="Arial" w:eastAsia="Arial" w:hAnsi="Arial"/>
                <w:sz w:val="16"/>
                <w:szCs w:val="16"/>
                <w:color w:val="auto"/>
              </w:rPr>
              <w:t>Functioning of the General Meeting</w:t>
            </w:r>
          </w:p>
        </w:tc>
        <w:tc>
          <w:tcPr>
            <w:tcW w:w="980" w:type="dxa"/>
            <w:vAlign w:val="bottom"/>
          </w:tcPr>
          <w:p>
            <w:pPr>
              <w:jc w:val="center"/>
              <w:spacing w:after="0"/>
              <w:rPr>
                <w:sz w:val="20"/>
                <w:szCs w:val="20"/>
                <w:color w:val="auto"/>
              </w:rPr>
            </w:pPr>
            <w:r>
              <w:rPr>
                <w:rFonts w:ascii="Arial" w:cs="Arial" w:eastAsia="Arial" w:hAnsi="Arial"/>
                <w:sz w:val="16"/>
                <w:szCs w:val="16"/>
                <w:color w:val="auto"/>
              </w:rPr>
              <w:t>94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5.4.2</w:t>
            </w:r>
          </w:p>
        </w:tc>
        <w:tc>
          <w:tcPr>
            <w:tcW w:w="9400" w:type="dxa"/>
            <w:vAlign w:val="bottom"/>
          </w:tcPr>
          <w:p>
            <w:pPr>
              <w:ind w:left="60"/>
              <w:spacing w:after="0"/>
              <w:rPr>
                <w:sz w:val="20"/>
                <w:szCs w:val="20"/>
                <w:color w:val="auto"/>
              </w:rPr>
            </w:pPr>
            <w:r>
              <w:rPr>
                <w:rFonts w:ascii="Arial" w:cs="Arial" w:eastAsia="Arial" w:hAnsi="Arial"/>
                <w:sz w:val="16"/>
                <w:szCs w:val="16"/>
                <w:color w:val="auto"/>
              </w:rPr>
              <w:t>Powers of the General Meeting</w:t>
            </w:r>
          </w:p>
        </w:tc>
        <w:tc>
          <w:tcPr>
            <w:tcW w:w="980" w:type="dxa"/>
            <w:vAlign w:val="bottom"/>
          </w:tcPr>
          <w:p>
            <w:pPr>
              <w:jc w:val="center"/>
              <w:spacing w:after="0"/>
              <w:rPr>
                <w:sz w:val="20"/>
                <w:szCs w:val="20"/>
                <w:color w:val="auto"/>
              </w:rPr>
            </w:pPr>
            <w:r>
              <w:rPr>
                <w:rFonts w:ascii="Arial" w:cs="Arial" w:eastAsia="Arial" w:hAnsi="Arial"/>
                <w:sz w:val="16"/>
                <w:szCs w:val="16"/>
                <w:color w:val="auto"/>
              </w:rPr>
              <w:t>94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5.4.3</w:t>
            </w:r>
          </w:p>
        </w:tc>
        <w:tc>
          <w:tcPr>
            <w:tcW w:w="9400" w:type="dxa"/>
            <w:vAlign w:val="bottom"/>
          </w:tcPr>
          <w:p>
            <w:pPr>
              <w:ind w:left="60"/>
              <w:spacing w:after="0"/>
              <w:rPr>
                <w:sz w:val="20"/>
                <w:szCs w:val="20"/>
                <w:color w:val="auto"/>
              </w:rPr>
            </w:pPr>
            <w:r>
              <w:rPr>
                <w:rFonts w:ascii="Arial" w:cs="Arial" w:eastAsia="Arial" w:hAnsi="Arial"/>
                <w:sz w:val="16"/>
                <w:szCs w:val="16"/>
                <w:color w:val="auto"/>
              </w:rPr>
              <w:t>Shareholder rights</w:t>
            </w:r>
          </w:p>
        </w:tc>
        <w:tc>
          <w:tcPr>
            <w:tcW w:w="980" w:type="dxa"/>
            <w:vAlign w:val="bottom"/>
          </w:tcPr>
          <w:p>
            <w:pPr>
              <w:jc w:val="center"/>
              <w:spacing w:after="0"/>
              <w:rPr>
                <w:sz w:val="20"/>
                <w:szCs w:val="20"/>
                <w:color w:val="auto"/>
              </w:rPr>
            </w:pPr>
            <w:r>
              <w:rPr>
                <w:rFonts w:ascii="Arial" w:cs="Arial" w:eastAsia="Arial" w:hAnsi="Arial"/>
                <w:sz w:val="16"/>
                <w:szCs w:val="16"/>
                <w:color w:val="auto"/>
              </w:rPr>
              <w:t>94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9400" w:type="dxa"/>
            <w:vAlign w:val="bottom"/>
          </w:tcPr>
          <w:p>
            <w:pPr>
              <w:ind w:left="60"/>
              <w:spacing w:after="0"/>
              <w:rPr>
                <w:sz w:val="20"/>
                <w:szCs w:val="20"/>
                <w:color w:val="auto"/>
              </w:rPr>
            </w:pPr>
            <w:r>
              <w:rPr>
                <w:rFonts w:ascii="Arial" w:cs="Arial" w:eastAsia="Arial" w:hAnsi="Arial"/>
                <w:sz w:val="16"/>
                <w:szCs w:val="16"/>
                <w:color w:val="auto"/>
              </w:rPr>
              <w:t>Board</w:t>
            </w:r>
          </w:p>
        </w:tc>
        <w:tc>
          <w:tcPr>
            <w:tcW w:w="980" w:type="dxa"/>
            <w:vAlign w:val="bottom"/>
          </w:tcPr>
          <w:p>
            <w:pPr>
              <w:jc w:val="center"/>
              <w:spacing w:after="0"/>
              <w:rPr>
                <w:sz w:val="20"/>
                <w:szCs w:val="20"/>
                <w:color w:val="auto"/>
              </w:rPr>
            </w:pPr>
            <w:r>
              <w:rPr>
                <w:rFonts w:ascii="Arial" w:cs="Arial" w:eastAsia="Arial" w:hAnsi="Arial"/>
                <w:sz w:val="16"/>
                <w:szCs w:val="16"/>
                <w:color w:val="auto"/>
              </w:rPr>
              <w:t>94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9400" w:type="dxa"/>
            <w:vAlign w:val="bottom"/>
          </w:tcPr>
          <w:p>
            <w:pPr>
              <w:ind w:left="60"/>
              <w:spacing w:after="0"/>
              <w:rPr>
                <w:sz w:val="20"/>
                <w:szCs w:val="20"/>
                <w:color w:val="auto"/>
              </w:rPr>
            </w:pPr>
            <w:r>
              <w:rPr>
                <w:rFonts w:ascii="Arial" w:cs="Arial" w:eastAsia="Arial" w:hAnsi="Arial"/>
                <w:sz w:val="16"/>
                <w:szCs w:val="16"/>
                <w:color w:val="auto"/>
              </w:rPr>
              <w:t>Committees</w:t>
            </w:r>
          </w:p>
        </w:tc>
        <w:tc>
          <w:tcPr>
            <w:tcW w:w="980" w:type="dxa"/>
            <w:vAlign w:val="bottom"/>
          </w:tcPr>
          <w:p>
            <w:pPr>
              <w:jc w:val="center"/>
              <w:spacing w:after="0"/>
              <w:rPr>
                <w:sz w:val="20"/>
                <w:szCs w:val="20"/>
                <w:color w:val="auto"/>
              </w:rPr>
            </w:pPr>
            <w:r>
              <w:rPr>
                <w:rFonts w:ascii="Arial" w:cs="Arial" w:eastAsia="Arial" w:hAnsi="Arial"/>
                <w:sz w:val="16"/>
                <w:szCs w:val="16"/>
                <w:color w:val="auto"/>
              </w:rPr>
              <w:t>96</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5.6.1</w:t>
            </w:r>
          </w:p>
        </w:tc>
        <w:tc>
          <w:tcPr>
            <w:tcW w:w="9400" w:type="dxa"/>
            <w:vAlign w:val="bottom"/>
          </w:tcPr>
          <w:p>
            <w:pPr>
              <w:ind w:left="60"/>
              <w:spacing w:after="0"/>
              <w:rPr>
                <w:sz w:val="20"/>
                <w:szCs w:val="20"/>
                <w:color w:val="auto"/>
              </w:rPr>
            </w:pPr>
            <w:r>
              <w:rPr>
                <w:rFonts w:ascii="Arial" w:cs="Arial" w:eastAsia="Arial" w:hAnsi="Arial"/>
                <w:sz w:val="16"/>
                <w:szCs w:val="16"/>
                <w:color w:val="auto"/>
              </w:rPr>
              <w:t>General</w:t>
            </w:r>
          </w:p>
        </w:tc>
        <w:tc>
          <w:tcPr>
            <w:tcW w:w="980" w:type="dxa"/>
            <w:vAlign w:val="bottom"/>
          </w:tcPr>
          <w:p>
            <w:pPr>
              <w:jc w:val="center"/>
              <w:spacing w:after="0"/>
              <w:rPr>
                <w:sz w:val="20"/>
                <w:szCs w:val="20"/>
                <w:color w:val="auto"/>
              </w:rPr>
            </w:pPr>
            <w:r>
              <w:rPr>
                <w:rFonts w:ascii="Arial" w:cs="Arial" w:eastAsia="Arial" w:hAnsi="Arial"/>
                <w:sz w:val="16"/>
                <w:szCs w:val="16"/>
                <w:color w:val="auto"/>
              </w:rPr>
              <w:t>96</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5.6.2</w:t>
            </w:r>
          </w:p>
        </w:tc>
        <w:tc>
          <w:tcPr>
            <w:tcW w:w="9400" w:type="dxa"/>
            <w:vAlign w:val="bottom"/>
          </w:tcPr>
          <w:p>
            <w:pPr>
              <w:ind w:left="60"/>
              <w:spacing w:after="0"/>
              <w:rPr>
                <w:sz w:val="20"/>
                <w:szCs w:val="20"/>
                <w:color w:val="auto"/>
              </w:rPr>
            </w:pPr>
            <w:r>
              <w:rPr>
                <w:rFonts w:ascii="Arial" w:cs="Arial" w:eastAsia="Arial" w:hAnsi="Arial"/>
                <w:sz w:val="16"/>
                <w:szCs w:val="16"/>
                <w:color w:val="auto"/>
              </w:rPr>
              <w:t>Audit committee</w:t>
            </w:r>
          </w:p>
        </w:tc>
        <w:tc>
          <w:tcPr>
            <w:tcW w:w="980" w:type="dxa"/>
            <w:vAlign w:val="bottom"/>
          </w:tcPr>
          <w:p>
            <w:pPr>
              <w:jc w:val="center"/>
              <w:spacing w:after="0"/>
              <w:rPr>
                <w:sz w:val="20"/>
                <w:szCs w:val="20"/>
                <w:color w:val="auto"/>
              </w:rPr>
            </w:pPr>
            <w:r>
              <w:rPr>
                <w:rFonts w:ascii="Arial" w:cs="Arial" w:eastAsia="Arial" w:hAnsi="Arial"/>
                <w:sz w:val="16"/>
                <w:szCs w:val="16"/>
                <w:color w:val="auto"/>
              </w:rPr>
              <w:t>96</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5.6.3</w:t>
            </w:r>
          </w:p>
        </w:tc>
        <w:tc>
          <w:tcPr>
            <w:tcW w:w="940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980" w:type="dxa"/>
            <w:vAlign w:val="bottom"/>
          </w:tcPr>
          <w:p>
            <w:pPr>
              <w:jc w:val="center"/>
              <w:spacing w:after="0"/>
              <w:rPr>
                <w:sz w:val="20"/>
                <w:szCs w:val="20"/>
                <w:color w:val="auto"/>
              </w:rPr>
            </w:pPr>
            <w:r>
              <w:rPr>
                <w:rFonts w:ascii="Arial" w:cs="Arial" w:eastAsia="Arial" w:hAnsi="Arial"/>
                <w:sz w:val="16"/>
                <w:szCs w:val="16"/>
                <w:color w:val="auto"/>
              </w:rPr>
              <w:t>98</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5.6.4</w:t>
            </w:r>
          </w:p>
        </w:tc>
        <w:tc>
          <w:tcPr>
            <w:tcW w:w="9400" w:type="dxa"/>
            <w:vAlign w:val="bottom"/>
          </w:tcPr>
          <w:p>
            <w:pPr>
              <w:ind w:left="60"/>
              <w:spacing w:after="0"/>
              <w:rPr>
                <w:sz w:val="20"/>
                <w:szCs w:val="20"/>
                <w:color w:val="auto"/>
              </w:rPr>
            </w:pPr>
            <w:r>
              <w:rPr>
                <w:rFonts w:ascii="Arial" w:cs="Arial" w:eastAsia="Arial" w:hAnsi="Arial"/>
                <w:sz w:val="16"/>
                <w:szCs w:val="16"/>
                <w:color w:val="auto"/>
              </w:rPr>
              <w:t>Nomination and corporate governance committee</w:t>
            </w:r>
          </w:p>
        </w:tc>
        <w:tc>
          <w:tcPr>
            <w:tcW w:w="980" w:type="dxa"/>
            <w:vAlign w:val="bottom"/>
          </w:tcPr>
          <w:p>
            <w:pPr>
              <w:jc w:val="center"/>
              <w:spacing w:after="0"/>
              <w:rPr>
                <w:sz w:val="20"/>
                <w:szCs w:val="20"/>
                <w:color w:val="auto"/>
              </w:rPr>
            </w:pPr>
            <w:r>
              <w:rPr>
                <w:rFonts w:ascii="Arial" w:cs="Arial" w:eastAsia="Arial" w:hAnsi="Arial"/>
                <w:sz w:val="16"/>
                <w:szCs w:val="16"/>
                <w:color w:val="auto"/>
              </w:rPr>
              <w:t>98</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9400" w:type="dxa"/>
            <w:vAlign w:val="bottom"/>
          </w:tcPr>
          <w:p>
            <w:pPr>
              <w:ind w:left="60"/>
              <w:spacing w:after="0"/>
              <w:rPr>
                <w:sz w:val="20"/>
                <w:szCs w:val="20"/>
                <w:color w:val="auto"/>
              </w:rPr>
            </w:pPr>
            <w:r>
              <w:rPr>
                <w:rFonts w:ascii="Arial" w:cs="Arial" w:eastAsia="Arial" w:hAnsi="Arial"/>
                <w:sz w:val="16"/>
                <w:szCs w:val="16"/>
                <w:color w:val="auto"/>
              </w:rPr>
              <w:t>Evaluation</w:t>
            </w:r>
          </w:p>
        </w:tc>
        <w:tc>
          <w:tcPr>
            <w:tcW w:w="980" w:type="dxa"/>
            <w:vAlign w:val="bottom"/>
          </w:tcPr>
          <w:p>
            <w:pPr>
              <w:jc w:val="center"/>
              <w:spacing w:after="0"/>
              <w:rPr>
                <w:sz w:val="20"/>
                <w:szCs w:val="20"/>
                <w:color w:val="auto"/>
              </w:rPr>
            </w:pPr>
            <w:r>
              <w:rPr>
                <w:rFonts w:ascii="Arial" w:cs="Arial" w:eastAsia="Arial" w:hAnsi="Arial"/>
                <w:sz w:val="16"/>
                <w:szCs w:val="16"/>
                <w:color w:val="auto"/>
              </w:rPr>
              <w:t>99</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5.8</w:t>
            </w:r>
          </w:p>
        </w:tc>
        <w:tc>
          <w:tcPr>
            <w:tcW w:w="9400" w:type="dxa"/>
            <w:vAlign w:val="bottom"/>
          </w:tcPr>
          <w:p>
            <w:pPr>
              <w:ind w:left="60"/>
              <w:spacing w:after="0"/>
              <w:rPr>
                <w:sz w:val="20"/>
                <w:szCs w:val="20"/>
                <w:color w:val="auto"/>
              </w:rPr>
            </w:pPr>
            <w:r>
              <w:rPr>
                <w:rFonts w:ascii="Arial" w:cs="Arial" w:eastAsia="Arial" w:hAnsi="Arial"/>
                <w:sz w:val="16"/>
                <w:szCs w:val="16"/>
                <w:color w:val="auto"/>
              </w:rPr>
              <w:t>Diversity</w:t>
            </w:r>
          </w:p>
        </w:tc>
        <w:tc>
          <w:tcPr>
            <w:tcW w:w="980" w:type="dxa"/>
            <w:vAlign w:val="bottom"/>
          </w:tcPr>
          <w:p>
            <w:pPr>
              <w:jc w:val="center"/>
              <w:spacing w:after="0"/>
              <w:rPr>
                <w:sz w:val="20"/>
                <w:szCs w:val="20"/>
                <w:color w:val="auto"/>
              </w:rPr>
            </w:pPr>
            <w:r>
              <w:rPr>
                <w:rFonts w:ascii="Arial" w:cs="Arial" w:eastAsia="Arial" w:hAnsi="Arial"/>
                <w:sz w:val="16"/>
                <w:szCs w:val="16"/>
                <w:color w:val="auto"/>
              </w:rPr>
              <w:t>99</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9400" w:type="dxa"/>
            <w:vAlign w:val="bottom"/>
          </w:tcPr>
          <w:p>
            <w:pPr>
              <w:ind w:left="60"/>
              <w:spacing w:after="0"/>
              <w:rPr>
                <w:sz w:val="20"/>
                <w:szCs w:val="20"/>
                <w:color w:val="auto"/>
              </w:rPr>
            </w:pPr>
            <w:r>
              <w:rPr>
                <w:rFonts w:ascii="Arial" w:cs="Arial" w:eastAsia="Arial" w:hAnsi="Arial"/>
                <w:sz w:val="16"/>
                <w:szCs w:val="16"/>
                <w:color w:val="auto"/>
              </w:rPr>
              <w:t>Corporate values and code of business conduct and ethics</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9400" w:type="dxa"/>
            <w:vAlign w:val="bottom"/>
          </w:tcPr>
          <w:p>
            <w:pPr>
              <w:ind w:left="60"/>
              <w:spacing w:after="0"/>
              <w:rPr>
                <w:sz w:val="20"/>
                <w:szCs w:val="20"/>
                <w:color w:val="auto"/>
              </w:rPr>
            </w:pPr>
            <w:r>
              <w:rPr>
                <w:rFonts w:ascii="Arial" w:cs="Arial" w:eastAsia="Arial" w:hAnsi="Arial"/>
                <w:sz w:val="16"/>
                <w:szCs w:val="16"/>
                <w:color w:val="auto"/>
              </w:rPr>
              <w:t>Compensation</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9400" w:type="dxa"/>
            <w:vAlign w:val="bottom"/>
          </w:tcPr>
          <w:p>
            <w:pPr>
              <w:ind w:left="60"/>
              <w:spacing w:after="0"/>
              <w:rPr>
                <w:sz w:val="20"/>
                <w:szCs w:val="20"/>
                <w:color w:val="auto"/>
              </w:rPr>
            </w:pPr>
            <w:r>
              <w:rPr>
                <w:rFonts w:ascii="Arial" w:cs="Arial" w:eastAsia="Arial" w:hAnsi="Arial"/>
                <w:sz w:val="16"/>
                <w:szCs w:val="16"/>
                <w:color w:val="auto"/>
              </w:rPr>
              <w:t>Compensation policy</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9400" w:type="dxa"/>
            <w:vAlign w:val="bottom"/>
          </w:tcPr>
          <w:p>
            <w:pPr>
              <w:ind w:left="60"/>
              <w:spacing w:after="0"/>
              <w:rPr>
                <w:sz w:val="20"/>
                <w:szCs w:val="20"/>
                <w:color w:val="auto"/>
              </w:rPr>
            </w:pPr>
            <w:r>
              <w:rPr>
                <w:rFonts w:ascii="Arial" w:cs="Arial" w:eastAsia="Arial" w:hAnsi="Arial"/>
                <w:sz w:val="16"/>
                <w:szCs w:val="16"/>
                <w:color w:val="auto"/>
              </w:rPr>
              <w:t>Compensation of directors</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101</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9400" w:type="dxa"/>
            <w:vAlign w:val="bottom"/>
          </w:tcPr>
          <w:p>
            <w:pPr>
              <w:ind w:left="60"/>
              <w:spacing w:after="0"/>
              <w:rPr>
                <w:sz w:val="20"/>
                <w:szCs w:val="20"/>
                <w:color w:val="auto"/>
              </w:rPr>
            </w:pPr>
            <w:r>
              <w:rPr>
                <w:rFonts w:ascii="Arial" w:cs="Arial" w:eastAsia="Arial" w:hAnsi="Arial"/>
                <w:sz w:val="16"/>
                <w:szCs w:val="16"/>
                <w:color w:val="auto"/>
              </w:rPr>
              <w:t>Pay ratio</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101</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9400" w:type="dxa"/>
            <w:vAlign w:val="bottom"/>
          </w:tcPr>
          <w:p>
            <w:pPr>
              <w:ind w:left="60"/>
              <w:spacing w:after="0"/>
              <w:rPr>
                <w:sz w:val="20"/>
                <w:szCs w:val="20"/>
                <w:color w:val="auto"/>
              </w:rPr>
            </w:pPr>
            <w:r>
              <w:rPr>
                <w:rFonts w:ascii="Arial" w:cs="Arial" w:eastAsia="Arial" w:hAnsi="Arial"/>
                <w:sz w:val="16"/>
                <w:szCs w:val="16"/>
                <w:color w:val="auto"/>
              </w:rPr>
              <w:t>Related party transactions</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101</w:t>
            </w:r>
          </w:p>
        </w:tc>
      </w:tr>
      <w:tr>
        <w:trPr>
          <w:trHeight w:val="215"/>
        </w:trPr>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9400" w:type="dxa"/>
            <w:vAlign w:val="bottom"/>
          </w:tcPr>
          <w:p>
            <w:pPr>
              <w:ind w:left="60"/>
              <w:spacing w:after="0"/>
              <w:rPr>
                <w:sz w:val="20"/>
                <w:szCs w:val="20"/>
                <w:color w:val="auto"/>
              </w:rPr>
            </w:pPr>
            <w:r>
              <w:rPr>
                <w:rFonts w:ascii="Arial" w:cs="Arial" w:eastAsia="Arial" w:hAnsi="Arial"/>
                <w:sz w:val="16"/>
                <w:szCs w:val="16"/>
                <w:color w:val="auto"/>
              </w:rPr>
              <w:t>Protective Measures</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101</w:t>
            </w:r>
          </w:p>
        </w:tc>
      </w:tr>
    </w:tbl>
    <w:p>
      <w:pPr>
        <w:spacing w:after="0" w:line="163" w:lineRule="exact"/>
        <w:rPr>
          <w:sz w:val="20"/>
          <w:szCs w:val="20"/>
          <w:color w:val="auto"/>
        </w:rPr>
      </w:pPr>
    </w:p>
    <w:p>
      <w:pPr>
        <w:ind w:left="920" w:right="7720" w:hanging="218"/>
        <w:spacing w:after="0" w:line="266" w:lineRule="auto"/>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Financial Statements Consolidated Financial Statements Company only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Independent auditor's report</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Profit appropriation provisions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Shares carrying limited economic entitlement</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Branches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1.1 Preparation</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this report, the terms "we", "us", "our" and "the Company" refer to Pharvaris N.V. and, where appropriate, its subsidiaries.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This report has been prepared by the Company's board (the "Board") pursuant to Section 2:391 of the Dutch Civil Code ("DCC") and also contains</w:t>
      </w:r>
    </w:p>
    <w:p>
      <w:pPr>
        <w:spacing w:after="0" w:line="21" w:lineRule="exact"/>
        <w:rPr>
          <w:sz w:val="20"/>
          <w:szCs w:val="20"/>
          <w:color w:val="auto"/>
        </w:rPr>
      </w:pPr>
    </w:p>
    <w:p>
      <w:pPr>
        <w:ind w:left="140" w:right="80" w:hanging="8"/>
        <w:spacing w:after="0" w:line="250" w:lineRule="auto"/>
        <w:tabs>
          <w:tab w:leader="none" w:pos="3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statutory annual accounts within the meaning of Section 2:361(1) DCC and (ii) to the extent applicable, the information to be added pursuant to Section 2:392 DCC. The 2024 consolidated financial statements are prepared in accordance with the IFRS as issued by the European Union (IFRS-EU) and the company financial statements including the notes thereon have been prepared in accordance with Part 9 of Book 2 of the Dutch Civil Code. Section 2:362 (8) of the Dutch Civil Code, which allows companies that apply IFRS-EU in their consolidated financial statements to use the same measurement principles in their company financial statements. This report relates to the fiscal year ended December 31, 2024 and, unless explicitly stated otherwise, information presented in this report is as at December 31, 2024.</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1.2 Forward-looking statements</w:t>
      </w:r>
    </w:p>
    <w:p>
      <w:pPr>
        <w:spacing w:after="0" w:line="221" w:lineRule="exact"/>
        <w:rPr>
          <w:sz w:val="20"/>
          <w:szCs w:val="20"/>
          <w:color w:val="auto"/>
        </w:rPr>
      </w:pPr>
    </w:p>
    <w:p>
      <w:pPr>
        <w:ind w:left="140" w:firstLine="458"/>
        <w:spacing w:after="0" w:line="251" w:lineRule="auto"/>
        <w:rPr>
          <w:sz w:val="20"/>
          <w:szCs w:val="20"/>
          <w:color w:val="auto"/>
        </w:rPr>
      </w:pPr>
      <w:r>
        <w:rPr>
          <w:rFonts w:ascii="Arial" w:cs="Arial" w:eastAsia="Arial" w:hAnsi="Arial"/>
          <w:sz w:val="16"/>
          <w:szCs w:val="16"/>
          <w:color w:val="auto"/>
        </w:rPr>
        <w:t>This Annual Report contains certain statements that are or may be forward-looking statements with respect to us, our industry and our business that involve substantial risks and uncertainties. All statements other than statements of historical fact contained in this Annual Report,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77" w:lineRule="exact"/>
        <w:rPr>
          <w:sz w:val="20"/>
          <w:szCs w:val="20"/>
          <w:color w:val="auto"/>
        </w:rPr>
      </w:pPr>
    </w:p>
    <w:p>
      <w:pPr>
        <w:ind w:left="1020" w:right="2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1020" w:right="1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IR (immediate-release deucrictibant capsules) and XR (extended-release deucrictibant tablets), which are in late-stage global clinical trials;</w:t>
      </w:r>
    </w:p>
    <w:p>
      <w:pPr>
        <w:spacing w:after="0" w:line="48"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RAPIDe-1 and CHAPTER-1 Phase 2 study in ongoing and future nonclinical studies and clinical trials;</w:t>
      </w:r>
    </w:p>
    <w:p>
      <w:pPr>
        <w:spacing w:after="0" w:line="48" w:lineRule="exact"/>
        <w:rPr>
          <w:rFonts w:ascii="Times New Roman" w:cs="Times New Roman" w:eastAsia="Times New Roman" w:hAnsi="Times New Roman"/>
          <w:sz w:val="16"/>
          <w:szCs w:val="16"/>
          <w:color w:val="auto"/>
        </w:rPr>
      </w:pPr>
    </w:p>
    <w:p>
      <w:pPr>
        <w:ind w:left="1020" w:right="1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which may adversely impact our business, nonclinical studies and clinical trials, the outcome and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1020" w:right="40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IR and XR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1020" w:right="6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IR and XR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1020" w:right="20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1020" w:right="24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48" w:lineRule="exact"/>
        <w:rPr>
          <w:rFonts w:ascii="Times New Roman" w:cs="Times New Roman" w:eastAsia="Times New Roman" w:hAnsi="Times New Roman"/>
          <w:sz w:val="16"/>
          <w:szCs w:val="16"/>
          <w:color w:val="auto"/>
        </w:rPr>
      </w:pPr>
    </w:p>
    <w:p>
      <w:pPr>
        <w:ind w:left="1020" w:right="50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5" w:lineRule="exact"/>
        <w:rPr>
          <w:rFonts w:ascii="Times New Roman" w:cs="Times New Roman" w:eastAsia="Times New Roman" w:hAnsi="Times New Roman"/>
          <w:sz w:val="16"/>
          <w:szCs w:val="16"/>
          <w:color w:val="auto"/>
        </w:rPr>
      </w:pPr>
    </w:p>
    <w:p>
      <w:pPr>
        <w:ind w:left="1020" w:right="72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an effective system of internal control over financial reporting;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 foreign private issuer; and</w:t>
      </w:r>
    </w:p>
    <w:p>
      <w:pPr>
        <w:spacing w:after="0" w:line="125" w:lineRule="exact"/>
        <w:rPr>
          <w:rFonts w:ascii="Times New Roman" w:cs="Times New Roman" w:eastAsia="Times New Roman" w:hAnsi="Times New Roman"/>
          <w:sz w:val="16"/>
          <w:szCs w:val="16"/>
          <w:color w:val="auto"/>
        </w:rPr>
      </w:pPr>
    </w:p>
    <w:p>
      <w:pPr>
        <w:ind w:left="1020" w:right="30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conflict, such as the war between Russia and Ukraine.</w:t>
      </w:r>
    </w:p>
    <w:p>
      <w:pPr>
        <w:spacing w:after="0" w:line="156" w:lineRule="exact"/>
        <w:rPr>
          <w:sz w:val="20"/>
          <w:szCs w:val="20"/>
          <w:color w:val="auto"/>
        </w:rPr>
      </w:pPr>
    </w:p>
    <w:p>
      <w:pPr>
        <w:ind w:left="140" w:right="60" w:firstLine="458"/>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0" w:lineRule="exact"/>
        <w:rPr>
          <w:sz w:val="20"/>
          <w:szCs w:val="20"/>
          <w:color w:val="auto"/>
        </w:rPr>
      </w:pPr>
    </w:p>
    <w:p>
      <w:pPr>
        <w:ind w:left="140" w:right="160" w:firstLine="458"/>
        <w:spacing w:after="0" w:line="266" w:lineRule="auto"/>
        <w:rPr>
          <w:sz w:val="20"/>
          <w:szCs w:val="20"/>
          <w:color w:val="auto"/>
        </w:rPr>
      </w:pPr>
      <w:r>
        <w:rPr>
          <w:rFonts w:ascii="Arial" w:cs="Arial" w:eastAsia="Arial" w:hAnsi="Arial"/>
          <w:sz w:val="16"/>
          <w:szCs w:val="16"/>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History and development of the Company</w:t>
      </w:r>
    </w:p>
    <w:p>
      <w:pPr>
        <w:spacing w:after="0" w:line="200" w:lineRule="exact"/>
        <w:rPr>
          <w:sz w:val="20"/>
          <w:szCs w:val="20"/>
          <w:color w:val="auto"/>
        </w:rPr>
      </w:pPr>
    </w:p>
    <w:p>
      <w:pPr>
        <w:spacing w:after="0" w:line="210"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PHA121 or PHA-022121), is a novel, oral, small-molecule bradykinin B2 receptor antagonist under development for the prevention or treatment of attacks due to bradykinin-mediated angioedema, including hereditary angioedema (HAE) and acquired angioedema due to C1-inhibitor deficiency (AAE-C1INH). Deucrictibant has the potential to address unmet medical needs by improving upon the therapeutic profile of existing medicines and providing patients with quality of life and ease-of-administration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18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1:30,000 to 1:80,000 individuals globally, or at least 7,000 patients in the U.S. and at least 15,000 patients in the EU.</w:t>
      </w:r>
    </w:p>
    <w:p>
      <w:pPr>
        <w:spacing w:after="0" w:line="182"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AAE-C1INH is a rare disorder with an estimated prevalence of approximately 1:500,000 patients. The disease manifests with episodes of unpredictable swelling that occur as a result of inadequate control of the kallikrein/kinin system, resulting in excessive bradykinin formation. These episodes of swelling can be debilitating, painful, and even lethal, similar to HAE. However, AAE-C1INH results from underlying conditions such as lymphoproliferative disorders, plasma cell dyscrasias, or autoimmune disorders, and occurs either as a result of consumption of C1-inhibitor owing to activation of the classical complement pathway or as a result of neutralization by autoantibodies. There are no approved medicines available to treat or prevent AAE-C1INH.</w:t>
      </w:r>
    </w:p>
    <w:p>
      <w:pPr>
        <w:spacing w:after="0" w:line="180"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Bradykinin-mediated vascular leakage and angioedema formation via activation of its bradykinin B2 receptor is involved in various types of angioedema (hereditary or acquired) with different underlying pathogenetic mechanisms. Bradykinin B2 receptor inhibition is a clinically validated mechanism for the treatment of HAE, as demonstrated by icatibant, which is a peptide bradykinin B2 receptor antagonist approved in Europe in 2008 and in the United States in 2011 (as FIRAZYR).</w:t>
      </w:r>
    </w:p>
    <w:p>
      <w:pPr>
        <w:spacing w:after="0" w:line="178"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Deucrictibant is designed to block the interaction of bradykinin with the B2 receptors, rather than blocking an upstream signal in one of the bradykinin production cascades as other treatments; therefore, deucrictibant may prevent bradykinin aberrant signaling regardless the underlying pathway that produces bradykinin and may address a broader range of angioedema attacks than other available treatments.</w:t>
      </w:r>
    </w:p>
    <w:p>
      <w:pPr>
        <w:spacing w:after="0" w:line="171"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Our legal and commercial name is Pharvaris N.V. In connection with our initial public offering in the first quarter of 2021, we converted the legal form of our company under Dutch law from a private company with limited liability (besloten vennootschap met beperkte aansprakelijkheid) to a public company with limited liability (naamloze vennootschap) and changed our name from Pharvaris B.V. to Pharvaris N.V. Pharvaris B.V. was incorporated on September 30, 2015, and is based in Leiden, the Netherlands. Our principal executive offices are located in Emmy Noetherweg 2, 2333 BK Leiden, the Netherlands, telephone: +31 (0)71 2036 410. Our agent for service of process in the United States is Chris Deon, who is registered at PO Box 121, Buckingham, PA 19407-4550, USA.</w:t>
      </w:r>
    </w:p>
    <w:p>
      <w:pPr>
        <w:spacing w:after="0" w:line="182"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Our principal expenditures since inception have been our research and development expenses, as more fully described elsewhere in this Annual Report. To date, we have relied solely on the issuance of equity securities to finance our operations and internal growth. For more information, please see “ITEM 5. OPERATING RESULTS—B. Liquidity and Capital Resources.”</w:t>
      </w:r>
    </w:p>
    <w:p>
      <w:pPr>
        <w:spacing w:after="0" w:line="171"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The SEC maintains an Internet website that contains reports and other information about issuers, like us, that file electronically with the SEC. The address of that website is www.sec.gov. Our website can be found at www.pharvaris.com. The information on our website is not incorporated by reference into this Annual Report, and you should not consider information contained on our website to be a part of this Annual Report.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Overview</w:t>
      </w:r>
    </w:p>
    <w:p>
      <w:pPr>
        <w:spacing w:after="0" w:line="22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Deucrictibant is a novel, highly potent inhibitor and selective oral small molecule bradykinin B2 receptor antagonist. Deucrictibant has been observed to be a potent inhibitor in vitro as assessed using human recombinant bradykinin B2 receptors (150 pM); ex vivo as studied against endogenous bradykinin B2 receptors in a human umbilical vein model (350 pM); and in vivo in the human bradykinin-challenge model (170 pM). Potency as used in this Annual Report refers to the amount of drug required to produce a pharmacological effect of given intensity and is not a measure of therapeutic efficacy. Deucrictibant demonstrated over 4000-fold selectivity for the bradykinin B2 receptor when compared to approximately 170 other molecular targets, including the bradykinin-B1-receptor. We designed deucrictibant as a new chemotype with properties compatible with oral delivery.</w:t>
      </w:r>
    </w:p>
    <w:p>
      <w:pPr>
        <w:spacing w:after="0" w:line="182"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Deucrictibant may address unmet medical needs of people living with HAE by both preventing attacks from occurring, using an extended-release (XR) tablet formulation of deucrictibant (previously referred to as PHVS719), as well as treat the manifestations of HAE</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attacks, using an immediate-release (IR) capsule formulation of deucrictibant (previously referred to as PHVS416). The XR tablet formulation is designed to maintain therapeutic levels for at least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178"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(PK) with and without food. In addition, we observed deucrictibant to be a potent antagonist of the bradykinin B2 receptor, in vitro and in vivo with healthy volunteers. We conducted a proof-of-concept clinical trial testing the effects of bradykinin in healthy volunteers in our bradykinin-challenge trial, where we evaluated the effect of deucrictibant on cardiovascular parameters affected by bradykinin such as blood pressure, heart rate and cardiac output in healthy volunteers. We evaluated the pharmacodynamic (PD) and PK of deucrictibant in a bradykinin-challenge model in healthy subjects and generated a PK/PD correlation model for deucrictibant. The bradykinin challenge was validated as a surrogate assessment for dose selection in the original development program for icatibant, as reviewed by the FDA and the EMA. The clinical dose of icatibant established with the bradykinin challenge has demonstrated successful treatment of HAE attacks in multiple randomized clinical trials and over 10 years of clinical experience. From the bradykinin challenge model, we were able to predict the duration of effect of a single oral dose of deucrictibant; the topline data from our deucrictibant Phase 2 RAPIDe-1 trial treating HAE attacks were consistent with the predictions of the bradykinin challenge in both onset of symptom relief and duration of effect (use of rescue medication).</w:t>
      </w:r>
    </w:p>
    <w:p>
      <w:pPr>
        <w:spacing w:after="0" w:line="189"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In our Phase 2 placebo-controlled trial evaluating the efficacy and tolerability of deucrictibant IR capsules for the on-demand treatment of attacks in patients with HAE type 1 and 2 (RAPIDe-1), a statistically significant and clinical meaningful reduction of the patient-reported symptoms of HAE was observed for the attacks treated with all doses of deucrictibant (10, 20, 30 mg) compared to placebo-treated attacks. The study’s primary endpoint— symptom relief at four hours after treatment with study drug—as well as all key secondary efficacy endpoints were met. Consistently with its pharmacokinetic profile, deucrictibant IR demonstrated rapid onset of action, symptom relief, and resolution of the manifestations of HAE attacks as well as sustained clinical effects, with consistent findings across outcome measures. In addition, deucrictibant IR substantially reduced the use of rescue medication compared to the placebo. Deucrictibant was generally well tolerated at all dose levels with three treatment-related adverse events (TRAEs) reported for one 30-mg-treated attack (2.8%) and one TRAE reported for one placebo-treated attack (1.9%); there were no treatment-related serious adverse events (SAEs), no treatment-related adverse events (AEs) of severe severity, and no AEs leading to treatment discontinuation. We commenced RAPIDe-1 in February 2021 and reported positive topline Phase 2 data in December 2022. We believe these positive Phase 2 data support further development of deucrictibant as a potential oral on-demand therapy for HAE attacks.</w:t>
      </w:r>
    </w:p>
    <w:p>
      <w:pPr>
        <w:spacing w:after="0" w:line="187"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In our Phase 2 placebo-controlled trial evaluating the efficacy and the safety and tolerability of deucrictibant for long-term prophylaxis against angioedema attacks in HAE type 1 and 2 (CHAPTER-1), a statistically significant and clinical meaningful reduction in mean monthly attack rate was observed compared to placebo-treated attacks. The study’s primary endpoint was met as 40 mg per day orally administered deucrictibant significantly reduced the mean monthly HAE attack rate by 84.5% compared to placebo. In the analysis of the secondary endpoints, deucrictibant demonstrated clinically meaningful improvement in the severity of attacks and a decrease in the number of attacks treated with on-demand medication. Participants on deucrictibant treatment experienced a meaningful improvement in their quality of life. Throughout 12 weeks of treatment in CHAPTER-1, both doses of deucrictibant were well-tolerated. There were no serious adverse events, no severe treatment-emergent adverse events, and no adverse events leading to treatment discontinuation. We commenced CHAPTER-1 in 2021 using twice-daily dosing of deucrictibant IR capsules as a proof-of-concept for once-daily deucrictibant XR tablets, and announced positive topline data in December 2023. We believe these positive Phase 2 data support further development of deucrictibant as a potential oral prophylactic therapy for HAE attacks.</w:t>
      </w:r>
    </w:p>
    <w:p>
      <w:pPr>
        <w:spacing w:after="0" w:line="189"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trials are required by the FDA, EMA or other regulators even with positive data from RAPIDe-1 and CHAPTER-1.</w:t>
      </w:r>
    </w:p>
    <w:p>
      <w:pPr>
        <w:spacing w:after="0" w:line="22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March 2024, we initiated a global, pivotal, randomized, double-blind-placebo-controlled Phase 3 study of orally administered deucrictibant IR capsule (20 mg) for the on-demand treatment of HAE attacks in adults and adolescents (12 years and older). We intend to enroll approximately 120 participants. The primary efficacy endpoint is time to onset of symptom relief, as measured by Patient Global Impression of Change (PGI-C) rating of at least “a little better” for two consecutive timepoints within 12 hours post-treatment. Other efficacy endpoints include time to End of Progression (EoP) in attack symptoms, substantial symptom relief, complete attack resolution and proportion of attacks achieving symptom resolution with one dose of deucrictibant as measured by Patient Global Impression of Severity (PGI-S) and by Angioedema Symptom Rating Scale (AMRA).</w:t>
      </w:r>
    </w:p>
    <w:p>
      <w:pPr>
        <w:spacing w:after="0" w:line="182"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In December 2024, we initiated a global, pivotal, randomized, double-blind, placebo-controlled Phase 3 study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currently the intended commercial dosage, or placebo, once daily for 24 weeks. The primary endpoint of the study is to evaluate the efficacy of deucrictibant compared to placebo for prophylaxis against angioedema attacks as measured by the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time-normalized number of investigator-confirmed HAE attacks during the 24-week treatment period. Other objectives of the study include evaluating additional clinically relevant outcomes, deucrictibant’s safety and tolerability, pharmacokinetics and its impact on health-related quality of life measures in the prophylactic setting.</w:t>
      </w:r>
    </w:p>
    <w:p>
      <w:pPr>
        <w:spacing w:after="0" w:line="171"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In addition, we are also running open-label extension studies in both on-demand and prophylactic settings to collect long-term safety and efficacy data in HAE patients.</w:t>
      </w:r>
    </w:p>
    <w:p>
      <w:pPr>
        <w:spacing w:after="0" w:line="156"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Global sales of treatments for HAE in 2022 are estimated at approximately $2.7 billion based on publicly available information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 B2 receptor, replacing the deficiency in C1-INH activity, or inhibiting plasma kallikrein. Currently most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The only orally available products have shown limitations in terms of efficacy compared to injectables and/or come with burdensome side effects for patients. We believe HAE patients need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Differentiation of deucrictibant</w:t>
      </w:r>
    </w:p>
    <w:p>
      <w:pPr>
        <w:spacing w:after="0" w:line="221"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We believe that deucrictibant, as the molecule underlying both the IR capsule formulation and the XR tablet formulation, has the potential to be highly differentiated for both the on-demand and prophylactic settings with the key benefits below:</w:t>
      </w:r>
    </w:p>
    <w:p>
      <w:pPr>
        <w:spacing w:after="0" w:line="156"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Deucrictibant IR capsule. We believe that deucrictibant IR capsules, an on-demand, rapid exposure softgel capsule, has the potential to be highly differentiated for patients suffering from acute HAE attacks with the following benefits: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Complete Symptom Resolution</w:t>
            </w:r>
          </w:p>
        </w:tc>
        <w:tc>
          <w:tcPr>
            <w:tcW w:w="8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Clinically validated mechanism of bradykinin B2 receptor antagonism</w:t>
            </w:r>
          </w:p>
        </w:tc>
        <w:tc>
          <w:tcPr>
            <w:tcW w:w="0" w:type="dxa"/>
            <w:vAlign w:val="bottom"/>
          </w:tcPr>
          <w:p>
            <w:pPr>
              <w:spacing w:after="0"/>
              <w:rPr>
                <w:sz w:val="1"/>
                <w:szCs w:val="1"/>
                <w:color w:val="auto"/>
              </w:rPr>
            </w:pPr>
          </w:p>
        </w:tc>
      </w:tr>
      <w:tr>
        <w:trPr>
          <w:trHeight w:val="278"/>
        </w:trPr>
        <w:tc>
          <w:tcPr>
            <w:tcW w:w="4480" w:type="dxa"/>
            <w:vAlign w:val="bottom"/>
          </w:tcPr>
          <w:p>
            <w:pPr>
              <w:spacing w:after="0"/>
              <w:rPr>
                <w:sz w:val="24"/>
                <w:szCs w:val="24"/>
                <w:color w:val="auto"/>
              </w:rPr>
            </w:pP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40"/>
              <w:spacing w:after="0"/>
              <w:rPr>
                <w:sz w:val="20"/>
                <w:szCs w:val="20"/>
                <w:color w:val="auto"/>
              </w:rPr>
            </w:pPr>
            <w:r>
              <w:rPr>
                <w:rFonts w:ascii="Arial" w:cs="Arial" w:eastAsia="Arial" w:hAnsi="Arial"/>
                <w:sz w:val="16"/>
                <w:szCs w:val="16"/>
                <w:color w:val="auto"/>
              </w:rPr>
              <w:t xml:space="preserve">Utilizing same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surrogate assessment for dose selection as the</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940" w:type="dxa"/>
            <w:vAlign w:val="bottom"/>
          </w:tcPr>
          <w:p>
            <w:pPr>
              <w:ind w:left="40"/>
              <w:spacing w:after="0"/>
              <w:rPr>
                <w:sz w:val="20"/>
                <w:szCs w:val="20"/>
                <w:color w:val="auto"/>
              </w:rPr>
            </w:pPr>
            <w:r>
              <w:rPr>
                <w:rFonts w:ascii="Arial" w:cs="Arial" w:eastAsia="Arial" w:hAnsi="Arial"/>
                <w:sz w:val="16"/>
                <w:szCs w:val="16"/>
                <w:color w:val="auto"/>
              </w:rPr>
              <w:t>development program for icatibant (validity confirmed in the RAPIDe-1 Phase 2</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6"/>
                <w:szCs w:val="16"/>
                <w:color w:val="auto"/>
              </w:rPr>
              <w:t>trial)</w:t>
            </w:r>
          </w:p>
        </w:tc>
        <w:tc>
          <w:tcPr>
            <w:tcW w:w="0" w:type="dxa"/>
            <w:vAlign w:val="bottom"/>
          </w:tcPr>
          <w:p>
            <w:pPr>
              <w:spacing w:after="0"/>
              <w:rPr>
                <w:sz w:val="1"/>
                <w:szCs w:val="1"/>
                <w:color w:val="auto"/>
              </w:rPr>
            </w:pPr>
          </w:p>
        </w:tc>
      </w:tr>
      <w:tr>
        <w:trPr>
          <w:trHeight w:val="272"/>
        </w:trPr>
        <w:tc>
          <w:tcPr>
            <w:tcW w:w="4480" w:type="dxa"/>
            <w:vAlign w:val="bottom"/>
          </w:tcPr>
          <w:p>
            <w:pPr>
              <w:spacing w:after="0"/>
              <w:rPr>
                <w:sz w:val="23"/>
                <w:szCs w:val="23"/>
                <w:color w:val="auto"/>
              </w:rPr>
            </w:pP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40"/>
              <w:spacing w:after="0"/>
              <w:rPr>
                <w:sz w:val="20"/>
                <w:szCs w:val="20"/>
                <w:color w:val="auto"/>
              </w:rPr>
            </w:pPr>
            <w:r>
              <w:rPr>
                <w:rFonts w:ascii="Arial" w:cs="Arial" w:eastAsia="Arial" w:hAnsi="Arial"/>
                <w:sz w:val="16"/>
                <w:szCs w:val="16"/>
                <w:color w:val="auto"/>
              </w:rPr>
              <w:t>More potent inhibitor than icatibant</w:t>
            </w: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4"/>
                <w:szCs w:val="24"/>
                <w:color w:val="auto"/>
              </w:rPr>
            </w:pP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40"/>
              <w:spacing w:after="0"/>
              <w:rPr>
                <w:sz w:val="20"/>
                <w:szCs w:val="20"/>
                <w:color w:val="auto"/>
              </w:rPr>
            </w:pPr>
            <w:r>
              <w:rPr>
                <w:rFonts w:ascii="Arial" w:cs="Arial" w:eastAsia="Arial" w:hAnsi="Arial"/>
                <w:sz w:val="16"/>
                <w:szCs w:val="16"/>
                <w:color w:val="auto"/>
              </w:rPr>
              <w:t>Longer half-life than icatibant</w:t>
            </w:r>
          </w:p>
        </w:tc>
        <w:tc>
          <w:tcPr>
            <w:tcW w:w="0" w:type="dxa"/>
            <w:vAlign w:val="bottom"/>
          </w:tcPr>
          <w:p>
            <w:pPr>
              <w:spacing w:after="0"/>
              <w:rPr>
                <w:sz w:val="1"/>
                <w:szCs w:val="1"/>
                <w:color w:val="auto"/>
              </w:rPr>
            </w:pPr>
          </w:p>
        </w:tc>
      </w:tr>
      <w:tr>
        <w:trPr>
          <w:trHeight w:val="67"/>
        </w:trPr>
        <w:tc>
          <w:tcPr>
            <w:tcW w:w="44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480" w:type="dxa"/>
            <w:vAlign w:val="bottom"/>
            <w:vMerge w:val="restart"/>
          </w:tcPr>
          <w:p>
            <w:pPr>
              <w:spacing w:after="0"/>
              <w:rPr>
                <w:sz w:val="20"/>
                <w:szCs w:val="20"/>
                <w:color w:val="auto"/>
              </w:rPr>
            </w:pPr>
            <w:r>
              <w:rPr>
                <w:rFonts w:ascii="Arial" w:cs="Arial" w:eastAsia="Arial" w:hAnsi="Arial"/>
                <w:sz w:val="16"/>
                <w:szCs w:val="16"/>
                <w:b w:val="1"/>
                <w:bCs w:val="1"/>
                <w:color w:val="auto"/>
              </w:rPr>
              <w:t>Rapid Onset of Activity</w:t>
            </w:r>
          </w:p>
        </w:tc>
        <w:tc>
          <w:tcPr>
            <w:tcW w:w="820" w:type="dxa"/>
            <w:vAlign w:val="bottom"/>
          </w:tcPr>
          <w:p>
            <w:pPr>
              <w:ind w:left="7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40"/>
              <w:spacing w:after="0" w:line="182" w:lineRule="exact"/>
              <w:rPr>
                <w:sz w:val="20"/>
                <w:szCs w:val="20"/>
                <w:color w:val="auto"/>
              </w:rPr>
            </w:pPr>
            <w:r>
              <w:rPr>
                <w:rFonts w:ascii="Arial" w:cs="Arial" w:eastAsia="Arial" w:hAnsi="Arial"/>
                <w:sz w:val="16"/>
                <w:szCs w:val="16"/>
                <w:color w:val="auto"/>
              </w:rPr>
              <w:t>Exposure exceeds the anticipated threshold therapeutic plasma level (EC</w:t>
            </w:r>
            <w:r>
              <w:rPr>
                <w:rFonts w:ascii="Arial" w:cs="Arial" w:eastAsia="Arial" w:hAnsi="Arial"/>
                <w:sz w:val="13"/>
                <w:szCs w:val="13"/>
                <w:color w:val="auto"/>
              </w:rPr>
              <w:t>85</w:t>
            </w:r>
            <w:r>
              <w:rPr>
                <w:rFonts w:ascii="Arial" w:cs="Arial" w:eastAsia="Arial" w:hAnsi="Arial"/>
                <w:sz w:val="16"/>
                <w:szCs w:val="16"/>
                <w:color w:val="auto"/>
              </w:rPr>
              <w:t>) in 30</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minutes, with or without food</w:t>
            </w:r>
          </w:p>
        </w:tc>
        <w:tc>
          <w:tcPr>
            <w:tcW w:w="0" w:type="dxa"/>
            <w:vAlign w:val="bottom"/>
          </w:tcPr>
          <w:p>
            <w:pPr>
              <w:spacing w:after="0"/>
              <w:rPr>
                <w:sz w:val="1"/>
                <w:szCs w:val="1"/>
                <w:color w:val="auto"/>
              </w:rPr>
            </w:pPr>
          </w:p>
        </w:tc>
      </w:tr>
      <w:tr>
        <w:trPr>
          <w:trHeight w:val="250"/>
        </w:trPr>
        <w:tc>
          <w:tcPr>
            <w:tcW w:w="4480" w:type="dxa"/>
            <w:vAlign w:val="bottom"/>
            <w:vMerge w:val="restart"/>
          </w:tcPr>
          <w:p>
            <w:pPr>
              <w:spacing w:after="0"/>
              <w:rPr>
                <w:sz w:val="20"/>
                <w:szCs w:val="20"/>
                <w:color w:val="auto"/>
              </w:rPr>
            </w:pPr>
            <w:r>
              <w:rPr>
                <w:rFonts w:ascii="Arial" w:cs="Arial" w:eastAsia="Arial" w:hAnsi="Arial"/>
                <w:sz w:val="16"/>
                <w:szCs w:val="16"/>
                <w:b w:val="1"/>
                <w:bCs w:val="1"/>
                <w:color w:val="auto"/>
              </w:rPr>
              <w:t>Potential Reduced Treatment Burden / Enhanced</w:t>
            </w: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40"/>
              <w:spacing w:after="0"/>
              <w:rPr>
                <w:sz w:val="20"/>
                <w:szCs w:val="20"/>
                <w:color w:val="auto"/>
              </w:rPr>
            </w:pPr>
            <w:r>
              <w:rPr>
                <w:rFonts w:ascii="Arial" w:cs="Arial" w:eastAsia="Arial" w:hAnsi="Arial"/>
                <w:sz w:val="16"/>
                <w:szCs w:val="16"/>
                <w:color w:val="auto"/>
              </w:rPr>
              <w:t>No injection needed</w:t>
            </w:r>
          </w:p>
        </w:tc>
        <w:tc>
          <w:tcPr>
            <w:tcW w:w="0" w:type="dxa"/>
            <w:vAlign w:val="bottom"/>
          </w:tcPr>
          <w:p>
            <w:pPr>
              <w:spacing w:after="0"/>
              <w:rPr>
                <w:sz w:val="1"/>
                <w:szCs w:val="1"/>
                <w:color w:val="auto"/>
              </w:rPr>
            </w:pPr>
          </w:p>
        </w:tc>
      </w:tr>
      <w:tr>
        <w:trPr>
          <w:trHeight w:val="40"/>
        </w:trPr>
        <w:tc>
          <w:tcPr>
            <w:tcW w:w="4480" w:type="dxa"/>
            <w:vAlign w:val="bottom"/>
            <w:tcBorders>
              <w:bottom w:val="single" w:sz="8" w:color="auto"/>
            </w:tcBorders>
            <w:vMerge w:val="continue"/>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4480" w:type="dxa"/>
            <w:vAlign w:val="bottom"/>
            <w:vMerge w:val="restart"/>
          </w:tcPr>
          <w:p>
            <w:pPr>
              <w:spacing w:after="0"/>
              <w:rPr>
                <w:sz w:val="20"/>
                <w:szCs w:val="20"/>
                <w:color w:val="auto"/>
              </w:rPr>
            </w:pPr>
            <w:r>
              <w:rPr>
                <w:rFonts w:ascii="Arial" w:cs="Arial" w:eastAsia="Arial" w:hAnsi="Arial"/>
                <w:sz w:val="16"/>
                <w:szCs w:val="16"/>
                <w:b w:val="1"/>
                <w:bCs w:val="1"/>
                <w:color w:val="auto"/>
              </w:rPr>
              <w:t>Patient Convenience</w:t>
            </w:r>
          </w:p>
        </w:tc>
        <w:tc>
          <w:tcPr>
            <w:tcW w:w="820" w:type="dxa"/>
            <w:vAlign w:val="bottom"/>
          </w:tcPr>
          <w:p>
            <w:pPr>
              <w:ind w:left="7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40"/>
              <w:spacing w:after="0" w:line="182" w:lineRule="exact"/>
              <w:rPr>
                <w:sz w:val="20"/>
                <w:szCs w:val="20"/>
                <w:color w:val="auto"/>
              </w:rPr>
            </w:pPr>
            <w:r>
              <w:rPr>
                <w:rFonts w:ascii="Arial" w:cs="Arial" w:eastAsia="Arial" w:hAnsi="Arial"/>
                <w:sz w:val="16"/>
                <w:szCs w:val="16"/>
                <w:color w:val="auto"/>
              </w:rPr>
              <w:t>Convenient oral formulation removes barriers inherent in current injectable</w:t>
            </w:r>
          </w:p>
        </w:tc>
        <w:tc>
          <w:tcPr>
            <w:tcW w:w="0" w:type="dxa"/>
            <w:vAlign w:val="bottom"/>
          </w:tcPr>
          <w:p>
            <w:pPr>
              <w:spacing w:after="0"/>
              <w:rPr>
                <w:sz w:val="1"/>
                <w:szCs w:val="1"/>
                <w:color w:val="auto"/>
              </w:rPr>
            </w:pPr>
          </w:p>
        </w:tc>
      </w:tr>
      <w:tr>
        <w:trPr>
          <w:trHeight w:val="128"/>
        </w:trPr>
        <w:tc>
          <w:tcPr>
            <w:tcW w:w="448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5940" w:type="dxa"/>
            <w:vAlign w:val="bottom"/>
            <w:vMerge w:val="restart"/>
          </w:tcPr>
          <w:p>
            <w:pPr>
              <w:ind w:left="40"/>
              <w:spacing w:after="0"/>
              <w:rPr>
                <w:sz w:val="20"/>
                <w:szCs w:val="20"/>
                <w:color w:val="auto"/>
              </w:rPr>
            </w:pPr>
            <w:r>
              <w:rPr>
                <w:rFonts w:ascii="Arial" w:cs="Arial" w:eastAsia="Arial" w:hAnsi="Arial"/>
                <w:sz w:val="16"/>
                <w:szCs w:val="16"/>
                <w:color w:val="auto"/>
              </w:rPr>
              <w:t>treatments to facilitate early treatment of acute HAE attacks and overall treatment</w:t>
            </w: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6"/>
                <w:szCs w:val="16"/>
                <w:color w:val="auto"/>
              </w:rPr>
              <w:t>of more attacks than currently reported</w:t>
            </w:r>
          </w:p>
        </w:tc>
        <w:tc>
          <w:tcPr>
            <w:tcW w:w="0" w:type="dxa"/>
            <w:vAlign w:val="bottom"/>
          </w:tcPr>
          <w:p>
            <w:pPr>
              <w:spacing w:after="0"/>
              <w:rPr>
                <w:sz w:val="1"/>
                <w:szCs w:val="1"/>
                <w:color w:val="auto"/>
              </w:rPr>
            </w:pPr>
          </w:p>
        </w:tc>
      </w:tr>
      <w:tr>
        <w:trPr>
          <w:trHeight w:val="272"/>
        </w:trPr>
        <w:tc>
          <w:tcPr>
            <w:tcW w:w="4480" w:type="dxa"/>
            <w:vAlign w:val="bottom"/>
          </w:tcPr>
          <w:p>
            <w:pPr>
              <w:spacing w:after="0"/>
              <w:rPr>
                <w:sz w:val="23"/>
                <w:szCs w:val="23"/>
                <w:color w:val="auto"/>
              </w:rPr>
            </w:pP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40"/>
              <w:spacing w:after="0"/>
              <w:rPr>
                <w:sz w:val="20"/>
                <w:szCs w:val="20"/>
                <w:color w:val="auto"/>
              </w:rPr>
            </w:pPr>
            <w:r>
              <w:rPr>
                <w:rFonts w:ascii="Arial" w:cs="Arial" w:eastAsia="Arial" w:hAnsi="Arial"/>
                <w:sz w:val="16"/>
                <w:szCs w:val="16"/>
                <w:color w:val="auto"/>
              </w:rPr>
              <w:t>Capsule reduces treatment burden</w:t>
            </w: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4"/>
                <w:szCs w:val="24"/>
                <w:color w:val="auto"/>
              </w:rPr>
            </w:pP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40"/>
              <w:spacing w:after="0"/>
              <w:rPr>
                <w:sz w:val="20"/>
                <w:szCs w:val="20"/>
                <w:color w:val="auto"/>
              </w:rPr>
            </w:pPr>
            <w:r>
              <w:rPr>
                <w:rFonts w:ascii="Arial" w:cs="Arial" w:eastAsia="Arial" w:hAnsi="Arial"/>
                <w:sz w:val="16"/>
                <w:szCs w:val="16"/>
                <w:color w:val="auto"/>
              </w:rPr>
              <w:t>Potential lowest dosage of any oral HAE on-demand treatment</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40" w:firstLine="464"/>
        <w:spacing w:after="0" w:line="286" w:lineRule="auto"/>
        <w:rPr>
          <w:sz w:val="20"/>
          <w:szCs w:val="20"/>
          <w:color w:val="auto"/>
        </w:rPr>
      </w:pPr>
      <w:r>
        <w:rPr>
          <w:rFonts w:ascii="Arial" w:cs="Arial" w:eastAsia="Arial" w:hAnsi="Arial"/>
          <w:sz w:val="16"/>
          <w:szCs w:val="16"/>
          <w:i w:val="1"/>
          <w:iCs w:val="1"/>
          <w:color w:val="auto"/>
        </w:rPr>
        <w:t>Deucrictibant XR tablet</w:t>
      </w:r>
      <w:r>
        <w:rPr>
          <w:rFonts w:ascii="Arial" w:cs="Arial" w:eastAsia="Arial" w:hAnsi="Arial"/>
          <w:sz w:val="16"/>
          <w:szCs w:val="16"/>
          <w:color w:val="auto"/>
        </w:rPr>
        <w:t>. We believe that deucrictibant XR tablets, a prophylactic extended-release tablet designed to be as a daily oral therapy,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potential to be highly differentiated for HAE patients with the following benefits: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940" w:type="dxa"/>
            <w:vAlign w:val="bottom"/>
            <w:gridSpan w:val="2"/>
          </w:tcPr>
          <w:p>
            <w:pPr>
              <w:ind w:left="5020"/>
              <w:spacing w:after="0"/>
              <w:rPr>
                <w:sz w:val="20"/>
                <w:szCs w:val="20"/>
                <w:color w:val="auto"/>
              </w:rPr>
            </w:pPr>
            <w:r>
              <w:rPr>
                <w:rFonts w:ascii="Arial" w:cs="Arial" w:eastAsia="Arial" w:hAnsi="Arial"/>
                <w:sz w:val="16"/>
                <w:szCs w:val="16"/>
                <w:b w:val="1"/>
                <w:bCs w:val="1"/>
                <w:color w:val="auto"/>
              </w:rPr>
              <w:t>Exhibit 99.4</w:t>
            </w:r>
          </w:p>
        </w:tc>
        <w:tc>
          <w:tcPr>
            <w:tcW w:w="0" w:type="dxa"/>
            <w:vAlign w:val="bottom"/>
          </w:tcPr>
          <w:p>
            <w:pPr>
              <w:spacing w:after="0"/>
              <w:rPr>
                <w:sz w:val="1"/>
                <w:szCs w:val="1"/>
                <w:color w:val="auto"/>
              </w:rPr>
            </w:pPr>
          </w:p>
        </w:tc>
      </w:tr>
      <w:tr>
        <w:trPr>
          <w:trHeight w:val="291"/>
        </w:trPr>
        <w:tc>
          <w:tcPr>
            <w:tcW w:w="4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Protection From Attacks</w:t>
            </w:r>
          </w:p>
        </w:tc>
        <w:tc>
          <w:tcPr>
            <w:tcW w:w="8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Validated, proven mechanism to address all bradykinin, regardless of pathway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820" w:type="dxa"/>
            <w:vAlign w:val="bottom"/>
          </w:tcPr>
          <w:p>
            <w:pPr>
              <w:ind w:left="7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5920" w:type="dxa"/>
            <w:vAlign w:val="bottom"/>
          </w:tcPr>
          <w:p>
            <w:pPr>
              <w:ind w:left="40"/>
              <w:spacing w:after="0" w:line="182" w:lineRule="exact"/>
              <w:rPr>
                <w:sz w:val="20"/>
                <w:szCs w:val="20"/>
                <w:color w:val="auto"/>
              </w:rPr>
            </w:pPr>
            <w:r>
              <w:rPr>
                <w:rFonts w:ascii="Arial" w:cs="Arial" w:eastAsia="Arial" w:hAnsi="Arial"/>
                <w:sz w:val="16"/>
                <w:szCs w:val="16"/>
                <w:color w:val="auto"/>
              </w:rPr>
              <w:t>Exposure exceeds the anticipated threshold therapeutic plasma level (EC</w:t>
            </w:r>
            <w:r>
              <w:rPr>
                <w:rFonts w:ascii="Arial" w:cs="Arial" w:eastAsia="Arial" w:hAnsi="Arial"/>
                <w:sz w:val="13"/>
                <w:szCs w:val="13"/>
                <w:color w:val="auto"/>
              </w:rPr>
              <w:t>85</w:t>
            </w:r>
            <w:r>
              <w:rPr>
                <w:rFonts w:ascii="Arial" w:cs="Arial" w:eastAsia="Arial" w:hAnsi="Arial"/>
                <w:sz w:val="16"/>
                <w:szCs w:val="16"/>
                <w:color w:val="auto"/>
              </w:rPr>
              <w:t>) from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940" w:type="dxa"/>
            <w:vAlign w:val="bottom"/>
            <w:gridSpan w:val="2"/>
          </w:tcPr>
          <w:p>
            <w:pPr>
              <w:ind w:left="40"/>
              <w:spacing w:after="0"/>
              <w:rPr>
                <w:sz w:val="20"/>
                <w:szCs w:val="20"/>
                <w:color w:val="auto"/>
              </w:rPr>
            </w:pPr>
            <w:r>
              <w:rPr>
                <w:rFonts w:ascii="Arial" w:cs="Arial" w:eastAsia="Arial" w:hAnsi="Arial"/>
                <w:sz w:val="16"/>
                <w:szCs w:val="16"/>
                <w:color w:val="auto"/>
              </w:rPr>
              <w:t>day one of treatment and reaches and maintains steady-state concentration within</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6"/>
                <w:szCs w:val="16"/>
                <w:b w:val="1"/>
                <w:bCs w:val="1"/>
                <w:color w:val="auto"/>
              </w:rPr>
              <w:t>Ideal Release Profile for Prophylactic Use</w:t>
            </w:r>
          </w:p>
        </w:tc>
        <w:tc>
          <w:tcPr>
            <w:tcW w:w="820" w:type="dxa"/>
            <w:vAlign w:val="bottom"/>
          </w:tcPr>
          <w:p>
            <w:pPr>
              <w:spacing w:after="0"/>
              <w:rPr>
                <w:sz w:val="19"/>
                <w:szCs w:val="19"/>
                <w:color w:val="auto"/>
              </w:rPr>
            </w:pPr>
          </w:p>
        </w:tc>
        <w:tc>
          <w:tcPr>
            <w:tcW w:w="5940" w:type="dxa"/>
            <w:vAlign w:val="bottom"/>
            <w:gridSpan w:val="2"/>
          </w:tcPr>
          <w:p>
            <w:pPr>
              <w:ind w:left="40"/>
              <w:spacing w:after="0"/>
              <w:rPr>
                <w:sz w:val="20"/>
                <w:szCs w:val="20"/>
                <w:color w:val="auto"/>
              </w:rPr>
            </w:pPr>
            <w:r>
              <w:rPr>
                <w:rFonts w:ascii="Arial" w:cs="Arial" w:eastAsia="Arial" w:hAnsi="Arial"/>
                <w:sz w:val="16"/>
                <w:szCs w:val="16"/>
                <w:color w:val="auto"/>
              </w:rPr>
              <w:t>72 hours. providing rapid attack protection</w:t>
            </w:r>
          </w:p>
        </w:tc>
        <w:tc>
          <w:tcPr>
            <w:tcW w:w="0" w:type="dxa"/>
            <w:vAlign w:val="bottom"/>
          </w:tcPr>
          <w:p>
            <w:pPr>
              <w:spacing w:after="0"/>
              <w:rPr>
                <w:sz w:val="1"/>
                <w:szCs w:val="1"/>
                <w:color w:val="auto"/>
              </w:rPr>
            </w:pPr>
          </w:p>
        </w:tc>
      </w:tr>
      <w:tr>
        <w:trPr>
          <w:trHeight w:val="278"/>
        </w:trPr>
        <w:tc>
          <w:tcPr>
            <w:tcW w:w="4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Appropriate pharmacokinetic profile with or without food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Potential Reduced Treatment Burden / Enhanced</w:t>
            </w:r>
          </w:p>
        </w:tc>
        <w:tc>
          <w:tcPr>
            <w:tcW w:w="8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Convenient oral daily dosing with extended-release tablet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500" w:type="dxa"/>
            <w:vAlign w:val="bottom"/>
          </w:tcPr>
          <w:p>
            <w:pPr>
              <w:spacing w:after="0"/>
              <w:rPr>
                <w:sz w:val="20"/>
                <w:szCs w:val="20"/>
                <w:color w:val="auto"/>
              </w:rPr>
            </w:pPr>
            <w:r>
              <w:rPr>
                <w:rFonts w:ascii="Arial" w:cs="Arial" w:eastAsia="Arial" w:hAnsi="Arial"/>
                <w:sz w:val="16"/>
                <w:szCs w:val="16"/>
                <w:b w:val="1"/>
                <w:bCs w:val="1"/>
                <w:color w:val="auto"/>
              </w:rPr>
              <w:t>Patient Convenience</w:t>
            </w: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gridSpan w:val="2"/>
          </w:tcPr>
          <w:p>
            <w:pPr>
              <w:ind w:left="40"/>
              <w:spacing w:after="0"/>
              <w:rPr>
                <w:sz w:val="20"/>
                <w:szCs w:val="20"/>
                <w:color w:val="auto"/>
              </w:rPr>
            </w:pPr>
            <w:r>
              <w:rPr>
                <w:rFonts w:ascii="Arial" w:cs="Arial" w:eastAsia="Arial" w:hAnsi="Arial"/>
                <w:sz w:val="16"/>
                <w:szCs w:val="16"/>
                <w:color w:val="auto"/>
              </w:rPr>
              <w:t>Potential for once-a-day dosing</w:t>
            </w:r>
          </w:p>
        </w:tc>
        <w:tc>
          <w:tcPr>
            <w:tcW w:w="0" w:type="dxa"/>
            <w:vAlign w:val="bottom"/>
          </w:tcPr>
          <w:p>
            <w:pPr>
              <w:spacing w:after="0"/>
              <w:rPr>
                <w:sz w:val="1"/>
                <w:szCs w:val="1"/>
                <w:color w:val="auto"/>
              </w:rPr>
            </w:pPr>
          </w:p>
        </w:tc>
      </w:tr>
      <w:tr>
        <w:trPr>
          <w:trHeight w:val="286"/>
        </w:trPr>
        <w:tc>
          <w:tcPr>
            <w:tcW w:w="4500" w:type="dxa"/>
            <w:vAlign w:val="bottom"/>
          </w:tcPr>
          <w:p>
            <w:pPr>
              <w:spacing w:after="0"/>
              <w:rPr>
                <w:sz w:val="24"/>
                <w:szCs w:val="24"/>
                <w:color w:val="auto"/>
              </w:rPr>
            </w:pP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gridSpan w:val="2"/>
          </w:tcPr>
          <w:p>
            <w:pPr>
              <w:ind w:left="40"/>
              <w:spacing w:after="0"/>
              <w:rPr>
                <w:sz w:val="20"/>
                <w:szCs w:val="20"/>
                <w:color w:val="auto"/>
              </w:rPr>
            </w:pPr>
            <w:r>
              <w:rPr>
                <w:rFonts w:ascii="Arial" w:cs="Arial" w:eastAsia="Arial" w:hAnsi="Arial"/>
                <w:sz w:val="16"/>
                <w:szCs w:val="16"/>
                <w:color w:val="auto"/>
              </w:rPr>
              <w:t>Potential lowest dosage of any oral HAE treatment; ease of administration</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17"/>
                <w:szCs w:val="17"/>
                <w:color w:val="auto"/>
              </w:rPr>
            </w:pP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gridSpan w:val="2"/>
          </w:tcPr>
          <w:p>
            <w:pPr>
              <w:ind w:left="40"/>
              <w:spacing w:after="0"/>
              <w:rPr>
                <w:sz w:val="20"/>
                <w:szCs w:val="20"/>
                <w:color w:val="auto"/>
              </w:rPr>
            </w:pPr>
            <w:r>
              <w:rPr>
                <w:rFonts w:ascii="Arial" w:cs="Arial" w:eastAsia="Arial" w:hAnsi="Arial"/>
                <w:sz w:val="16"/>
                <w:szCs w:val="16"/>
                <w:color w:val="auto"/>
              </w:rPr>
              <w:t>Well tolerated throughout therapeutic ranges as demonstrated by multiple clinical</w:t>
            </w: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8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gridSpan w:val="2"/>
          </w:tcPr>
          <w:p>
            <w:pPr>
              <w:ind w:left="40"/>
              <w:spacing w:after="0"/>
              <w:rPr>
                <w:sz w:val="20"/>
                <w:szCs w:val="20"/>
                <w:color w:val="auto"/>
              </w:rPr>
            </w:pPr>
            <w:r>
              <w:rPr>
                <w:rFonts w:ascii="Arial" w:cs="Arial" w:eastAsia="Arial" w:hAnsi="Arial"/>
                <w:sz w:val="16"/>
                <w:szCs w:val="16"/>
                <w:color w:val="auto"/>
              </w:rPr>
              <w:t>trials to-date</w:t>
            </w:r>
          </w:p>
        </w:tc>
        <w:tc>
          <w:tcPr>
            <w:tcW w:w="0" w:type="dxa"/>
            <w:vAlign w:val="bottom"/>
          </w:tcPr>
          <w:p>
            <w:pPr>
              <w:spacing w:after="0"/>
              <w:rPr>
                <w:sz w:val="1"/>
                <w:szCs w:val="1"/>
                <w:color w:val="auto"/>
              </w:rPr>
            </w:pPr>
          </w:p>
        </w:tc>
      </w:tr>
      <w:tr>
        <w:trPr>
          <w:trHeight w:val="217"/>
        </w:trPr>
        <w:tc>
          <w:tcPr>
            <w:tcW w:w="45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5940" w:type="dxa"/>
            <w:vAlign w:val="bottom"/>
            <w:gridSpan w:val="2"/>
          </w:tcPr>
          <w:p>
            <w:pPr>
              <w:ind w:left="40"/>
              <w:spacing w:after="0"/>
              <w:rPr>
                <w:sz w:val="20"/>
                <w:szCs w:val="20"/>
                <w:color w:val="auto"/>
              </w:rPr>
            </w:pPr>
            <w:r>
              <w:rPr>
                <w:rFonts w:ascii="Arial" w:cs="Arial" w:eastAsia="Arial" w:hAnsi="Arial"/>
                <w:sz w:val="16"/>
                <w:szCs w:val="16"/>
                <w:color w:val="auto"/>
              </w:rPr>
              <w:t>No injection needed</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right="440" w:firstLine="464"/>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begin therapy with on-demand only and gradually move to prophylaxis as attack frequency increases (commonly after puberty). To our knowledge, we are the only company that will offer this option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121920</wp:posOffset>
            </wp:positionV>
            <wp:extent cx="5871845" cy="2477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7184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Expansion of the Portfolio</w:t>
      </w:r>
    </w:p>
    <w:p>
      <w:pPr>
        <w:spacing w:after="0" w:line="219"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Our goal is to expand our portfolio with additional programs addressing other bradykinin-mediated diseases, building on our strategic strength and expertise in the bradykinin B2 receptor pathway. Our approach is to identify additional disease areas and indications with strong scientific rationale, high unmet medical need, a defined target population and significant differentiation potential. We are actively pursuing new synthesis, medicinal chemistry, and lead optimization to identify additional and/or follow-on product candidates. In collaboration and discussion with key opinion leaders, we are considering exploratory proof-of-concept studies to validate the potential of bradykinin B2 receptor antagonism in new indications that could include cardiovascular, allergy and immunology and others.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Strengths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company is built upon the following strengths:</w:t>
      </w:r>
    </w:p>
    <w:p>
      <w:pPr>
        <w:spacing w:after="0" w:line="113" w:lineRule="exact"/>
        <w:rPr>
          <w:sz w:val="20"/>
          <w:szCs w:val="20"/>
          <w:color w:val="auto"/>
        </w:rPr>
      </w:pPr>
    </w:p>
    <w:p>
      <w:pPr>
        <w:ind w:left="1020" w:right="220" w:hanging="503"/>
        <w:spacing w:after="0" w:line="285"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Broad strength and expertise in the bradykinin B2 receptor pathway. Members of the management team include an inventor of icatibant, the leadership team that developed FIRAZYR through European approval, and a key member from the TAKHZYRO development team;</w:t>
      </w:r>
    </w:p>
    <w:p>
      <w:pPr>
        <w:spacing w:after="0" w:line="48" w:lineRule="exact"/>
        <w:rPr>
          <w:rFonts w:ascii="Times New Roman" w:cs="Times New Roman" w:eastAsia="Times New Roman" w:hAnsi="Times New Roman"/>
          <w:sz w:val="16"/>
          <w:szCs w:val="16"/>
          <w:color w:val="auto"/>
        </w:rPr>
      </w:pPr>
    </w:p>
    <w:p>
      <w:pPr>
        <w:ind w:left="1020" w:right="320" w:hanging="503"/>
        <w:spacing w:after="0" w:line="285"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is an orally available product candidate with a clinically validated mechanism of action that addresses serious unmet medical need in HAE;</w:t>
      </w:r>
    </w:p>
    <w:p>
      <w:pPr>
        <w:spacing w:after="0" w:line="48" w:lineRule="exact"/>
        <w:rPr>
          <w:rFonts w:ascii="Times New Roman" w:cs="Times New Roman" w:eastAsia="Times New Roman" w:hAnsi="Times New Roman"/>
          <w:sz w:val="16"/>
          <w:szCs w:val="16"/>
          <w:color w:val="auto"/>
        </w:rPr>
      </w:pPr>
    </w:p>
    <w:p>
      <w:pPr>
        <w:ind w:left="1020" w:right="120" w:hanging="503"/>
        <w:spacing w:after="0" w:line="285"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has demonstrated physicochemical properties suitable to formulations as both an on-demand product candidate, via IR capsule formulation, and a distinct prophylactic product candidate, via XR tablet formulation;</w:t>
      </w:r>
    </w:p>
    <w:p>
      <w:pPr>
        <w:spacing w:after="0" w:line="48" w:lineRule="exact"/>
        <w:rPr>
          <w:rFonts w:ascii="Times New Roman" w:cs="Times New Roman" w:eastAsia="Times New Roman" w:hAnsi="Times New Roman"/>
          <w:sz w:val="16"/>
          <w:szCs w:val="16"/>
          <w:color w:val="auto"/>
        </w:rPr>
      </w:pPr>
    </w:p>
    <w:p>
      <w:pPr>
        <w:ind w:left="1020" w:right="40" w:hanging="503"/>
        <w:spacing w:after="0" w:line="266"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compared to icatibant, the currently approved bradykinin B2 receptor inhibitor, demonstrated higher preclinical potency in blocking bradykinin signaling at the bradykinin B2 receptor, and good oral bioavailability and a longer half-life in humans, which has resulted in longer duration of the bradykinin-blocking PD effect in humans;</w:t>
      </w:r>
    </w:p>
    <w:p>
      <w:pPr>
        <w:spacing w:after="0" w:line="62" w:lineRule="exact"/>
        <w:rPr>
          <w:rFonts w:ascii="Times New Roman" w:cs="Times New Roman" w:eastAsia="Times New Roman" w:hAnsi="Times New Roman"/>
          <w:sz w:val="16"/>
          <w:szCs w:val="16"/>
          <w:color w:val="auto"/>
        </w:rPr>
      </w:pPr>
    </w:p>
    <w:p>
      <w:pPr>
        <w:jc w:val="both"/>
        <w:ind w:left="1020" w:right="280" w:hanging="503"/>
        <w:spacing w:after="0" w:line="266"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wholly own intellectual property – including granted and pending patent applications – covering deucrictibant and additional molecules, formulations and use; Our scientific experience allows us to leverage deep insight and experience in the bradykinin B2 receptor pathway to expand our portfolio into other bradykinin-mediated angioedema and bradykinin-mediated diseases beyond angioedema; and</w:t>
      </w:r>
    </w:p>
    <w:p>
      <w:pPr>
        <w:spacing w:after="0" w:line="62"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deep market expertise across the different functional areas of the company through the hiring of research, clinical development, medical and commercial staff with a long history in HAE.</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Strategy</w:t>
      </w:r>
    </w:p>
    <w:p>
      <w:pPr>
        <w:spacing w:after="0" w:line="113"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Our strategy is to develop and commercialize therapies that are superior to currently available treatment options and improve patient quality of life and convenience. Our initial approach for HAE and potential expansions into other BK-mediated angioedema and diseases is based upon extensive patient, physician, and payer research to identify the key needs in the market. According to our analysis, oral therapy remains the highest unmet need for both on-demand and prophylactic use in HAE. Importantly, our research shows that patients are not willing to accept significantly reduced efficacy or safety with a switch to oral therapy. A therapy for HAE, whether for on-demand or prophylaxis, needs to offer strong efficacy, high tolerability &amp; safety, and convenient administration. Our intention with the IR capsule formulation and the XR tablet formulation is to develop products for the on-demand and prophylactic setting that can meet all of these needs. We are not aware of any other therapies on the market or in development that are able to provide such a comprehensive value proposition across the spectrum for HAE.</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elements of our strategy include:</w:t>
      </w:r>
    </w:p>
    <w:p>
      <w:pPr>
        <w:spacing w:after="0" w:line="115" w:lineRule="exact"/>
        <w:rPr>
          <w:sz w:val="20"/>
          <w:szCs w:val="20"/>
          <w:color w:val="auto"/>
        </w:rPr>
      </w:pPr>
    </w:p>
    <w:p>
      <w:pPr>
        <w:ind w:left="900" w:right="200" w:hanging="428"/>
        <w:spacing w:after="0" w:line="255"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Continue to advance deucrictibant through clinical development for on-demand treatment of HAE utilizing a rapid-onset formulation, known as deucrictibant immediate-release (IR) capsules. </w:t>
      </w:r>
      <w:r>
        <w:rPr>
          <w:rFonts w:ascii="Arial" w:cs="Arial" w:eastAsia="Arial" w:hAnsi="Arial"/>
          <w:sz w:val="16"/>
          <w:szCs w:val="16"/>
          <w:color w:val="auto"/>
        </w:rPr>
        <w:t>We intend to develop and commercialize deucrictibant IR capsules as a fast-acting, orally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potent inhibitor and selective on-demand treatment for HAE attacks. We are currently enrolling approximately 120 participants in RAPIDe-3, a global, pivotal Phase 3 clinical study of deucrictibant IR capsules for the on-demand treatment of HAE attacks in adults and adolescents.</w:t>
      </w:r>
    </w:p>
    <w:p>
      <w:pPr>
        <w:spacing w:after="0" w:line="74" w:lineRule="exact"/>
        <w:rPr>
          <w:rFonts w:ascii="Times New Roman" w:cs="Times New Roman" w:eastAsia="Times New Roman" w:hAnsi="Times New Roman"/>
          <w:sz w:val="16"/>
          <w:szCs w:val="16"/>
          <w:color w:val="auto"/>
        </w:rPr>
      </w:pPr>
    </w:p>
    <w:p>
      <w:pPr>
        <w:ind w:left="900" w:right="20" w:hanging="428"/>
        <w:spacing w:after="0" w:line="255"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Advance the development of deucrictibant for prophylactic treatment of HAE utilizing an extended-release formulation, known as deucrictibant extended-release (XR) tablets</w:t>
      </w:r>
      <w:r>
        <w:rPr>
          <w:rFonts w:ascii="Arial" w:cs="Arial" w:eastAsia="Arial" w:hAnsi="Arial"/>
          <w:sz w:val="16"/>
          <w:szCs w:val="16"/>
          <w:color w:val="auto"/>
        </w:rPr>
        <w:t>. We intend to advance deucrictibant XR tablets through clinical development as an extended-release prophylactic</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HAE. We plan to leverage our clinical data and experience from the development of deucrictibant in the on-demand setting to expedite our efforts in the prophylactic setting. We are currently enrolling approximately 81 participants in CHAPTER-3, a global, pivotal Phase 3 clinical study of deucrictibant XR tablets for the prophylactic treatment of HAE attacks in adults and adolescents.</w:t>
      </w:r>
    </w:p>
    <w:p>
      <w:pPr>
        <w:spacing w:after="0" w:line="72" w:lineRule="exact"/>
        <w:rPr>
          <w:rFonts w:ascii="Times New Roman" w:cs="Times New Roman" w:eastAsia="Times New Roman" w:hAnsi="Times New Roman"/>
          <w:sz w:val="16"/>
          <w:szCs w:val="16"/>
          <w:color w:val="auto"/>
        </w:rPr>
      </w:pPr>
    </w:p>
    <w:p>
      <w:pPr>
        <w:ind w:left="900" w:right="60" w:hanging="428"/>
        <w:spacing w:after="0" w:line="250"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Expand the range of bradykinin-mediated angioedema indications to which deucrictibant can be applied. </w:t>
      </w:r>
      <w:r>
        <w:rPr>
          <w:rFonts w:ascii="Arial" w:cs="Arial" w:eastAsia="Arial" w:hAnsi="Arial"/>
          <w:sz w:val="16"/>
          <w:szCs w:val="16"/>
          <w:color w:val="auto"/>
        </w:rPr>
        <w:t>In addition to Type 1 or Type 2 HAE,</w:t>
      </w:r>
      <w:r>
        <w:rPr>
          <w:rFonts w:ascii="Arial" w:cs="Arial" w:eastAsia="Arial" w:hAnsi="Arial"/>
          <w:sz w:val="16"/>
          <w:szCs w:val="16"/>
          <w:i w:val="1"/>
          <w:iCs w:val="1"/>
          <w:color w:val="auto"/>
        </w:rPr>
        <w:t xml:space="preserve"> </w:t>
      </w:r>
      <w:r>
        <w:rPr>
          <w:rFonts w:ascii="Arial" w:cs="Arial" w:eastAsia="Arial" w:hAnsi="Arial"/>
          <w:sz w:val="16"/>
          <w:szCs w:val="16"/>
          <w:color w:val="auto"/>
        </w:rPr>
        <w:t>bradykinin is also an important mediator for other types of non-histaminergic angioedema, such as: hereditary angioedema with normal C1-INH and acquired angioedema (AAE) due to C1-INH deficiency (AAE-C1INH). Our first molecule, deucrictibant (previously referred to as PHA121 or PHA-022121), is a novel, oral, small-molecule bradykinin B2 receptor antagonist under development for the prevention or treatment of attacks due to bradykinin-mediated angioedema, including hereditary angioedema (HAE) and acquired angioedema due to C1-inhibitor deficiency (AAE-C1INH). Deucrictibant is designed to block the interaction of bradykinin with the B2 receptors, rather than blocking an upstream signal in one of the bradykinin production cascades as other treatments; therefore, deucrictibant may prevent bradykinin aberrant signaling regardless the underlying pathway that produces bradykinin and may address a broader range of angioedema attacks than other available treatments. Currently there are still no treatments approved for these angioedema patients who are unresponsive to conventional antihistamine/glucocorticoid treatment and have a high unmet medical need for effective therapies. Several clinical reports indicate that off-label use of icatibant has successfully treated acute attacks of these non-histaminergic angioedema patients, which provides a strong rationale to expand the development deucrictibant to address such a high unmet medical need.</w:t>
      </w:r>
    </w:p>
    <w:p>
      <w:pPr>
        <w:spacing w:after="0" w:line="75" w:lineRule="exact"/>
        <w:rPr>
          <w:rFonts w:ascii="Times New Roman" w:cs="Times New Roman" w:eastAsia="Times New Roman" w:hAnsi="Times New Roman"/>
          <w:sz w:val="16"/>
          <w:szCs w:val="16"/>
          <w:color w:val="auto"/>
        </w:rPr>
      </w:pPr>
    </w:p>
    <w:p>
      <w:pPr>
        <w:ind w:left="900" w:right="60" w:hanging="428"/>
        <w:spacing w:after="0" w:line="266"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Expand upon our expertise in the bradykinin B2 receptor pathway</w:t>
      </w:r>
      <w:r>
        <w:rPr>
          <w:rFonts w:ascii="Arial" w:cs="Arial" w:eastAsia="Arial" w:hAnsi="Arial"/>
          <w:sz w:val="16"/>
          <w:szCs w:val="16"/>
          <w:color w:val="auto"/>
        </w:rPr>
        <w:t>. We intend to leverage the strategic strengths, insight, and deep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team in the bradykinin B2 receptor pathway to identify additional disease areas and indications with strong scientific rationale, high unmet medical need, a defined target population and significant differentiation potential. As such,</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900" w:right="720"/>
        <w:spacing w:after="0" w:line="286" w:lineRule="auto"/>
        <w:rPr>
          <w:sz w:val="20"/>
          <w:szCs w:val="20"/>
          <w:color w:val="auto"/>
        </w:rPr>
      </w:pPr>
      <w:r>
        <w:rPr>
          <w:rFonts w:ascii="Arial" w:cs="Arial" w:eastAsia="Arial" w:hAnsi="Arial"/>
          <w:sz w:val="16"/>
          <w:szCs w:val="16"/>
          <w:color w:val="auto"/>
        </w:rPr>
        <w:t>we will seek to develop follow-on product candidates that serve additional bradykinin-mediated diseases beyond angioedema, such as cardiovascular, allergy and immunology, neurological disease or others.</w:t>
      </w:r>
    </w:p>
    <w:p>
      <w:pPr>
        <w:spacing w:after="0" w:line="48" w:lineRule="exact"/>
        <w:rPr>
          <w:sz w:val="20"/>
          <w:szCs w:val="20"/>
          <w:color w:val="auto"/>
        </w:rPr>
      </w:pPr>
    </w:p>
    <w:p>
      <w:pPr>
        <w:ind w:left="900" w:right="40" w:hanging="428"/>
        <w:spacing w:after="0" w:line="259" w:lineRule="auto"/>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Commercialize our product candidates. </w:t>
      </w:r>
      <w:r>
        <w:rPr>
          <w:rFonts w:ascii="Arial" w:cs="Arial" w:eastAsia="Arial" w:hAnsi="Arial"/>
          <w:sz w:val="16"/>
          <w:szCs w:val="16"/>
          <w:color w:val="auto"/>
        </w:rPr>
        <w:t>We intend to retain economic and commercial ownership of our current product candidates. If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we expect to independently commercialize both deucrictibant XR and deucrictibant IR in the United States, Europe and certain other countries. As we advance towards regulatory approval for our product candidates, we may establish a focused commercialization and sales infrastructure suitable for HAE.</w:t>
      </w:r>
    </w:p>
    <w:p>
      <w:pPr>
        <w:spacing w:after="0" w:line="285" w:lineRule="exact"/>
        <w:rPr>
          <w:sz w:val="20"/>
          <w:szCs w:val="20"/>
          <w:color w:val="auto"/>
        </w:rPr>
      </w:pPr>
    </w:p>
    <w:p>
      <w:pPr>
        <w:jc w:val="center"/>
        <w:ind w:right="9420"/>
        <w:spacing w:after="0"/>
        <w:rPr>
          <w:sz w:val="20"/>
          <w:szCs w:val="20"/>
          <w:color w:val="auto"/>
        </w:rPr>
      </w:pPr>
      <w:r>
        <w:rPr>
          <w:rFonts w:ascii="Arial" w:cs="Arial" w:eastAsia="Arial" w:hAnsi="Arial"/>
          <w:sz w:val="16"/>
          <w:szCs w:val="16"/>
          <w:b w:val="1"/>
          <w:bCs w:val="1"/>
          <w:color w:val="auto"/>
        </w:rPr>
        <w:t>Hereditary Angioedema</w:t>
      </w:r>
    </w:p>
    <w:p>
      <w:pPr>
        <w:spacing w:after="0" w:line="115" w:lineRule="exact"/>
        <w:rPr>
          <w:sz w:val="20"/>
          <w:szCs w:val="20"/>
          <w:color w:val="auto"/>
        </w:rPr>
      </w:pPr>
    </w:p>
    <w:p>
      <w:pPr>
        <w:jc w:val="center"/>
        <w:ind w:right="9400"/>
        <w:spacing w:after="0"/>
        <w:rPr>
          <w:sz w:val="20"/>
          <w:szCs w:val="20"/>
          <w:color w:val="auto"/>
        </w:rPr>
      </w:pPr>
      <w:r>
        <w:rPr>
          <w:rFonts w:ascii="Arial" w:cs="Arial" w:eastAsia="Arial" w:hAnsi="Arial"/>
          <w:sz w:val="16"/>
          <w:szCs w:val="16"/>
          <w:b w:val="1"/>
          <w:bCs w:val="1"/>
          <w:i w:val="1"/>
          <w:iCs w:val="1"/>
          <w:color w:val="auto"/>
        </w:rPr>
        <w:t>Disease Overview</w:t>
      </w:r>
    </w:p>
    <w:p>
      <w:pPr>
        <w:spacing w:after="0" w:line="11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HAE is a rare and potentially life-threatening genetic condition. HAE is an autosomal dominant disease, meaning that a defect in only one copy of the gene leads to symptoms and that it occurs at similar rates in both males and females. It is mainly caused by one or more mutations (inherited or spontaneous) in the SERPING1 gene, which codes for the C1-inhibitor protein (C1-INH). Deficiency or malfunction of C1-INH leads to uncontrolled synthesis and activity of plasma kallikrein and unconstrained bradykinin production. Excessive bradykinin production is recognized to be the key mediator of symptoms in patients with HAE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can occur in patients with normal levels of C1-INH for a variety of reasons including mutations in genes for Factor XIIa, plasminogen, angiopoietin-1 or kininogen-1. Moreover, bradykinin-induced attacks of angioedema can occur idiopathically in individuals for which a hereditary cause has not yet been identified. Excessive amounts of bradykinin can also be caused by increased circulation of estrogens, reduced C1-INH levels due to underlying diseases, reduced elimination of bradykinin, or through use of medications such as angiotensin-converting enzyme (ACE) inhibitors and tissue plasminogen activator (tPA).</w:t>
      </w:r>
    </w:p>
    <w:p>
      <w:pPr>
        <w:spacing w:after="0" w:line="187"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Excessive bradykinin generation and increased risks for edema attacks in HAE may occur during conditions associated with inflammation, infections, ischemia, and allergic reactions. Attacks often lead to discomfort, pain and nausea but can become life-threatening in the case of airway obstruction, with a 30% risk of asphyxiation if the attack remains untreated.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Airway swelling is particularly dangerous and can lead to death by asphyxiation. Although rare, at least half of HAE patients have experienced a life-threatening airway swelling attack and airway attacks remain a major cause of mortality in HAE patients. Swelling typically develops over 24 hours and resolves within five days without treatment. Symptoms typically first present in young children and may take 5-10 years (until early adolescence or young adulthood) to be diagnosed. HAE affects 1:50,000 to 1:10,000 individuals globally, or at least 6,600 patients in the U.S. and at least 8,900 patients in the EU.</w:t>
      </w:r>
    </w:p>
    <w:p>
      <w:pPr>
        <w:spacing w:after="0" w:line="189"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As a result of the lifelong nature of HAE and the challenges related to the use of many of the injected therapies, patient surveys consistently indicate a desire for an oral therapy. We believe that a safe and effective oral agent has the potential to transform treatment for this disease and become the first-line therapy for both on-demand and prophylaxis. We also believe that opportunities exist for both acute and prophylactic treatments, and we intend to develop drug candidates for both on-demand and prophylactic use with the goal of providing patients with a set of oral options to prevent and treat their disease.</w:t>
      </w:r>
    </w:p>
    <w:p>
      <w:pPr>
        <w:spacing w:after="0" w:line="200" w:lineRule="exact"/>
        <w:rPr>
          <w:sz w:val="20"/>
          <w:szCs w:val="20"/>
          <w:color w:val="auto"/>
        </w:rPr>
      </w:pPr>
    </w:p>
    <w:p>
      <w:pPr>
        <w:spacing w:after="0" w:line="30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Current Treatments and Their Limitations</w:t>
      </w:r>
    </w:p>
    <w:p>
      <w:pPr>
        <w:spacing w:after="0" w:line="111"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There are currently two treatment approaches to the management of HAE: acute (on-demand) treatment of attacks and prevention of attacks with short-or long-term prophylactic therapy.</w:t>
      </w:r>
    </w:p>
    <w:p>
      <w:pPr>
        <w:spacing w:after="0" w:line="48" w:lineRule="exact"/>
        <w:rPr>
          <w:sz w:val="20"/>
          <w:szCs w:val="20"/>
          <w:color w:val="auto"/>
        </w:rPr>
      </w:pPr>
    </w:p>
    <w:p>
      <w:pPr>
        <w:ind w:left="1020" w:right="60" w:hanging="503"/>
        <w:spacing w:after="0" w:line="251" w:lineRule="auto"/>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On-Demand Treatment</w:t>
      </w:r>
      <w:r>
        <w:rPr>
          <w:rFonts w:ascii="Arial" w:cs="Arial" w:eastAsia="Arial" w:hAnsi="Arial"/>
          <w:sz w:val="16"/>
          <w:szCs w:val="16"/>
          <w:color w:val="auto"/>
        </w:rPr>
        <w:t>: The currently approved products for treatment of acute HAE attacks are all injectable products and include C1-INH</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products such as human plasma-derived C1-INH concentrates (BERINERT, CINRYZE, and CETOR) or recombinant human C1-INH (RUCONEST); the bradykinin B2 receptor antagonist icatibant (FIRAZYR, and available as a generic product); and, the plasma kallikrein inhibitor ecallantide (KALBITOR), which has been known to cause allergic reactions including anaphylaxis and must be administered by a doctor or nurse in a healthcare setting. Human plasma-derived C1-INH concentrate products are isolated from donated human plasma and historically have been impacted by supply shortages. Subcutaneous, or s.c., icatibant is the only available bradykinin B2 receptor antagonist indicated for treatment of acute HAE attacks Type 1 or Type 2 with C1-INH deficiency. In acute HAE attacks, icatibant has been shown to provide a significantly faster onset of relief than placebo (2.0 h versus 19.8 h). Icatibant is recommended as a first-line treatment option for the treatment of acute HAE attacks in patients with HAE.</w:t>
      </w:r>
    </w:p>
    <w:p>
      <w:pPr>
        <w:spacing w:after="0" w:line="76" w:lineRule="exact"/>
        <w:rPr>
          <w:rFonts w:ascii="Times New Roman" w:cs="Times New Roman" w:eastAsia="Times New Roman" w:hAnsi="Times New Roman"/>
          <w:sz w:val="16"/>
          <w:szCs w:val="16"/>
          <w:color w:val="auto"/>
        </w:rPr>
      </w:pPr>
    </w:p>
    <w:p>
      <w:pPr>
        <w:ind w:left="1020" w:right="20" w:hanging="503"/>
        <w:spacing w:after="0" w:line="253" w:lineRule="auto"/>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Prophylactic Treatment</w:t>
      </w:r>
      <w:r>
        <w:rPr>
          <w:rFonts w:ascii="Arial" w:cs="Arial" w:eastAsia="Arial" w:hAnsi="Arial"/>
          <w:sz w:val="16"/>
          <w:szCs w:val="16"/>
          <w:color w:val="auto"/>
        </w:rPr>
        <w:t>: Currently approved prophylactic therapies for HAE include C1-INH replacement products, such as intravenously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CINRYZE and subcutaneously delivered HAEGARDA/ BERINERT 2000/3000 (both of which require twice-weekly injections); the monoclonal antibody plasma kallikrein inhibitor lanadelumab-flyo (TAKHZYRO); and the small-molecule plasma kallikrein inhibitor berotralstat (ORLADEYO). Current treatment guidelines recommend against the use of the traditional oral medications for HAE, such as antifibrinolytics (tranexamic acid or epsilon aminocaproic acid) for HAE due to their limited efficacy. Attenuated androgens (e.g., danazol, stanozolol, and oxandrolone) are recommended only as second-line treatments for the prevention of HAE attacks, since there are numerous contraindications, therapeutic class adverse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10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1020" w:right="20"/>
        <w:spacing w:after="0" w:line="286" w:lineRule="auto"/>
        <w:rPr>
          <w:sz w:val="20"/>
          <w:szCs w:val="20"/>
          <w:color w:val="auto"/>
        </w:rPr>
      </w:pPr>
      <w:r>
        <w:rPr>
          <w:rFonts w:ascii="Arial" w:cs="Arial" w:eastAsia="Arial" w:hAnsi="Arial"/>
          <w:sz w:val="16"/>
          <w:szCs w:val="16"/>
          <w:color w:val="auto"/>
        </w:rPr>
        <w:t>events or AEs, and overall suboptimal control of HAE in many patients. The use of attenuated androgens is limited by numerous safety issues, including seborrhea, altered libido, depression, fatigue, menstrual abnormalities, and masculinization.</w:t>
      </w:r>
    </w:p>
    <w:p>
      <w:pPr>
        <w:spacing w:after="0" w:line="196" w:lineRule="exact"/>
        <w:rPr>
          <w:sz w:val="20"/>
          <w:szCs w:val="20"/>
          <w:color w:val="auto"/>
        </w:rPr>
      </w:pPr>
    </w:p>
    <w:p>
      <w:pPr>
        <w:ind w:right="660" w:firstLine="458"/>
        <w:spacing w:after="0" w:line="286" w:lineRule="auto"/>
        <w:rPr>
          <w:sz w:val="20"/>
          <w:szCs w:val="20"/>
          <w:color w:val="auto"/>
        </w:rPr>
      </w:pPr>
      <w:r>
        <w:rPr>
          <w:rFonts w:ascii="Arial" w:cs="Arial" w:eastAsia="Arial" w:hAnsi="Arial"/>
          <w:sz w:val="16"/>
          <w:szCs w:val="16"/>
          <w:color w:val="auto"/>
        </w:rPr>
        <w:t>To our knowledge, there is one other angioedema-specific oral medication for on-demand use in clinical development. This kallikrein inhibitor, sebetralstat, is under development by Kalvista and has recently completed Phase 3.</w:t>
      </w:r>
    </w:p>
    <w:p>
      <w:pPr>
        <w:spacing w:after="0" w:line="196"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We believe that the properties and mechanism of deucrictibant enable us to develop oral product candidates that will be generally more convenient for patients to take, without sacrificing efficacy for treatment or prevention of angioedema attacks.</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Related indications to BK</w:t>
      </w:r>
    </w:p>
    <w:p>
      <w:pPr>
        <w:spacing w:after="0" w:line="260"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In addition to Type 1 or Type 2 HAE, bradykinin is also an important mediator for other types of non-histaminergic angioedema, such as: hereditary angioedema with normal C1-INH and acquired angioedema (AAE) due to C1-INH deficiency (AAE-C1INH). Unlike HAE Types 1 and 2, for other BK-mediated angioedema, an unclear pathophysiology and lack of consistent diagnostic criteria have limited the opportunity for clinical investigation and new treatment development. Consequently, there are still no treatments approved for HAE patients with normal C1-INH or AAE-C1INH, who are unresponsive to conventional antihistamine/glucocorticoid treatment and have a high unmet medical need for effective modern therapies. Recently clinical and translational research has made significant progress in non-histaminergic angioedema, similar to Type 1 or 2 HAE. Bradykinin has been shown to be elevated in plasma from non-histaminergic angioedema patients with normal C1-INH (Li et al., Allergy, Asthma &amp; Clinical Immunology 2023) and idiopathic non-mast cell mediated AE (Suffritti J Investig Allergol Clin Immunol 2024). Several clinical reports indicate that icatibant has successfully treated acute attacks in either hereditary angioedema patients with normal C1-INH (Bork et al., Orphanet J Rare Dis. 2020; Bork et al. J Allergy Clin Immunol Pract 2023; Jones et al. World Allergy Organization Journal, 2022; Riedl et al., J Allergy Clin Immunol Pract. 2023), and that deucrictibant successfully treated AAE-C1INH patients (Petersen et al., J Allergy Clin Immunol, 2024). In addition, a recent survey revealed that icatibant was one of the most efficacious on-demand treatments for patients with idiopathic non-mast cell angioedema (Christiansen &amp; Zuraw, Allergy and Asthma Proceedings 2025). All these provide strong rationales to expand the development of deucrictibant to these types of bradykinin-mediated angioedema and address the high unmet medical need.</w:t>
      </w:r>
    </w:p>
    <w:p>
      <w:pPr>
        <w:spacing w:after="0" w:line="245" w:lineRule="exact"/>
        <w:rPr>
          <w:sz w:val="20"/>
          <w:szCs w:val="20"/>
          <w:color w:val="auto"/>
        </w:rPr>
      </w:pPr>
    </w:p>
    <w:p>
      <w:pPr>
        <w:ind w:right="220" w:firstLine="458"/>
        <w:spacing w:after="0" w:line="286" w:lineRule="auto"/>
        <w:rPr>
          <w:sz w:val="20"/>
          <w:szCs w:val="20"/>
          <w:color w:val="auto"/>
        </w:rPr>
      </w:pPr>
      <w:r>
        <w:rPr>
          <w:rFonts w:ascii="Arial" w:cs="Arial" w:eastAsia="Arial" w:hAnsi="Arial"/>
          <w:sz w:val="16"/>
          <w:szCs w:val="16"/>
          <w:color w:val="auto"/>
        </w:rPr>
        <w:t>To our knowledge, one kallikrein inhibitor (lanadelumab-flyo, injected subcutaneously) is in development for hereditary angioedema with normal C1-INH and this inhibitor has recently completed a Phase 3 clinical trial for prophylaxis.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Deucrictibant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Overview</w:t>
      </w:r>
    </w:p>
    <w:p>
      <w:pPr>
        <w:spacing w:after="0" w:line="11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Since the 1990s, many companies have tried but failed to discover oral bradykinin B2 receptor antagonists, as the bradykinin B2 receptor has proved to be a difficult target for the development of orally available antagonists. Historically, compounds targeting the bradykinin B2 receptor with adequate potency have had physicochemical properties inconsistent with oral bioavailability. The bradykinin B2 receptor is a G-protein coupled receptor (GPCR) that binds to the peptide bradykinin in an elongated fashion. It has been challenging to identify a small molecule that can bind in this pocket potently enough to compete with bradykinin while still being small enough with appropriate properties to demonstrate oral bioavailability. Starting with modeled structures of the bradykinin-binding pocket of the bradykinin B2 receptor, we designed and synthesized a novel lead series (a set of molecules with the potential to be further optimized). Through our lead optimization program, we synthesized over 600 compounds to select a small molecule that is designed to fit in the bradykinin-binding pocket at the bradykinin B2 receptor, preventing or halting its signaling activity, while also possessing desirable physicochemical properties and other profiling characteristics.</w:t>
      </w:r>
    </w:p>
    <w:p>
      <w:pPr>
        <w:spacing w:after="0" w:line="185"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Bradykinin is the principal mediator of the signs and symptoms that represent acute HAE and other bradykinin-mediated angioedema attacks, acting as a potent and selective agonist of the bradykinin B2 receptor.</w:t>
      </w:r>
    </w:p>
    <w:p>
      <w:pPr>
        <w:spacing w:after="0" w:line="156" w:lineRule="exact"/>
        <w:rPr>
          <w:sz w:val="20"/>
          <w:szCs w:val="20"/>
          <w:color w:val="auto"/>
        </w:rPr>
      </w:pPr>
    </w:p>
    <w:p>
      <w:pPr>
        <w:ind w:right="580" w:firstLine="458"/>
        <w:spacing w:after="0" w:line="259" w:lineRule="auto"/>
        <w:rPr>
          <w:sz w:val="20"/>
          <w:szCs w:val="20"/>
          <w:color w:val="auto"/>
        </w:rPr>
      </w:pPr>
      <w:r>
        <w:rPr>
          <w:rFonts w:ascii="Arial" w:cs="Arial" w:eastAsia="Arial" w:hAnsi="Arial"/>
          <w:sz w:val="16"/>
          <w:szCs w:val="16"/>
          <w:color w:val="auto"/>
        </w:rPr>
        <w:t>In HAE and other bradykinin-mediated angioedema, contact activation triggers increased activity of plasma kallikrein, resulting in excessive breakdown of high-molecular-weight kininogen (HMWK) and increased production of cleaved HMWK (cHMWK) and bradykinin. Excessive bradykinin generation, as in HAE, promotes vascular permeability by activating the bradykinin B2 receptor in vascular endothelium cells, leading to plasma extravasation and subcutaneous or submucosal tissue swelling typical of an angioedema attack.</w:t>
      </w:r>
    </w:p>
    <w:p>
      <w:pPr>
        <w:spacing w:after="0" w:line="178"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As the figure below illustrates, treatment with deucrictibant, an orally bioavailable low-molecular weight, potent, competitive and selective antagonist of the human bradykinin B2 receptor, is intended to block and prevent activation of the bradykinin B2 receptor by elevated bradykinin levels and prevent or halt the angioedema process, with reduced or resolved swelling as a consequence. Deucrictibant therefore has the therapeutic potential for both on-demand treatment and long-term prevention of attacks in patients with bradykinin-mediated angioedema.</w:t>
      </w:r>
    </w:p>
    <w:p>
      <w:pPr>
        <w:spacing w:after="0" w:line="205" w:lineRule="exact"/>
        <w:rPr>
          <w:sz w:val="20"/>
          <w:szCs w:val="20"/>
          <w:color w:val="auto"/>
        </w:rPr>
      </w:pPr>
    </w:p>
    <w:p>
      <w:pPr>
        <w:jc w:val="both"/>
        <w:ind w:right="60" w:firstLine="458"/>
        <w:spacing w:after="0" w:line="266" w:lineRule="auto"/>
        <w:rPr>
          <w:sz w:val="20"/>
          <w:szCs w:val="20"/>
          <w:color w:val="auto"/>
        </w:rPr>
      </w:pPr>
      <w:r>
        <w:rPr>
          <w:rFonts w:ascii="Arial" w:cs="Arial" w:eastAsia="Arial" w:hAnsi="Arial"/>
          <w:sz w:val="16"/>
          <w:szCs w:val="16"/>
          <w:color w:val="auto"/>
        </w:rPr>
        <w:t>Deucrictibant combines the preclinical selectivity of bradykinin B2 receptor antagonism with oral bioavailability and acceptable exposure upon a single dose. Deucrictibant is being developed to become the first effective orally administered antagonist of BK activity with therapeutic potential for both acute on-demand treatment and long-term prevention of attacks in patients with HAE and other radykinin-mediated angioedema.</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11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80645</wp:posOffset>
            </wp:positionV>
            <wp:extent cx="6129020" cy="1868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902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380" w:firstLine="458"/>
        <w:spacing w:after="0" w:line="266" w:lineRule="auto"/>
        <w:rPr>
          <w:sz w:val="20"/>
          <w:szCs w:val="20"/>
          <w:color w:val="auto"/>
        </w:rPr>
      </w:pPr>
      <w:r>
        <w:rPr>
          <w:rFonts w:ascii="Arial" w:cs="Arial" w:eastAsia="Arial" w:hAnsi="Arial"/>
          <w:sz w:val="16"/>
          <w:szCs w:val="16"/>
          <w:color w:val="auto"/>
        </w:rPr>
        <w:t>Deucrictibant combines the selectivity of bradykinin B2 receptor antagonism with oral bioavailability and acceptable exposure upon a single dose. Deucrictibant is being developed to become the first effective orally administered antagonist of BK activity with therapeutic potential for both on-demand treatment and long-term prevention of attacks in patients with HAE and other bradykinin-mediated angioedema.</w:t>
      </w:r>
    </w:p>
    <w:p>
      <w:pPr>
        <w:spacing w:after="0" w:line="171"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 xml:space="preserve">Deucrictibant is an orally bioavailable competitive antagonist of the bradykinin B2 receptor with high affinity and high antagonist potency. Deucrictibant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w:t>
      </w:r>
    </w:p>
    <w:p>
      <w:pPr>
        <w:spacing w:after="0" w:line="171"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Deucrictibant demonstrated over 4000-fold selectivity for the bradykinin B2 receptor when compared to approximately 170 other molecular targets including the bradykinin-B1-receptor. As shown in the graphs below depicting mean arterial blood pressure (MABP) in a bradykinin challenge study in monkeys (back-translated from human), deucrictibant showed clear dose-dependent activity. While differences between human and monkey PK prevent direct extrapolation to human dose, deucrictibant demonstrated longer duration and faster onset of activity than injected icatibant in the same study. However, we have not conducted a head-to-head comparison of icatibant to deucrictibant in a clinical trial but have compared the published data for icatibant to data from our Phase 1 clinical trial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BK-Challenge in Nonclinical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156845</wp:posOffset>
            </wp:positionV>
            <wp:extent cx="4363085" cy="268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63085" cy="268287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12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80645</wp:posOffset>
            </wp:positionV>
            <wp:extent cx="4371975" cy="2683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71975"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A dose of 0.6 mg/kg sc icatibant was used in monkeys, as PK data indicated that this dose would provide an exposure (Cmax 1,044 ng/mL, AUC 2,155 ng*h/mL) similar to the exposures seen in humans at a therapeutic dose of 30 mg sc (Cmax 979 ng/mL, AUC 2,191 ng*h/mL). The dose was found to effectively antagonize the bradykinin challenge in monkeys up to six hours after dosing, similar to its duration of action in humans. The maximal effect of icatibant in this model was reached at the second time point measured, two hours after dosing. The vehicle in the icatibant study was saline.</w:t>
      </w:r>
    </w:p>
    <w:p>
      <w:pPr>
        <w:spacing w:after="0" w:line="178"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Deucrictibant inhibited the bradykinin-induced changes in MABP at all doses tested (0.1, 0.3, 1, 3 and 10 mg/kg given orally). The data show an early onset of activity, as the efficacy was already maximal at the first time point measured, one hour after oral dosing. This is a faster onset of action as compared to icatibant (0.6 mg/kg sc), which was maximally active on the bradykinin-induced changes in MABP at two hours after dosing.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Nonclinical Safety</w:t>
      </w:r>
    </w:p>
    <w:p>
      <w:pPr>
        <w:spacing w:after="0" w:line="219"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 xml:space="preserve">The conducted nonclinical package for deucrictibant includes secondary pharmacodynamics, safety pharmacology, genotoxicity, reproductive and developmental studies and general toxicity studies up to 6 months in rats and up to 9 months in monkeys. Deucrictibant did not demonstrate any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genotoxicity nor</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phototoxic potential. No findings considered relevant to humans were observed in GLP (Good Laboratory Practices)-compliant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toxicity studies in rats up to 3-months duration and in cynomolgus monkeys up to 9-months duration at doses up to the maximum tolerated dose in each species. Deucrictibant has not demonstrated any adverse effects on embryo-fetal survival and development in the humanized bradykinin B2 receptor transgenic rat or in the rabbit. Furthermore, male and female fertility studies showed no adverse effects of deucrictibant on gonadal function, mating behavior, and reproductive performance.</w:t>
      </w:r>
    </w:p>
    <w:p>
      <w:pPr>
        <w:spacing w:after="0" w:line="181" w:lineRule="exact"/>
        <w:rPr>
          <w:sz w:val="20"/>
          <w:szCs w:val="20"/>
          <w:color w:val="auto"/>
        </w:rPr>
      </w:pPr>
    </w:p>
    <w:p>
      <w:pPr>
        <w:ind w:right="40" w:firstLine="503"/>
        <w:spacing w:after="0" w:line="253" w:lineRule="auto"/>
        <w:rPr>
          <w:sz w:val="20"/>
          <w:szCs w:val="20"/>
          <w:color w:val="auto"/>
        </w:rPr>
      </w:pPr>
      <w:r>
        <w:rPr>
          <w:rFonts w:ascii="Arial" w:cs="Arial" w:eastAsia="Arial" w:hAnsi="Arial"/>
          <w:sz w:val="16"/>
          <w:szCs w:val="16"/>
          <w:color w:val="auto"/>
        </w:rPr>
        <w:t>Findings were observed in the repeat-dose rat data package that were considered not to be related to bradykinin B2 receptor antagonism. Based on review of these nonclinical findings, in 2022, the FDA put a clinical hold on trials of deucrictibant in the U.S. The FDA requested that Pharvaris conduct an additional long-term rodent toxicology study. Pharvaris aligned with the FDA on the protocol and completed a 6-month rat exploratory study to further investigate the findings and address the clinical holds.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13</w:t>
      </w: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 Program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Study Number</w:t>
            </w:r>
          </w:p>
        </w:tc>
        <w:tc>
          <w:tcPr>
            <w:tcW w:w="120" w:type="dxa"/>
            <w:vAlign w:val="bottom"/>
          </w:tcPr>
          <w:p>
            <w:pPr>
              <w:spacing w:after="0"/>
              <w:rPr>
                <w:sz w:val="16"/>
                <w:szCs w:val="16"/>
                <w:color w:val="auto"/>
              </w:rPr>
            </w:pPr>
          </w:p>
        </w:tc>
        <w:tc>
          <w:tcPr>
            <w:tcW w:w="27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Short Description</w:t>
            </w:r>
          </w:p>
        </w:tc>
        <w:tc>
          <w:tcPr>
            <w:tcW w:w="0" w:type="dxa"/>
            <w:vAlign w:val="bottom"/>
          </w:tcPr>
          <w:p>
            <w:pPr>
              <w:spacing w:after="0"/>
              <w:rPr>
                <w:sz w:val="1"/>
                <w:szCs w:val="1"/>
                <w:color w:val="auto"/>
              </w:rPr>
            </w:pPr>
          </w:p>
        </w:tc>
      </w:tr>
      <w:tr>
        <w:trPr>
          <w:trHeight w:val="168"/>
        </w:trPr>
        <w:tc>
          <w:tcPr>
            <w:tcW w:w="1380" w:type="dxa"/>
            <w:vAlign w:val="bottom"/>
          </w:tcPr>
          <w:p>
            <w:pPr>
              <w:spacing w:after="0" w:line="168" w:lineRule="exact"/>
              <w:rPr>
                <w:sz w:val="20"/>
                <w:szCs w:val="20"/>
                <w:color w:val="auto"/>
              </w:rPr>
            </w:pPr>
            <w:r>
              <w:rPr>
                <w:rFonts w:ascii="Arial" w:cs="Arial" w:eastAsia="Arial" w:hAnsi="Arial"/>
                <w:sz w:val="16"/>
                <w:szCs w:val="16"/>
                <w:b w:val="1"/>
                <w:bCs w:val="1"/>
                <w:color w:val="auto"/>
              </w:rPr>
              <w:t>Phase 1</w:t>
            </w: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C001</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Single ascending dose (SAD)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and bradykinin challenge/SAD-proof</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of mechanism (POM)</w:t>
            </w:r>
          </w:p>
        </w:tc>
        <w:tc>
          <w:tcPr>
            <w:tcW w:w="0" w:type="dxa"/>
            <w:vAlign w:val="bottom"/>
          </w:tcPr>
          <w:p>
            <w:pPr>
              <w:spacing w:after="0"/>
              <w:rPr>
                <w:sz w:val="1"/>
                <w:szCs w:val="1"/>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6"/>
                <w:szCs w:val="16"/>
                <w:color w:val="auto"/>
              </w:rPr>
              <w:t>C002</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SAD extension</w:t>
            </w:r>
          </w:p>
        </w:tc>
        <w:tc>
          <w:tcPr>
            <w:tcW w:w="0" w:type="dxa"/>
            <w:vAlign w:val="bottom"/>
          </w:tcPr>
          <w:p>
            <w:pPr>
              <w:spacing w:after="0"/>
              <w:rPr>
                <w:sz w:val="1"/>
                <w:szCs w:val="1"/>
                <w:color w:val="auto"/>
              </w:rPr>
            </w:pPr>
          </w:p>
        </w:tc>
      </w:tr>
      <w:tr>
        <w:trPr>
          <w:trHeight w:val="352"/>
        </w:trPr>
        <w:tc>
          <w:tcPr>
            <w:tcW w:w="1380" w:type="dxa"/>
            <w:vAlign w:val="bottom"/>
          </w:tcPr>
          <w:p>
            <w:pPr>
              <w:spacing w:after="0"/>
              <w:rPr>
                <w:sz w:val="20"/>
                <w:szCs w:val="20"/>
                <w:color w:val="auto"/>
              </w:rPr>
            </w:pPr>
            <w:r>
              <w:rPr>
                <w:rFonts w:ascii="Arial" w:cs="Arial" w:eastAsia="Arial" w:hAnsi="Arial"/>
                <w:sz w:val="16"/>
                <w:szCs w:val="16"/>
                <w:color w:val="auto"/>
              </w:rPr>
              <w:t>C003</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Absorption, metabolism, and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excretion (mass balance)</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C004</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Drug-drug interaction (DDI)—</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CYP3A4 inhibitor (itraconazole)</w:t>
            </w:r>
          </w:p>
        </w:tc>
        <w:tc>
          <w:tcPr>
            <w:tcW w:w="0" w:type="dxa"/>
            <w:vAlign w:val="bottom"/>
          </w:tcPr>
          <w:p>
            <w:pPr>
              <w:spacing w:after="0"/>
              <w:rPr>
                <w:sz w:val="1"/>
                <w:szCs w:val="1"/>
                <w:color w:val="auto"/>
              </w:rPr>
            </w:pPr>
          </w:p>
        </w:tc>
      </w:t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interaction</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C005</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DDI—CYP interaction (cocktail)</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C006</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Multiple ascending dose (MAD)</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C009</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Japanese PK bridging</w:t>
            </w:r>
          </w:p>
        </w:tc>
        <w:tc>
          <w:tcPr>
            <w:tcW w:w="0" w:type="dxa"/>
            <w:vAlign w:val="bottom"/>
          </w:tcPr>
          <w:p>
            <w:pPr>
              <w:spacing w:after="0"/>
              <w:rPr>
                <w:sz w:val="1"/>
                <w:szCs w:val="1"/>
                <w:color w:val="auto"/>
              </w:rPr>
            </w:pPr>
          </w:p>
        </w:tc>
      </w:tr>
      <w:tr>
        <w:trPr>
          <w:trHeight w:val="756"/>
        </w:trPr>
        <w:tc>
          <w:tcPr>
            <w:tcW w:w="1380" w:type="dxa"/>
            <w:vAlign w:val="bottom"/>
          </w:tcPr>
          <w:p>
            <w:pPr>
              <w:spacing w:after="0"/>
              <w:rPr>
                <w:sz w:val="20"/>
                <w:szCs w:val="20"/>
                <w:color w:val="auto"/>
              </w:rPr>
            </w:pPr>
            <w:r>
              <w:rPr>
                <w:rFonts w:ascii="Arial" w:cs="Arial" w:eastAsia="Arial" w:hAnsi="Arial"/>
                <w:sz w:val="16"/>
                <w:szCs w:val="16"/>
                <w:color w:val="auto"/>
              </w:rPr>
              <w:t>C010</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Exploratory XR PK bridging</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Arial" w:cs="Arial" w:eastAsia="Arial" w:hAnsi="Arial"/>
                <w:sz w:val="16"/>
                <w:szCs w:val="16"/>
                <w:color w:val="auto"/>
              </w:rPr>
              <w:t>C012</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Hepatic impairment</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C013</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Renal impairment</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C014</w:t>
            </w:r>
          </w:p>
        </w:tc>
        <w:tc>
          <w:tcPr>
            <w:tcW w:w="120" w:type="dxa"/>
            <w:vAlign w:val="bottom"/>
          </w:tcPr>
          <w:p>
            <w:pPr>
              <w:spacing w:after="0"/>
              <w:rPr>
                <w:sz w:val="24"/>
                <w:szCs w:val="24"/>
                <w:color w:val="auto"/>
              </w:rPr>
            </w:pPr>
          </w:p>
        </w:tc>
        <w:tc>
          <w:tcPr>
            <w:tcW w:w="2720" w:type="dxa"/>
            <w:vAlign w:val="bottom"/>
            <w:vMerge w:val="restart"/>
          </w:tcPr>
          <w:p>
            <w:pPr>
              <w:spacing w:after="0"/>
              <w:rPr>
                <w:sz w:val="20"/>
                <w:szCs w:val="20"/>
                <w:color w:val="auto"/>
              </w:rPr>
            </w:pPr>
            <w:r>
              <w:rPr>
                <w:rFonts w:ascii="Arial" w:cs="Arial" w:eastAsia="Arial" w:hAnsi="Arial"/>
                <w:sz w:val="16"/>
                <w:szCs w:val="16"/>
                <w:color w:val="auto"/>
              </w:rPr>
              <w:t>DDI Rabeprazole</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C015</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Confirmatory XR PK</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C016</w:t>
            </w:r>
          </w:p>
        </w:tc>
        <w:tc>
          <w:tcPr>
            <w:tcW w:w="12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DDI CYP3A4</w:t>
            </w:r>
          </w:p>
        </w:tc>
        <w:tc>
          <w:tcPr>
            <w:tcW w:w="0" w:type="dxa"/>
            <w:vAlign w:val="bottom"/>
          </w:tcPr>
          <w:p>
            <w:pPr>
              <w:spacing w:after="0"/>
              <w:rPr>
                <w:sz w:val="1"/>
                <w:szCs w:val="1"/>
                <w:color w:val="auto"/>
              </w:rPr>
            </w:pPr>
          </w:p>
        </w:tc>
      </w:tr>
      <w:tr>
        <w:trPr>
          <w:trHeight w:val="756"/>
        </w:trPr>
        <w:tc>
          <w:tcPr>
            <w:tcW w:w="1380" w:type="dxa"/>
            <w:vAlign w:val="bottom"/>
          </w:tcPr>
          <w:p>
            <w:pPr>
              <w:spacing w:after="0"/>
              <w:rPr>
                <w:sz w:val="20"/>
                <w:szCs w:val="20"/>
                <w:color w:val="auto"/>
              </w:rPr>
            </w:pPr>
            <w:r>
              <w:rPr>
                <w:rFonts w:ascii="Arial" w:cs="Arial" w:eastAsia="Arial" w:hAnsi="Arial"/>
                <w:sz w:val="16"/>
                <w:szCs w:val="16"/>
                <w:color w:val="auto"/>
              </w:rPr>
              <w:t>C017</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DDI digoxin and rosuvastatin</w:t>
            </w:r>
          </w:p>
        </w:tc>
        <w:tc>
          <w:tcPr>
            <w:tcW w:w="0" w:type="dxa"/>
            <w:vAlign w:val="bottom"/>
          </w:tcPr>
          <w:p>
            <w:pPr>
              <w:spacing w:after="0"/>
              <w:rPr>
                <w:sz w:val="1"/>
                <w:szCs w:val="1"/>
                <w:color w:val="auto"/>
              </w:rPr>
            </w:pPr>
          </w:p>
        </w:tc>
      </w:tr>
      <w:tr>
        <w:trPr>
          <w:trHeight w:val="473"/>
        </w:trPr>
        <w:tc>
          <w:tcPr>
            <w:tcW w:w="1380" w:type="dxa"/>
            <w:vAlign w:val="bottom"/>
          </w:tcPr>
          <w:p>
            <w:pPr>
              <w:spacing w:after="0"/>
              <w:rPr>
                <w:sz w:val="20"/>
                <w:szCs w:val="20"/>
                <w:color w:val="auto"/>
              </w:rPr>
            </w:pPr>
            <w:r>
              <w:rPr>
                <w:rFonts w:ascii="Arial" w:cs="Arial" w:eastAsia="Arial" w:hAnsi="Arial"/>
                <w:sz w:val="16"/>
                <w:szCs w:val="16"/>
                <w:color w:val="auto"/>
              </w:rPr>
              <w:t>C018</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XR Food Effect</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Arial" w:cs="Arial" w:eastAsia="Arial" w:hAnsi="Arial"/>
                <w:sz w:val="16"/>
                <w:szCs w:val="16"/>
                <w:color w:val="auto"/>
              </w:rPr>
              <w:t>C019</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XR multi-ethnicity study</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Arial" w:cs="Arial" w:eastAsia="Arial" w:hAnsi="Arial"/>
                <w:sz w:val="16"/>
                <w:szCs w:val="16"/>
                <w:color w:val="auto"/>
              </w:rPr>
              <w:t>C020</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Biovailability study</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C021</w:t>
            </w:r>
          </w:p>
        </w:tc>
        <w:tc>
          <w:tcPr>
            <w:tcW w:w="120" w:type="dxa"/>
            <w:vAlign w:val="bottom"/>
          </w:tcPr>
          <w:p>
            <w:pPr>
              <w:spacing w:after="0"/>
              <w:rPr>
                <w:sz w:val="24"/>
                <w:szCs w:val="24"/>
                <w:color w:val="auto"/>
              </w:rPr>
            </w:pPr>
          </w:p>
        </w:tc>
        <w:tc>
          <w:tcPr>
            <w:tcW w:w="2720" w:type="dxa"/>
            <w:vAlign w:val="bottom"/>
            <w:vMerge w:val="restart"/>
          </w:tcPr>
          <w:p>
            <w:pPr>
              <w:spacing w:after="0"/>
              <w:rPr>
                <w:sz w:val="20"/>
                <w:szCs w:val="20"/>
                <w:color w:val="auto"/>
              </w:rPr>
            </w:pPr>
            <w:r>
              <w:rPr>
                <w:rFonts w:ascii="Arial" w:cs="Arial" w:eastAsia="Arial" w:hAnsi="Arial"/>
                <w:sz w:val="16"/>
                <w:szCs w:val="16"/>
                <w:color w:val="auto"/>
              </w:rPr>
              <w:t>XR4 Food Effect</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1"/>
        </w:trPr>
        <w:tc>
          <w:tcPr>
            <w:tcW w:w="1380" w:type="dxa"/>
            <w:vAlign w:val="bottom"/>
          </w:tcPr>
          <w:p>
            <w:pPr>
              <w:spacing w:after="0"/>
              <w:rPr>
                <w:sz w:val="20"/>
                <w:szCs w:val="20"/>
                <w:color w:val="auto"/>
              </w:rPr>
            </w:pPr>
            <w:r>
              <w:rPr>
                <w:rFonts w:ascii="Arial" w:cs="Arial" w:eastAsia="Arial" w:hAnsi="Arial"/>
                <w:sz w:val="16"/>
                <w:szCs w:val="16"/>
                <w:b w:val="1"/>
                <w:bCs w:val="1"/>
                <w:color w:val="auto"/>
              </w:rPr>
              <w:t>Phase 2/3</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C201</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deucrictibant IR capsule on-demand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RAPIDe-1</w:t>
            </w: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C303</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deucrictibant IR capsule on-demand</w:t>
            </w:r>
          </w:p>
        </w:tc>
        <w:tc>
          <w:tcPr>
            <w:tcW w:w="0" w:type="dxa"/>
            <w:vAlign w:val="bottom"/>
          </w:tcPr>
          <w:p>
            <w:pPr>
              <w:spacing w:after="0"/>
              <w:rPr>
                <w:sz w:val="1"/>
                <w:szCs w:val="1"/>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6"/>
                <w:szCs w:val="16"/>
                <w:color w:val="auto"/>
              </w:rPr>
              <w:t>RAPIDe-2</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open-label extension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5229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7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Randomized, double-blind, placebo-controlled, single ascending dose to assess safety and proof-of-concept through BK-challenge</w:t>
      </w:r>
    </w:p>
    <w:p>
      <w:pPr>
        <w:spacing w:after="0" w:line="34"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Randomized, double-blind, placebo-controlled, single ascending dose to assess safety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 dose 14 C-deucrictibant to characterize the absorption,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metabolism, and excretion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Randomized, double-blind, placebo-controlled, multiple ascending doses to assess safety and different doses</w:t>
      </w:r>
    </w:p>
    <w:p>
      <w:pPr>
        <w:spacing w:after="0" w:line="3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Double-blind, randomized, single oral dose, two-period crossover comparing pharmacokinetics between Japanese and Caucasian volunteers</w:t>
      </w:r>
    </w:p>
    <w:p>
      <w:pPr>
        <w:spacing w:after="0" w:line="22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Open-label, randomized five-period crossover single-dose to assess bioavailability of two different extended-release formulations with and without food</w:t>
      </w:r>
    </w:p>
    <w:p>
      <w:pPr>
        <w:spacing w:after="0" w:line="1" w:lineRule="exact"/>
        <w:rPr>
          <w:sz w:val="20"/>
          <w:szCs w:val="20"/>
          <w:color w:val="auto"/>
        </w:rPr>
      </w:pPr>
    </w:p>
    <w:p>
      <w:pPr>
        <w:ind w:right="560"/>
        <w:spacing w:after="0" w:line="246" w:lineRule="auto"/>
        <w:rPr>
          <w:sz w:val="20"/>
          <w:szCs w:val="20"/>
          <w:color w:val="auto"/>
        </w:rPr>
      </w:pPr>
      <w:r>
        <w:rPr>
          <w:rFonts w:ascii="Arial" w:cs="Arial" w:eastAsia="Arial" w:hAnsi="Arial"/>
          <w:sz w:val="16"/>
          <w:szCs w:val="16"/>
          <w:color w:val="auto"/>
        </w:rPr>
        <w:t>Open-label, single dose to assess the effect of hepatic impairment on pharmacokinetics</w:t>
      </w:r>
    </w:p>
    <w:p>
      <w:pPr>
        <w:spacing w:after="0" w:line="1" w:lineRule="exact"/>
        <w:rPr>
          <w:sz w:val="20"/>
          <w:szCs w:val="20"/>
          <w:color w:val="auto"/>
        </w:rPr>
      </w:pPr>
    </w:p>
    <w:p>
      <w:pPr>
        <w:ind w:right="720"/>
        <w:spacing w:after="0" w:line="246" w:lineRule="auto"/>
        <w:rPr>
          <w:sz w:val="20"/>
          <w:szCs w:val="20"/>
          <w:color w:val="auto"/>
        </w:rPr>
      </w:pPr>
      <w:r>
        <w:rPr>
          <w:rFonts w:ascii="Arial" w:cs="Arial" w:eastAsia="Arial" w:hAnsi="Arial"/>
          <w:sz w:val="16"/>
          <w:szCs w:val="16"/>
          <w:color w:val="auto"/>
        </w:rPr>
        <w:t>Open-label, single dose to assess the effect of renal impairment on pharmacokinetics</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Open-label, drug interaction study to investigate the effect of multiple doses of the gastric acid-reducing agent rabeprazole on the single dose pharmacokinetics of extended-release tablet.</w:t>
      </w:r>
    </w:p>
    <w:p>
      <w:pPr>
        <w:spacing w:after="0" w:line="1" w:lineRule="exact"/>
        <w:rPr>
          <w:sz w:val="20"/>
          <w:szCs w:val="20"/>
          <w:color w:val="auto"/>
        </w:rPr>
      </w:pPr>
    </w:p>
    <w:p>
      <w:pPr>
        <w:ind w:right="340"/>
        <w:spacing w:after="0" w:line="246" w:lineRule="auto"/>
        <w:rPr>
          <w:sz w:val="20"/>
          <w:szCs w:val="20"/>
          <w:color w:val="auto"/>
        </w:rPr>
      </w:pPr>
      <w:r>
        <w:rPr>
          <w:rFonts w:ascii="Arial" w:cs="Arial" w:eastAsia="Arial" w:hAnsi="Arial"/>
          <w:sz w:val="16"/>
          <w:szCs w:val="16"/>
          <w:color w:val="auto"/>
        </w:rPr>
        <w:t>Open-label, multiple doses to assess PK and safety of extended-release formulation</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Open-label, single-sequence, drug-drug interaction study to evaluate the effect of multiple oral doses of the moderate CYP3A4 inhibitor verapamil on the single dose PK deucrictibant</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Open-label, drug interaction study to investigate the effect of the extended-release tablet administered once daily on the</w:t>
      </w:r>
    </w:p>
    <w:p>
      <w:pPr>
        <w:spacing w:after="0" w:line="1" w:lineRule="exact"/>
        <w:rPr>
          <w:sz w:val="20"/>
          <w:szCs w:val="20"/>
          <w:color w:val="auto"/>
        </w:rPr>
      </w:pPr>
    </w:p>
    <w:p>
      <w:pPr>
        <w:ind w:right="1080"/>
        <w:spacing w:after="0" w:line="246" w:lineRule="auto"/>
        <w:rPr>
          <w:sz w:val="20"/>
          <w:szCs w:val="20"/>
          <w:color w:val="auto"/>
        </w:rPr>
      </w:pPr>
      <w:r>
        <w:rPr>
          <w:rFonts w:ascii="Arial" w:cs="Arial" w:eastAsia="Arial" w:hAnsi="Arial"/>
          <w:sz w:val="16"/>
          <w:szCs w:val="16"/>
          <w:color w:val="auto"/>
        </w:rPr>
        <w:t>pharmacokinetics of the P-gp substrate digoxin and the BCRP substrate rosuvastatin, administered as a drug cocktail Open-label, randomized, two-period, two-way</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cross-over study to assess the influence of a high-calorie, high-fat meal on the bioavailability of extended-release formulation</w:t>
      </w:r>
    </w:p>
    <w:p>
      <w:pPr>
        <w:spacing w:after="0" w:line="5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Open-label, multiple dose study to compare PK of extended-release formulation between healthy Japanese, Chinese, and Caucasian volunteers</w:t>
      </w:r>
    </w:p>
    <w:p>
      <w:pPr>
        <w:spacing w:after="0" w:line="34"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333333"/>
        </w:rPr>
        <w:t>Open label, randomized, two-period, cross-over single-dose study under fasting condition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333333"/>
        </w:rPr>
        <w:t>Open-Label, randomized, two-period, cross-over single-dose study in healthy subjects to assess the influence of a high-calorie, high-fat meal on the bioavailability of a 40 mg extended-release (XR) formulation</w:t>
      </w:r>
    </w:p>
    <w:p>
      <w:pPr>
        <w:spacing w:after="0" w:line="340" w:lineRule="exact"/>
        <w:rPr>
          <w:sz w:val="20"/>
          <w:szCs w:val="20"/>
          <w:color w:val="auto"/>
        </w:rPr>
      </w:pPr>
    </w:p>
    <w:p>
      <w:pPr>
        <w:ind w:right="1560"/>
        <w:spacing w:after="0" w:line="256" w:lineRule="auto"/>
        <w:rPr>
          <w:sz w:val="20"/>
          <w:szCs w:val="20"/>
          <w:color w:val="auto"/>
        </w:rPr>
      </w:pPr>
      <w:r>
        <w:rPr>
          <w:rFonts w:ascii="Arial" w:cs="Arial" w:eastAsia="Arial" w:hAnsi="Arial"/>
          <w:sz w:val="16"/>
          <w:szCs w:val="16"/>
          <w:color w:val="auto"/>
        </w:rPr>
        <w:t>Phase 2, randomized, double blind, placebo-controlled, dose ranging study to assess safety and efficacy</w:t>
      </w:r>
    </w:p>
    <w:p>
      <w:pPr>
        <w:spacing w:after="0" w:line="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Phase 2/3, Extension Study to evaluate the safety of long-term on-demand treatment with deucrictibant for acute HAE attacks</w:t>
      </w:r>
    </w:p>
    <w:p>
      <w:pPr>
        <w:spacing w:after="0" w:line="200" w:lineRule="exact"/>
        <w:rPr>
          <w:sz w:val="20"/>
          <w:szCs w:val="20"/>
          <w:color w:val="auto"/>
        </w:rPr>
      </w:pPr>
    </w:p>
    <w:p>
      <w:pPr>
        <w:spacing w:after="0" w:line="21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479425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0" w:lineRule="exact"/>
        <w:rPr>
          <w:sz w:val="20"/>
          <w:szCs w:val="20"/>
          <w:color w:val="auto"/>
        </w:rPr>
      </w:pPr>
    </w:p>
    <w:p>
      <w:pPr>
        <w:spacing w:after="0" w:line="323"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6350</wp:posOffset>
            </wp:positionV>
            <wp:extent cx="788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83" w:lineRule="exact"/>
        <w:rPr>
          <w:sz w:val="20"/>
          <w:szCs w:val="20"/>
          <w:color w:val="auto"/>
        </w:rPr>
      </w:pPr>
    </w:p>
    <w:p>
      <w:pPr>
        <w:ind w:right="240"/>
        <w:spacing w:after="0" w:line="533" w:lineRule="auto"/>
        <w:rPr>
          <w:sz w:val="20"/>
          <w:szCs w:val="20"/>
          <w:color w:val="auto"/>
        </w:rPr>
      </w:pPr>
      <w:r>
        <w:rPr>
          <w:rFonts w:ascii="Arial" w:cs="Arial" w:eastAsia="Arial" w:hAnsi="Arial"/>
          <w:sz w:val="16"/>
          <w:szCs w:val="16"/>
          <w:color w:val="auto"/>
        </w:rPr>
        <w:t>Completed Completed</w:t>
      </w:r>
    </w:p>
    <w:p>
      <w:pPr>
        <w:spacing w:after="0" w:line="12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Ongoing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200" w:lineRule="exact"/>
        <w:rPr>
          <w:sz w:val="20"/>
          <w:szCs w:val="20"/>
          <w:color w:val="auto"/>
        </w:rPr>
      </w:pPr>
    </w:p>
    <w:p>
      <w:pPr>
        <w:spacing w:after="0" w:line="37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ectPr>
          <w:pgSz w:w="11900" w:h="16838" w:orient="portrait"/>
          <w:cols w:equalWidth="0" w:num="3">
            <w:col w:w="4220" w:space="120"/>
            <w:col w:w="5520" w:space="360"/>
            <w:col w:w="1020"/>
          </w:cols>
          <w:pgMar w:left="320" w:top="77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14</w:t>
      </w: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C301</w:t>
            </w:r>
          </w:p>
        </w:tc>
        <w:tc>
          <w:tcPr>
            <w:tcW w:w="2960" w:type="dxa"/>
            <w:vAlign w:val="bottom"/>
          </w:tcPr>
          <w:p>
            <w:pPr>
              <w:ind w:left="300"/>
              <w:spacing w:after="0"/>
              <w:rPr>
                <w:sz w:val="20"/>
                <w:szCs w:val="20"/>
                <w:color w:val="auto"/>
              </w:rPr>
            </w:pPr>
            <w:r>
              <w:rPr>
                <w:rFonts w:ascii="Arial" w:cs="Arial" w:eastAsia="Arial" w:hAnsi="Arial"/>
                <w:sz w:val="16"/>
                <w:szCs w:val="16"/>
                <w:color w:val="auto"/>
              </w:rPr>
              <w:t>proof-of-concept deucrictibant</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20"/>
                <w:szCs w:val="20"/>
                <w:color w:val="auto"/>
              </w:rPr>
            </w:pPr>
            <w:r>
              <w:rPr>
                <w:rFonts w:ascii="Arial" w:cs="Arial" w:eastAsia="Arial" w:hAnsi="Arial"/>
                <w:sz w:val="16"/>
                <w:szCs w:val="16"/>
                <w:color w:val="auto"/>
              </w:rPr>
              <w:t>CHAPTER-1</w:t>
            </w:r>
          </w:p>
        </w:tc>
        <w:tc>
          <w:tcPr>
            <w:tcW w:w="2960" w:type="dxa"/>
            <w:vAlign w:val="bottom"/>
          </w:tcPr>
          <w:p>
            <w:pPr>
              <w:ind w:left="300"/>
              <w:spacing w:after="0"/>
              <w:rPr>
                <w:sz w:val="20"/>
                <w:szCs w:val="20"/>
                <w:color w:val="auto"/>
              </w:rPr>
            </w:pPr>
            <w:r>
              <w:rPr>
                <w:rFonts w:ascii="Arial" w:cs="Arial" w:eastAsia="Arial" w:hAnsi="Arial"/>
                <w:sz w:val="16"/>
                <w:szCs w:val="16"/>
                <w:color w:val="auto"/>
                <w:w w:val="99"/>
              </w:rPr>
              <w:t>prophylaxis and open-label extension</w:t>
            </w:r>
          </w:p>
        </w:tc>
        <w:tc>
          <w:tcPr>
            <w:tcW w:w="0" w:type="dxa"/>
            <w:vAlign w:val="bottom"/>
          </w:tcPr>
          <w:p>
            <w:pPr>
              <w:spacing w:after="0"/>
              <w:rPr>
                <w:sz w:val="1"/>
                <w:szCs w:val="1"/>
                <w:color w:val="auto"/>
              </w:rPr>
            </w:pPr>
          </w:p>
        </w:tc>
      </w:tr>
      <w:tr>
        <w:trPr>
          <w:trHeight w:val="541"/>
        </w:trPr>
        <w:tc>
          <w:tcPr>
            <w:tcW w:w="1200" w:type="dxa"/>
            <w:vAlign w:val="bottom"/>
          </w:tcPr>
          <w:p>
            <w:pPr>
              <w:spacing w:after="0"/>
              <w:rPr>
                <w:sz w:val="20"/>
                <w:szCs w:val="20"/>
                <w:color w:val="auto"/>
              </w:rPr>
            </w:pPr>
            <w:r>
              <w:rPr>
                <w:rFonts w:ascii="Arial" w:cs="Arial" w:eastAsia="Arial" w:hAnsi="Arial"/>
                <w:sz w:val="16"/>
                <w:szCs w:val="16"/>
                <w:color w:val="auto"/>
              </w:rPr>
              <w:t>C306</w:t>
            </w:r>
          </w:p>
        </w:tc>
        <w:tc>
          <w:tcPr>
            <w:tcW w:w="2960" w:type="dxa"/>
            <w:vAlign w:val="bottom"/>
            <w:vMerge w:val="restart"/>
          </w:tcPr>
          <w:p>
            <w:pPr>
              <w:ind w:left="300"/>
              <w:spacing w:after="0"/>
              <w:rPr>
                <w:sz w:val="20"/>
                <w:szCs w:val="20"/>
                <w:color w:val="auto"/>
              </w:rPr>
            </w:pPr>
            <w:r>
              <w:rPr>
                <w:rFonts w:ascii="Arial" w:cs="Arial" w:eastAsia="Arial" w:hAnsi="Arial"/>
                <w:sz w:val="16"/>
                <w:szCs w:val="16"/>
                <w:color w:val="auto"/>
              </w:rPr>
              <w:t>deucrictibant IR capsule on demand</w:t>
            </w:r>
          </w:p>
        </w:tc>
        <w:tc>
          <w:tcPr>
            <w:tcW w:w="0" w:type="dxa"/>
            <w:vAlign w:val="bottom"/>
          </w:tcPr>
          <w:p>
            <w:pPr>
              <w:spacing w:after="0"/>
              <w:rPr>
                <w:sz w:val="1"/>
                <w:szCs w:val="1"/>
                <w:color w:val="auto"/>
              </w:rPr>
            </w:pPr>
          </w:p>
        </w:tc>
      </w:tr>
      <w:tr>
        <w:trPr>
          <w:trHeight w:val="120"/>
        </w:trPr>
        <w:tc>
          <w:tcPr>
            <w:tcW w:w="1200" w:type="dxa"/>
            <w:vAlign w:val="bottom"/>
            <w:vMerge w:val="restart"/>
          </w:tcPr>
          <w:p>
            <w:pPr>
              <w:spacing w:after="0"/>
              <w:rPr>
                <w:sz w:val="20"/>
                <w:szCs w:val="20"/>
                <w:color w:val="auto"/>
              </w:rPr>
            </w:pPr>
            <w:r>
              <w:rPr>
                <w:rFonts w:ascii="Arial" w:cs="Arial" w:eastAsia="Arial" w:hAnsi="Arial"/>
                <w:sz w:val="16"/>
                <w:szCs w:val="16"/>
                <w:color w:val="auto"/>
              </w:rPr>
              <w:t>RAPIDe-3</w:t>
            </w: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two-part Phase 2, randomized, double blind, placebo-controlled dose</w:t>
      </w:r>
    </w:p>
    <w:p>
      <w:pPr>
        <w:spacing w:after="0" w:line="21" w:lineRule="exact"/>
        <w:rPr>
          <w:sz w:val="20"/>
          <w:szCs w:val="20"/>
          <w:color w:val="auto"/>
        </w:rPr>
      </w:pPr>
    </w:p>
    <w:p>
      <w:pPr>
        <w:spacing w:after="0"/>
        <w:tabs>
          <w:tab w:leader="none" w:pos="5940" w:val="left"/>
        </w:tabs>
        <w:rPr>
          <w:sz w:val="20"/>
          <w:szCs w:val="20"/>
          <w:color w:val="auto"/>
        </w:rPr>
      </w:pPr>
      <w:r>
        <w:rPr>
          <w:rFonts w:ascii="Arial" w:cs="Arial" w:eastAsia="Arial" w:hAnsi="Arial"/>
          <w:sz w:val="16"/>
          <w:szCs w:val="16"/>
          <w:color w:val="auto"/>
        </w:rPr>
        <w:t>ranging study to Part 1: assess safety and efficacy of prophylactic treatment</w:t>
      </w:r>
      <w:r>
        <w:rPr>
          <w:sz w:val="20"/>
          <w:szCs w:val="20"/>
          <w:color w:val="auto"/>
        </w:rPr>
        <w:tab/>
      </w:r>
      <w:r>
        <w:rPr>
          <w:rFonts w:ascii="Arial" w:cs="Arial" w:eastAsia="Arial" w:hAnsi="Arial"/>
          <w:sz w:val="16"/>
          <w:szCs w:val="16"/>
          <w:color w:val="auto"/>
        </w:rPr>
        <w:t>Ongoing</w:t>
      </w:r>
    </w:p>
    <w:p>
      <w:pPr>
        <w:spacing w:after="0" w:line="5" w:lineRule="exact"/>
        <w:rPr>
          <w:sz w:val="20"/>
          <w:szCs w:val="20"/>
          <w:color w:val="auto"/>
        </w:rPr>
      </w:pPr>
    </w:p>
    <w:p>
      <w:pPr>
        <w:ind w:right="1800"/>
        <w:spacing w:after="0" w:line="246" w:lineRule="auto"/>
        <w:rPr>
          <w:sz w:val="20"/>
          <w:szCs w:val="20"/>
          <w:color w:val="auto"/>
        </w:rPr>
      </w:pPr>
      <w:r>
        <w:rPr>
          <w:rFonts w:ascii="Arial" w:cs="Arial" w:eastAsia="Arial" w:hAnsi="Arial"/>
          <w:sz w:val="16"/>
          <w:szCs w:val="16"/>
          <w:color w:val="auto"/>
        </w:rPr>
        <w:t>with deucrictibant and Part 2: evaluate long-term safety and efficacy for prophylactic treatment with deucrictibant</w:t>
      </w:r>
    </w:p>
    <w:p>
      <w:pPr>
        <w:spacing w:after="0" w:line="1" w:lineRule="exact"/>
        <w:rPr>
          <w:sz w:val="20"/>
          <w:szCs w:val="20"/>
          <w:color w:val="auto"/>
        </w:rPr>
      </w:pPr>
    </w:p>
    <w:p>
      <w:pPr>
        <w:spacing w:after="0"/>
        <w:tabs>
          <w:tab w:leader="none" w:pos="5940" w:val="left"/>
        </w:tabs>
        <w:rPr>
          <w:sz w:val="20"/>
          <w:szCs w:val="20"/>
          <w:color w:val="auto"/>
        </w:rPr>
      </w:pPr>
      <w:r>
        <w:rPr>
          <w:rFonts w:ascii="Arial" w:cs="Arial" w:eastAsia="Arial" w:hAnsi="Arial"/>
          <w:sz w:val="16"/>
          <w:szCs w:val="16"/>
          <w:color w:val="auto"/>
        </w:rPr>
        <w:t>A Phase 3, Randomized, Double-blind, Placebo-controlled, Cross-over Study</w:t>
      </w:r>
      <w:r>
        <w:rPr>
          <w:sz w:val="20"/>
          <w:szCs w:val="20"/>
          <w:color w:val="auto"/>
        </w:rPr>
        <w:tab/>
      </w:r>
      <w:r>
        <w:rPr>
          <w:rFonts w:ascii="Arial" w:cs="Arial" w:eastAsia="Arial" w:hAnsi="Arial"/>
          <w:sz w:val="16"/>
          <w:szCs w:val="16"/>
          <w:color w:val="auto"/>
        </w:rPr>
        <w:t>Ongoing</w:t>
      </w:r>
    </w:p>
    <w:p>
      <w:pPr>
        <w:spacing w:after="0" w:line="5" w:lineRule="exact"/>
        <w:rPr>
          <w:sz w:val="20"/>
          <w:szCs w:val="20"/>
          <w:color w:val="auto"/>
        </w:rPr>
      </w:pPr>
    </w:p>
    <w:p>
      <w:pPr>
        <w:ind w:right="1580"/>
        <w:spacing w:after="0" w:line="265" w:lineRule="auto"/>
        <w:rPr>
          <w:sz w:val="20"/>
          <w:szCs w:val="20"/>
          <w:color w:val="auto"/>
        </w:rPr>
      </w:pPr>
      <w:r>
        <w:rPr>
          <w:rFonts w:ascii="Arial" w:cs="Arial" w:eastAsia="Arial" w:hAnsi="Arial"/>
          <w:sz w:val="16"/>
          <w:szCs w:val="16"/>
          <w:color w:val="auto"/>
        </w:rPr>
        <w:t>of Oral Deucrictibant Soft Capsule for On-Demand Treatment of Attacks in Adolescents and Adults with Hereditary Angioedema</w:t>
      </w:r>
    </w:p>
    <w:p>
      <w:pPr>
        <w:spacing w:after="0" w:line="145" w:lineRule="exact"/>
        <w:rPr>
          <w:sz w:val="20"/>
          <w:szCs w:val="20"/>
          <w:color w:val="auto"/>
        </w:rPr>
      </w:pPr>
    </w:p>
    <w:p>
      <w:pPr>
        <w:sectPr>
          <w:pgSz w:w="11900" w:h="16838" w:orient="portrait"/>
          <w:cols w:equalWidth="0" w:num="2">
            <w:col w:w="4160" w:space="180"/>
            <w:col w:w="6900"/>
          </w:cols>
          <w:pgMar w:left="320" w:top="773" w:right="339" w:bottom="1440" w:gutter="0" w:footer="0" w:header="0"/>
        </w:sectPr>
      </w:pPr>
    </w:p>
    <w:p>
      <w:pPr>
        <w:spacing w:after="0"/>
        <w:tabs>
          <w:tab w:leader="none" w:pos="1480" w:val="left"/>
          <w:tab w:leader="none" w:pos="4320" w:val="left"/>
          <w:tab w:leader="none" w:pos="10280" w:val="left"/>
        </w:tabs>
        <w:rPr>
          <w:sz w:val="20"/>
          <w:szCs w:val="20"/>
          <w:color w:val="auto"/>
        </w:rPr>
      </w:pPr>
      <w:r>
        <w:rPr>
          <w:rFonts w:ascii="Arial" w:cs="Arial" w:eastAsia="Arial" w:hAnsi="Arial"/>
          <w:sz w:val="16"/>
          <w:szCs w:val="16"/>
          <w:color w:val="auto"/>
        </w:rPr>
        <w:t>C305 CHAPTER-3</w:t>
        <w:tab/>
        <w:t>deucrictibant XR tablet prophylaxis</w:t>
      </w:r>
      <w:r>
        <w:rPr>
          <w:sz w:val="20"/>
          <w:szCs w:val="20"/>
          <w:color w:val="auto"/>
        </w:rPr>
        <w:tab/>
      </w:r>
      <w:r>
        <w:rPr>
          <w:rFonts w:ascii="Arial" w:cs="Arial" w:eastAsia="Arial" w:hAnsi="Arial"/>
          <w:sz w:val="16"/>
          <w:szCs w:val="16"/>
          <w:color w:val="auto"/>
        </w:rPr>
        <w:t>A Phase 3, Randomized, Double-blind, Placebo-controlled Study of Orally</w:t>
      </w:r>
      <w:r>
        <w:rPr>
          <w:sz w:val="20"/>
          <w:szCs w:val="20"/>
          <w:color w:val="auto"/>
        </w:rPr>
        <w:tab/>
      </w:r>
      <w:r>
        <w:rPr>
          <w:rFonts w:ascii="Arial" w:cs="Arial" w:eastAsia="Arial" w:hAnsi="Arial"/>
          <w:sz w:val="16"/>
          <w:szCs w:val="16"/>
          <w:color w:val="auto"/>
        </w:rPr>
        <w:t>Ongoing</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Administered Deucrictibant Extended-Release Tablet for Prophylaxis to</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Prevent Angioedema Attacks in Adolescents and Adults with Hereditary</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Angioedema</w:t>
      </w:r>
    </w:p>
    <w:p>
      <w:pPr>
        <w:spacing w:after="0" w:line="5" w:lineRule="exact"/>
        <w:rPr>
          <w:sz w:val="20"/>
          <w:szCs w:val="20"/>
          <w:color w:val="auto"/>
        </w:rPr>
      </w:pPr>
    </w:p>
    <w:p>
      <w:pPr>
        <w:spacing w:after="0"/>
        <w:tabs>
          <w:tab w:leader="none" w:pos="1480" w:val="left"/>
          <w:tab w:leader="none" w:pos="4320" w:val="left"/>
          <w:tab w:leader="none" w:pos="10280" w:val="left"/>
        </w:tabs>
        <w:rPr>
          <w:sz w:val="20"/>
          <w:szCs w:val="20"/>
          <w:color w:val="auto"/>
        </w:rPr>
      </w:pPr>
      <w:r>
        <w:rPr>
          <w:rFonts w:ascii="Arial" w:cs="Arial" w:eastAsia="Arial" w:hAnsi="Arial"/>
          <w:sz w:val="16"/>
          <w:szCs w:val="16"/>
          <w:color w:val="auto"/>
        </w:rPr>
        <w:t>C307 CHAPTER-4</w:t>
        <w:tab/>
        <w:t>deucrictibant XR tablet prophylaxis</w:t>
      </w:r>
      <w:r>
        <w:rPr>
          <w:sz w:val="20"/>
          <w:szCs w:val="20"/>
          <w:color w:val="auto"/>
        </w:rPr>
        <w:tab/>
      </w:r>
      <w:r>
        <w:rPr>
          <w:rFonts w:ascii="Arial" w:cs="Arial" w:eastAsia="Arial" w:hAnsi="Arial"/>
          <w:sz w:val="16"/>
          <w:szCs w:val="16"/>
          <w:color w:val="auto"/>
        </w:rPr>
        <w:t>A Phase 3, Long-term, Open-label Study of Orally Administered</w:t>
      </w:r>
      <w:r>
        <w:rPr>
          <w:sz w:val="20"/>
          <w:szCs w:val="20"/>
          <w:color w:val="auto"/>
        </w:rPr>
        <w:tab/>
      </w:r>
      <w:r>
        <w:rPr>
          <w:rFonts w:ascii="Arial" w:cs="Arial" w:eastAsia="Arial" w:hAnsi="Arial"/>
          <w:sz w:val="16"/>
          <w:szCs w:val="16"/>
          <w:color w:val="auto"/>
        </w:rPr>
        <w:t>Ongoing</w:t>
      </w:r>
    </w:p>
    <w:p>
      <w:pPr>
        <w:spacing w:after="0" w:line="5" w:lineRule="exact"/>
        <w:rPr>
          <w:sz w:val="20"/>
          <w:szCs w:val="20"/>
          <w:color w:val="auto"/>
        </w:rPr>
      </w:pPr>
    </w:p>
    <w:p>
      <w:pPr>
        <w:ind w:left="1500"/>
        <w:spacing w:after="0"/>
        <w:tabs>
          <w:tab w:leader="none" w:pos="4320" w:val="left"/>
        </w:tabs>
        <w:rPr>
          <w:sz w:val="20"/>
          <w:szCs w:val="20"/>
          <w:color w:val="auto"/>
        </w:rPr>
      </w:pPr>
      <w:r>
        <w:rPr>
          <w:rFonts w:ascii="Arial" w:cs="Arial" w:eastAsia="Arial" w:hAnsi="Arial"/>
          <w:sz w:val="16"/>
          <w:szCs w:val="16"/>
          <w:color w:val="auto"/>
        </w:rPr>
        <w:t>open-label extension</w:t>
      </w:r>
      <w:r>
        <w:rPr>
          <w:sz w:val="20"/>
          <w:szCs w:val="20"/>
          <w:color w:val="auto"/>
        </w:rPr>
        <w:tab/>
      </w:r>
      <w:r>
        <w:rPr>
          <w:rFonts w:ascii="Arial" w:cs="Arial" w:eastAsia="Arial" w:hAnsi="Arial"/>
          <w:sz w:val="16"/>
          <w:szCs w:val="16"/>
          <w:color w:val="auto"/>
        </w:rPr>
        <w:t>Deucrictibant Extended-release Tablet for Prophylaxis to Prevent</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Angioedema Attacks in Adolescents and Adults with Hereditary Angioedema</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PHA121-C001 (SAD and</w:t>
      </w:r>
      <w:r>
        <w:rPr>
          <w:rFonts w:ascii="Arial" w:cs="Arial" w:eastAsia="Arial" w:hAnsi="Arial"/>
          <w:sz w:val="16"/>
          <w:szCs w:val="16"/>
          <w:color w:val="auto"/>
        </w:rPr>
        <w:t xml:space="preserve"> bradykinin </w:t>
      </w:r>
      <w:r>
        <w:rPr>
          <w:rFonts w:ascii="Arial" w:cs="Arial" w:eastAsia="Arial" w:hAnsi="Arial"/>
          <w:sz w:val="16"/>
          <w:szCs w:val="16"/>
          <w:u w:val="single" w:color="auto"/>
          <w:color w:val="auto"/>
        </w:rPr>
        <w:t>challenge / SAD-POM)</w:t>
      </w:r>
    </w:p>
    <w:p>
      <w:pPr>
        <w:spacing w:after="0" w:line="113"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Deucrictibant-C001 was a randomized, double-blind, placebo-controlled, single ascending dose and proof-of-concept study to examine the safety, tolerability, PK and PD of orally administered deucrictibant in healthy subjects. A total of 52 subjects received single ascending oral doses of deucrictibant up to 22 mg. The 16 remaining subjects received placebo. No adverse event, or AE, was reported as serious, no premature withdrawals due to AEs occurred and no severe AEs were reported. In addition, no clinically relevant fluctuations of blood pressure linked to deucrictibant groups occurred. The overall incidence of AEs was similar between the placebo and deucrictibant. Treatment-related AEs were reported for three subjects who received deucrictibant (12 or 22 mg), all within the gastrointestinal system and of mild severity: upper abdominal pain, vomiting, and nausea. There were no apparent trends or dose-related changes in hematology, clinical chemistry, vital signs, or ECG.</w:t>
      </w:r>
    </w:p>
    <w:p>
      <w:pPr>
        <w:spacing w:after="0" w:line="39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Pharmacokinetics Analysis</w:t>
      </w:r>
    </w:p>
    <w:p>
      <w:pPr>
        <w:spacing w:after="0" w:line="111" w:lineRule="exact"/>
        <w:rPr>
          <w:sz w:val="20"/>
          <w:szCs w:val="20"/>
          <w:color w:val="auto"/>
        </w:rPr>
      </w:pPr>
    </w:p>
    <w:p>
      <w:pPr>
        <w:ind w:right="200" w:firstLine="458"/>
        <w:spacing w:after="0" w:line="275" w:lineRule="auto"/>
        <w:rPr>
          <w:sz w:val="20"/>
          <w:szCs w:val="20"/>
          <w:color w:val="auto"/>
        </w:rPr>
      </w:pPr>
      <w:r>
        <w:rPr>
          <w:rFonts w:ascii="Arial" w:cs="Arial" w:eastAsia="Arial" w:hAnsi="Arial"/>
          <w:sz w:val="16"/>
          <w:szCs w:val="16"/>
          <w:color w:val="auto"/>
        </w:rPr>
        <w:t>Dose proportional PK was observed after single oral administration under fasting condition of deucrictibant in the dose range of 1 mg to 22 mg for Cmax, AUClast and AUCinf. Median tmax in the dose range of 1 mg to 22 mg was between 0.50 hour and 1.00 hour, with comparable ranges of individual values (ranging between 0.25 hour and 1.02 hours). Less than 1% of the dose was excreted unchanged in urine within 72 hours after administration.</w:t>
      </w:r>
    </w:p>
    <w:p>
      <w:pPr>
        <w:spacing w:after="0" w:line="390" w:lineRule="exact"/>
        <w:rPr>
          <w:sz w:val="20"/>
          <w:szCs w:val="20"/>
          <w:color w:val="auto"/>
        </w:rPr>
      </w:pPr>
    </w:p>
    <w:tbl>
      <w:tblPr>
        <w:tblLayout w:type="fixed"/>
        <w:tblInd w:w="860" w:type="dxa"/>
        <w:tblCellMar>
          <w:top w:w="0" w:type="dxa"/>
          <w:left w:w="0" w:type="dxa"/>
          <w:bottom w:w="0" w:type="dxa"/>
          <w:right w:w="0" w:type="dxa"/>
        </w:tblCellMar>
      </w:tblPr>
      <w:tr>
        <w:trPr>
          <w:trHeight w:val="153"/>
        </w:trPr>
        <w:tc>
          <w:tcPr>
            <w:tcW w:w="3260" w:type="dxa"/>
            <w:vAlign w:val="bottom"/>
            <w:gridSpan w:val="2"/>
          </w:tcPr>
          <w:p>
            <w:pPr>
              <w:spacing w:after="0"/>
              <w:rPr>
                <w:sz w:val="20"/>
                <w:szCs w:val="20"/>
                <w:color w:val="auto"/>
              </w:rPr>
            </w:pPr>
            <w:r>
              <w:rPr>
                <w:rFonts w:ascii="Arial" w:cs="Arial" w:eastAsia="Arial" w:hAnsi="Arial"/>
                <w:sz w:val="13"/>
                <w:szCs w:val="13"/>
                <w:b w:val="1"/>
                <w:bCs w:val="1"/>
                <w:color w:val="auto"/>
              </w:rPr>
              <w:t>Dose (mg)</w:t>
            </w:r>
          </w:p>
        </w:tc>
        <w:tc>
          <w:tcPr>
            <w:tcW w:w="120" w:type="dxa"/>
            <w:vAlign w:val="bottom"/>
          </w:tcPr>
          <w:p>
            <w:pPr>
              <w:spacing w:after="0"/>
              <w:rPr>
                <w:sz w:val="13"/>
                <w:szCs w:val="13"/>
                <w:color w:val="auto"/>
              </w:rPr>
            </w:pPr>
          </w:p>
        </w:tc>
        <w:tc>
          <w:tcPr>
            <w:tcW w:w="1040" w:type="dxa"/>
            <w:vAlign w:val="bottom"/>
          </w:tcPr>
          <w:p>
            <w:pPr>
              <w:jc w:val="right"/>
              <w:ind w:right="28"/>
              <w:spacing w:after="0"/>
              <w:rPr>
                <w:sz w:val="20"/>
                <w:szCs w:val="20"/>
                <w:color w:val="auto"/>
              </w:rPr>
            </w:pPr>
            <w:r>
              <w:rPr>
                <w:rFonts w:ascii="Arial" w:cs="Arial" w:eastAsia="Arial" w:hAnsi="Arial"/>
                <w:sz w:val="13"/>
                <w:szCs w:val="13"/>
                <w:b w:val="1"/>
                <w:bCs w:val="1"/>
                <w:color w:val="auto"/>
              </w:rPr>
              <w:t>Cmax (ng/mL)</w:t>
            </w:r>
          </w:p>
        </w:tc>
        <w:tc>
          <w:tcPr>
            <w:tcW w:w="240" w:type="dxa"/>
            <w:vAlign w:val="bottom"/>
          </w:tcPr>
          <w:p>
            <w:pPr>
              <w:spacing w:after="0"/>
              <w:rPr>
                <w:sz w:val="13"/>
                <w:szCs w:val="13"/>
                <w:color w:val="auto"/>
              </w:rPr>
            </w:pPr>
          </w:p>
        </w:tc>
        <w:tc>
          <w:tcPr>
            <w:tcW w:w="1140" w:type="dxa"/>
            <w:vAlign w:val="bottom"/>
          </w:tcPr>
          <w:p>
            <w:pPr>
              <w:jc w:val="right"/>
              <w:ind w:right="48"/>
              <w:spacing w:after="0"/>
              <w:rPr>
                <w:sz w:val="20"/>
                <w:szCs w:val="20"/>
                <w:color w:val="auto"/>
              </w:rPr>
            </w:pPr>
            <w:r>
              <w:rPr>
                <w:rFonts w:ascii="Arial" w:cs="Arial" w:eastAsia="Arial" w:hAnsi="Arial"/>
                <w:sz w:val="13"/>
                <w:szCs w:val="13"/>
                <w:b w:val="1"/>
                <w:bCs w:val="1"/>
                <w:color w:val="auto"/>
              </w:rPr>
              <w:t>C0.25h (ng/mL)</w:t>
            </w:r>
          </w:p>
        </w:tc>
        <w:tc>
          <w:tcPr>
            <w:tcW w:w="240" w:type="dxa"/>
            <w:vAlign w:val="bottom"/>
          </w:tcPr>
          <w:p>
            <w:pPr>
              <w:spacing w:after="0"/>
              <w:rPr>
                <w:sz w:val="13"/>
                <w:szCs w:val="13"/>
                <w:color w:val="auto"/>
              </w:rPr>
            </w:pPr>
          </w:p>
        </w:tc>
        <w:tc>
          <w:tcPr>
            <w:tcW w:w="980" w:type="dxa"/>
            <w:vAlign w:val="bottom"/>
          </w:tcPr>
          <w:p>
            <w:pPr>
              <w:jc w:val="right"/>
              <w:ind w:right="28"/>
              <w:spacing w:after="0"/>
              <w:rPr>
                <w:sz w:val="20"/>
                <w:szCs w:val="20"/>
                <w:color w:val="auto"/>
              </w:rPr>
            </w:pPr>
            <w:r>
              <w:rPr>
                <w:rFonts w:ascii="Arial" w:cs="Arial" w:eastAsia="Arial" w:hAnsi="Arial"/>
                <w:sz w:val="13"/>
                <w:szCs w:val="13"/>
                <w:b w:val="1"/>
                <w:bCs w:val="1"/>
                <w:color w:val="auto"/>
              </w:rPr>
              <w:t>C12h (ng/mL)</w:t>
            </w:r>
          </w:p>
        </w:tc>
        <w:tc>
          <w:tcPr>
            <w:tcW w:w="220" w:type="dxa"/>
            <w:vAlign w:val="bottom"/>
          </w:tcPr>
          <w:p>
            <w:pPr>
              <w:spacing w:after="0"/>
              <w:rPr>
                <w:sz w:val="13"/>
                <w:szCs w:val="13"/>
                <w:color w:val="auto"/>
              </w:rPr>
            </w:pPr>
          </w:p>
        </w:tc>
        <w:tc>
          <w:tcPr>
            <w:tcW w:w="980" w:type="dxa"/>
            <w:vAlign w:val="bottom"/>
          </w:tcPr>
          <w:p>
            <w:pPr>
              <w:jc w:val="right"/>
              <w:ind w:right="168"/>
              <w:spacing w:after="0"/>
              <w:rPr>
                <w:sz w:val="20"/>
                <w:szCs w:val="20"/>
                <w:color w:val="auto"/>
              </w:rPr>
            </w:pPr>
            <w:r>
              <w:rPr>
                <w:rFonts w:ascii="Arial" w:cs="Arial" w:eastAsia="Arial" w:hAnsi="Arial"/>
                <w:sz w:val="13"/>
                <w:szCs w:val="13"/>
                <w:b w:val="1"/>
                <w:bCs w:val="1"/>
                <w:color w:val="auto"/>
              </w:rPr>
              <w:t>Tmax (h)</w:t>
            </w:r>
          </w:p>
        </w:tc>
        <w:tc>
          <w:tcPr>
            <w:tcW w:w="220" w:type="dxa"/>
            <w:vAlign w:val="bottom"/>
          </w:tcPr>
          <w:p>
            <w:pPr>
              <w:spacing w:after="0"/>
              <w:rPr>
                <w:sz w:val="13"/>
                <w:szCs w:val="13"/>
                <w:color w:val="auto"/>
              </w:rPr>
            </w:pPr>
          </w:p>
        </w:tc>
        <w:tc>
          <w:tcPr>
            <w:tcW w:w="1100" w:type="dxa"/>
            <w:vAlign w:val="bottom"/>
            <w:gridSpan w:val="2"/>
          </w:tcPr>
          <w:p>
            <w:pPr>
              <w:ind w:left="280"/>
              <w:spacing w:after="0"/>
              <w:rPr>
                <w:sz w:val="20"/>
                <w:szCs w:val="20"/>
                <w:color w:val="auto"/>
              </w:rPr>
            </w:pPr>
            <w:r>
              <w:rPr>
                <w:rFonts w:ascii="Arial" w:cs="Arial" w:eastAsia="Arial" w:hAnsi="Arial"/>
                <w:sz w:val="13"/>
                <w:szCs w:val="13"/>
                <w:b w:val="1"/>
                <w:bCs w:val="1"/>
                <w:color w:val="auto"/>
              </w:rPr>
              <w:t>t1/2 (h)</w:t>
            </w:r>
          </w:p>
        </w:tc>
      </w:tr>
      <w:tr>
        <w:trPr>
          <w:trHeight w:val="183"/>
        </w:trPr>
        <w:tc>
          <w:tcPr>
            <w:tcW w:w="20" w:type="dxa"/>
            <w:vAlign w:val="bottom"/>
          </w:tcPr>
          <w:p>
            <w:pPr>
              <w:spacing w:after="0"/>
              <w:rPr>
                <w:sz w:val="15"/>
                <w:szCs w:val="15"/>
                <w:color w:val="auto"/>
              </w:rPr>
            </w:pPr>
          </w:p>
        </w:tc>
        <w:tc>
          <w:tcPr>
            <w:tcW w:w="324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0.5</w:t>
            </w:r>
          </w:p>
        </w:tc>
        <w:tc>
          <w:tcPr>
            <w:tcW w:w="22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0.5</w:t>
            </w:r>
          </w:p>
        </w:tc>
        <w:tc>
          <w:tcPr>
            <w:tcW w:w="22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0.75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4.5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22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6"/>
                <w:szCs w:val="16"/>
                <w:b w:val="1"/>
                <w:bCs w:val="1"/>
                <w:color w:val="auto"/>
              </w:rPr>
              <w:t>22 (high calorie, high-fat meal)</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r>
    </w:tbl>
    <w:p>
      <w:pPr>
        <w:spacing w:after="0" w:line="209"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this study, a high-calorie, high-fat (HCHF) meal reduced peak exposure and slightly increased overall exposure of deucrictibant: after a 22 mg dose, the mean Cmax of deucrictibant was lower (~32%) while AUCinf was higher (~ 42%) when deucrictibant was administered after a high calorie, high-fat breakfast (fed conditions) compared to administration under fasted conditions. While the median tmax of deucrictibant was delayed by approximately two hours after administration under fed conditions, the plasma concentration for deucrictibant still reached the projected therapeutic levels (EC85, as determined in the bradykinin challenge described below) within 15 minutes. As shown in the table, the concentration of deucrictibant twelve hours post-dosing at 12 mg or 22 mg remained above projected therapeutic levels under both fed and fasted conditions.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15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3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Bradykinin Challenge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147955</wp:posOffset>
            </wp:positionV>
            <wp:extent cx="4697730" cy="384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97730"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we also evaluated the PD of deucrictibant in a bradykinin challenge model, which was designed to demonstrate deucrictibant-mediated inhibition of the drop in blood pressure and increase in heart rate resulting from injection of a bradykinin bolus in healthy subjects. The bradykinin challenge is administered at specific intervals after the deucrictibant or placebo dose, and the inhibition of bradykinin-induced hemodynamic effects is a validated surrogate assessment that was used to select the dose in the original development program for icatibant, as reviewed by FDA and EMA. The clinical dose of icatibant established with the bradykinin challenge has demonstrated successful resolution of HAE attacks in randomized clinical trials and over 10 years of data post-approval.</w:t>
      </w:r>
    </w:p>
    <w:p>
      <w:pPr>
        <w:spacing w:after="0" w:line="182" w:lineRule="exact"/>
        <w:rPr>
          <w:sz w:val="20"/>
          <w:szCs w:val="20"/>
          <w:color w:val="auto"/>
        </w:rPr>
      </w:pPr>
    </w:p>
    <w:p>
      <w:pPr>
        <w:ind w:right="220" w:firstLine="458"/>
        <w:spacing w:after="0" w:line="256" w:lineRule="auto"/>
        <w:rPr>
          <w:sz w:val="20"/>
          <w:szCs w:val="20"/>
          <w:color w:val="auto"/>
        </w:rPr>
      </w:pPr>
      <w:r>
        <w:rPr>
          <w:rFonts w:ascii="Arial" w:cs="Arial" w:eastAsia="Arial" w:hAnsi="Arial"/>
          <w:sz w:val="16"/>
          <w:szCs w:val="16"/>
          <w:color w:val="auto"/>
        </w:rPr>
        <w:t>In the bradykinin challenge, we assessed the inhibition of bradykinin effects at single doses of 12 and 22 mg deucrictibant. Bradykinin was injected intravenously before deucrictibant to calibrate each subject’s response, and then at 1, 4, 8, 12 and 24 hours after dosing with deucrictibant. We monitored cardiovascular responses at each time point (see figure above). At the same time, blood samples were drawn for PK assessment. Bradykinin injection induced a short-lasting transient change in mean arterial blood pressure, or MABP, heart rate, or HR, and cardiac output. In the presence of deucrictibant, this cardiovascular response was dampened to an extent depending on the plasma concentration of deucrictibant.</w:t>
      </w:r>
    </w:p>
    <w:p>
      <w:pPr>
        <w:spacing w:after="0" w:line="180" w:lineRule="exact"/>
        <w:rPr>
          <w:sz w:val="20"/>
          <w:szCs w:val="20"/>
          <w:color w:val="auto"/>
        </w:rPr>
      </w:pPr>
    </w:p>
    <w:p>
      <w:pPr>
        <w:ind w:left="20" w:right="40" w:firstLine="458"/>
        <w:spacing w:after="0" w:line="256" w:lineRule="auto"/>
        <w:rPr>
          <w:sz w:val="20"/>
          <w:szCs w:val="20"/>
          <w:color w:val="auto"/>
        </w:rPr>
      </w:pPr>
      <w:r>
        <w:rPr>
          <w:rFonts w:ascii="Arial" w:cs="Arial" w:eastAsia="Arial" w:hAnsi="Arial"/>
          <w:sz w:val="16"/>
          <w:szCs w:val="16"/>
          <w:color w:val="auto"/>
        </w:rPr>
        <w:t xml:space="preserve">We conducted a PK/PD analysis using the same approach as used by FDA in their evaluation of icatibant. The composite EC50 and EC85 values estimated from the combination of each PD response associated with the bradykinin challenge are provided in the table below. Deucrictibant demonstrated higher PD potency based on plasma concentrations (roughly four-fold) published for icatibant. Adjusting for the differences between molecular weight and plasma protein binding, we found that deucrictibant is 24-fold more potent (170 pM) in the bradykinin challenge model than icatibant (4.1 nM) on a molecule-by-molecule basis, consistent with our preclinical </w:t>
      </w:r>
      <w:r>
        <w:rPr>
          <w:rFonts w:ascii="Arial" w:cs="Arial" w:eastAsia="Arial" w:hAnsi="Arial"/>
          <w:sz w:val="16"/>
          <w:szCs w:val="16"/>
          <w:i w:val="1"/>
          <w:iCs w:val="1"/>
          <w:color w:val="auto"/>
        </w:rPr>
        <w:t>in vitro and ex vivo</w:t>
      </w:r>
      <w:r>
        <w:rPr>
          <w:rFonts w:ascii="Arial" w:cs="Arial" w:eastAsia="Arial" w:hAnsi="Arial"/>
          <w:sz w:val="16"/>
          <w:szCs w:val="16"/>
          <w:color w:val="auto"/>
        </w:rPr>
        <w:t xml:space="preserve"> measurements</w:t>
      </w:r>
      <w:r>
        <w:rPr>
          <w:rFonts w:ascii="Arial" w:cs="Arial" w:eastAsia="Arial" w:hAnsi="Arial"/>
          <w:sz w:val="16"/>
          <w:szCs w:val="16"/>
          <w:i w:val="1"/>
          <w:iCs w:val="1"/>
          <w:color w:val="auto"/>
        </w:rPr>
        <w:t>.</w:t>
      </w:r>
    </w:p>
    <w:p>
      <w:pPr>
        <w:spacing w:after="0" w:line="392"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5260" w:type="dxa"/>
            <w:vAlign w:val="bottom"/>
            <w:gridSpan w:val="2"/>
          </w:tcPr>
          <w:p>
            <w:pPr>
              <w:spacing w:after="0"/>
              <w:rPr>
                <w:sz w:val="20"/>
                <w:szCs w:val="20"/>
                <w:color w:val="auto"/>
              </w:rPr>
            </w:pPr>
            <w:r>
              <w:rPr>
                <w:rFonts w:ascii="Arial" w:cs="Arial" w:eastAsia="Arial" w:hAnsi="Arial"/>
                <w:sz w:val="13"/>
                <w:szCs w:val="13"/>
                <w:b w:val="1"/>
                <w:bCs w:val="1"/>
                <w:color w:val="auto"/>
              </w:rPr>
              <w:t>Composite average</w:t>
            </w:r>
          </w:p>
        </w:tc>
        <w:tc>
          <w:tcPr>
            <w:tcW w:w="140" w:type="dxa"/>
            <w:vAlign w:val="bottom"/>
          </w:tcPr>
          <w:p>
            <w:pPr>
              <w:spacing w:after="0"/>
              <w:rPr>
                <w:sz w:val="13"/>
                <w:szCs w:val="13"/>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deucrictibant</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icatibant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5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EC50 (ng/mL)</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2.4</w:t>
            </w:r>
          </w:p>
        </w:tc>
        <w:tc>
          <w:tcPr>
            <w:tcW w:w="11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EC85 (ng/mL)</w:t>
            </w:r>
          </w:p>
        </w:tc>
        <w:tc>
          <w:tcPr>
            <w:tcW w:w="1440" w:type="dxa"/>
            <w:vAlign w:val="bottom"/>
            <w:gridSpan w:val="3"/>
          </w:tcPr>
          <w:p>
            <w:pPr>
              <w:jc w:val="right"/>
              <w:ind w:right="220"/>
              <w:spacing w:after="0"/>
              <w:rPr>
                <w:sz w:val="20"/>
                <w:szCs w:val="20"/>
                <w:color w:val="auto"/>
              </w:rPr>
            </w:pPr>
            <w:r>
              <w:rPr>
                <w:rFonts w:ascii="Arial" w:cs="Arial" w:eastAsia="Arial" w:hAnsi="Arial"/>
                <w:sz w:val="16"/>
                <w:szCs w:val="16"/>
                <w:color w:val="auto"/>
              </w:rPr>
              <w:t>13.8</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500" w:firstLine="458"/>
        <w:spacing w:after="0" w:line="286" w:lineRule="auto"/>
        <w:rPr>
          <w:sz w:val="20"/>
          <w:szCs w:val="20"/>
          <w:color w:val="auto"/>
        </w:rPr>
      </w:pPr>
      <w:r>
        <w:rPr>
          <w:rFonts w:ascii="Arial" w:cs="Arial" w:eastAsia="Arial" w:hAnsi="Arial"/>
          <w:sz w:val="16"/>
          <w:szCs w:val="16"/>
          <w:color w:val="auto"/>
        </w:rPr>
        <w:t>EC50: concentration at which compound induces a response half of its maximum possible response; EC85: concentration at which a compound induces 85% of its maximum response.</w:t>
      </w:r>
    </w:p>
    <w:p>
      <w:pPr>
        <w:spacing w:after="0" w:line="156"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The data also allowed us to compare the projected therapeutic performance of deucrictibant with that of icatibant. However, we have not conducted a head-to-head comparison of icatibant to deucrictibant in a clinical trial but have compared the published data for icatibant</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16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to data from our Phase 1 and Phase 2 clinical trial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Clinical trials have shown for icatibant that the therapeutic response of icatibant to treat an acute HAE attack wanes approximately 6 hours after dosing, coinciding with the drop in icatibant concentration below therapeutic levels due to the short half-life (1.4 hours) of the drug. More precisely, it was shown that icatibant plasma concentrations with a 75% probability to be above EC50 and a 50% probability to be above EC85 correlate with therapeutic efficacy.</w:t>
      </w:r>
    </w:p>
    <w:p>
      <w:pPr>
        <w:spacing w:after="0" w:line="181"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Applying these criteria as exposure targets for deucrictibant leads us to project that due to deucrictibant’s longer half-life, we believe deucrictibant will stay above these therapeutic targets for much longer than icatibant. The 12 mg dose of deucrictibant showed rapid absorption and the plasma exposure then stayed above EC50 for 10-12 hours and above the EC85 for 6.5 to 7.5 hours, suggesting that this dose may be at least as effective as a 30 mg s.c. injection of icatibant. A 30 mg s.c. icatibant dose has been documented to effectively treat 93% of acute HAE attacks (Icatibant Outcome Survey, or IOS, study reference).</w:t>
      </w:r>
    </w:p>
    <w:p>
      <w:pPr>
        <w:spacing w:after="0" w:line="200" w:lineRule="exact"/>
        <w:rPr>
          <w:sz w:val="20"/>
          <w:szCs w:val="20"/>
          <w:color w:val="auto"/>
        </w:rPr>
      </w:pPr>
    </w:p>
    <w:p>
      <w:pPr>
        <w:spacing w:after="0" w:line="3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compares 30 mg of icatibant to 12 mg and 22 mg of deucrictibant based on BK-challenge modeling and simulation.</w:t>
      </w:r>
    </w:p>
    <w:p>
      <w:pPr>
        <w:spacing w:after="0" w:line="20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ind w:left="160"/>
              <w:spacing w:after="0"/>
              <w:rPr>
                <w:sz w:val="20"/>
                <w:szCs w:val="20"/>
                <w:color w:val="auto"/>
              </w:rPr>
            </w:pPr>
            <w:r>
              <w:rPr>
                <w:rFonts w:ascii="Arial" w:cs="Arial" w:eastAsia="Arial" w:hAnsi="Arial"/>
                <w:sz w:val="13"/>
                <w:szCs w:val="13"/>
                <w:b w:val="1"/>
                <w:bCs w:val="1"/>
                <w:color w:val="auto"/>
              </w:rPr>
              <w:t>deucrictibant 12 mg</w:t>
            </w:r>
          </w:p>
        </w:tc>
        <w:tc>
          <w:tcPr>
            <w:tcW w:w="15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deucrictibant 22 mg</w:t>
            </w:r>
          </w:p>
        </w:tc>
        <w:tc>
          <w:tcPr>
            <w:tcW w:w="0" w:type="dxa"/>
            <w:vAlign w:val="bottom"/>
          </w:tcPr>
          <w:p>
            <w:pPr>
              <w:spacing w:after="0"/>
              <w:rPr>
                <w:sz w:val="1"/>
                <w:szCs w:val="1"/>
                <w:color w:val="auto"/>
              </w:rPr>
            </w:pPr>
          </w:p>
        </w:tc>
      </w:tr>
      <w:tr>
        <w:trPr>
          <w:trHeight w:val="153"/>
        </w:trPr>
        <w:tc>
          <w:tcPr>
            <w:tcW w:w="5340" w:type="dxa"/>
            <w:vAlign w:val="bottom"/>
          </w:tcPr>
          <w:p>
            <w:pPr>
              <w:spacing w:after="0"/>
              <w:rPr>
                <w:sz w:val="20"/>
                <w:szCs w:val="20"/>
                <w:color w:val="auto"/>
              </w:rPr>
            </w:pPr>
            <w:r>
              <w:rPr>
                <w:rFonts w:ascii="Arial" w:cs="Arial" w:eastAsia="Arial" w:hAnsi="Arial"/>
                <w:sz w:val="13"/>
                <w:szCs w:val="13"/>
                <w:b w:val="1"/>
                <w:bCs w:val="1"/>
                <w:color w:val="auto"/>
              </w:rPr>
              <w:t>Response</w:t>
            </w:r>
          </w:p>
        </w:tc>
        <w:tc>
          <w:tcPr>
            <w:tcW w:w="134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icatibant 30 mg</w:t>
            </w:r>
          </w:p>
        </w:tc>
        <w:tc>
          <w:tcPr>
            <w:tcW w:w="80" w:type="dxa"/>
            <w:vAlign w:val="bottom"/>
          </w:tcPr>
          <w:p>
            <w:pPr>
              <w:spacing w:after="0"/>
              <w:rPr>
                <w:sz w:val="13"/>
                <w:szCs w:val="13"/>
                <w:color w:val="auto"/>
              </w:rPr>
            </w:pPr>
          </w:p>
        </w:tc>
        <w:tc>
          <w:tcPr>
            <w:tcW w:w="146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(oral)</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(oral)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340" w:type="dxa"/>
            <w:vAlign w:val="bottom"/>
          </w:tcPr>
          <w:p>
            <w:pPr>
              <w:spacing w:after="0"/>
              <w:rPr>
                <w:sz w:val="11"/>
                <w:szCs w:val="11"/>
                <w:color w:val="auto"/>
              </w:rPr>
            </w:pPr>
          </w:p>
        </w:tc>
        <w:tc>
          <w:tcPr>
            <w:tcW w:w="1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Time (h) plasma</w:t>
            </w:r>
          </w:p>
        </w:tc>
        <w:tc>
          <w:tcPr>
            <w:tcW w:w="8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3"/>
          </w:tcPr>
          <w:p>
            <w:pPr>
              <w:jc w:val="right"/>
              <w:ind w:right="364"/>
              <w:spacing w:after="0" w:line="129" w:lineRule="exact"/>
              <w:rPr>
                <w:sz w:val="20"/>
                <w:szCs w:val="20"/>
                <w:color w:val="auto"/>
              </w:rPr>
            </w:pPr>
            <w:r>
              <w:rPr>
                <w:rFonts w:ascii="Arial" w:cs="Arial" w:eastAsia="Arial" w:hAnsi="Arial"/>
                <w:sz w:val="13"/>
                <w:szCs w:val="13"/>
                <w:b w:val="1"/>
                <w:bCs w:val="1"/>
                <w:color w:val="auto"/>
                <w:w w:val="95"/>
              </w:rPr>
              <w:t>level above EC50 at a 75% confidence level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Diastolic blood pressure (DBP)</w:t>
            </w:r>
          </w:p>
        </w:tc>
        <w:tc>
          <w:tcPr>
            <w:tcW w:w="14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6.0</w:t>
            </w:r>
          </w:p>
        </w:tc>
        <w:tc>
          <w:tcPr>
            <w:tcW w:w="15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11.5</w:t>
            </w:r>
          </w:p>
        </w:tc>
        <w:tc>
          <w:tcPr>
            <w:tcW w:w="15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5340" w:type="dxa"/>
            <w:vAlign w:val="bottom"/>
          </w:tcPr>
          <w:p>
            <w:pPr>
              <w:spacing w:after="0"/>
              <w:rPr>
                <w:sz w:val="20"/>
                <w:szCs w:val="20"/>
                <w:color w:val="auto"/>
              </w:rPr>
            </w:pPr>
            <w:r>
              <w:rPr>
                <w:rFonts w:ascii="Arial" w:cs="Arial" w:eastAsia="Arial" w:hAnsi="Arial"/>
                <w:sz w:val="16"/>
                <w:szCs w:val="16"/>
                <w:color w:val="auto"/>
              </w:rPr>
              <w:t>MABP</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6.0</w:t>
            </w: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9"/>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Heart rate</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6.5</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5340" w:type="dxa"/>
            <w:vAlign w:val="bottom"/>
            <w:vMerge w:val="restart"/>
          </w:tcPr>
          <w:p>
            <w:pPr>
              <w:spacing w:after="0"/>
              <w:rPr>
                <w:sz w:val="20"/>
                <w:szCs w:val="20"/>
                <w:color w:val="auto"/>
              </w:rPr>
            </w:pPr>
            <w:r>
              <w:rPr>
                <w:rFonts w:ascii="Arial" w:cs="Arial" w:eastAsia="Arial" w:hAnsi="Arial"/>
                <w:sz w:val="16"/>
                <w:szCs w:val="16"/>
                <w:color w:val="auto"/>
              </w:rPr>
              <w:t>DBP</w:t>
            </w:r>
          </w:p>
        </w:tc>
        <w:tc>
          <w:tcPr>
            <w:tcW w:w="4540" w:type="dxa"/>
            <w:vAlign w:val="bottom"/>
            <w:gridSpan w:val="6"/>
          </w:tcPr>
          <w:p>
            <w:pPr>
              <w:ind w:left="20"/>
              <w:spacing w:after="0"/>
              <w:rPr>
                <w:sz w:val="20"/>
                <w:szCs w:val="20"/>
                <w:color w:val="auto"/>
              </w:rPr>
            </w:pPr>
            <w:r>
              <w:rPr>
                <w:rFonts w:ascii="Arial" w:cs="Arial" w:eastAsia="Arial" w:hAnsi="Arial"/>
                <w:sz w:val="16"/>
                <w:szCs w:val="16"/>
                <w:color w:val="auto"/>
              </w:rPr>
              <w:t>Time (h) plasma level above EC85 at a 50% confidence level</w:t>
            </w:r>
          </w:p>
        </w:tc>
        <w:tc>
          <w:tcPr>
            <w:tcW w:w="0" w:type="dxa"/>
            <w:vAlign w:val="bottom"/>
          </w:tcPr>
          <w:p>
            <w:pPr>
              <w:spacing w:after="0"/>
              <w:rPr>
                <w:sz w:val="1"/>
                <w:szCs w:val="1"/>
                <w:color w:val="auto"/>
              </w:rPr>
            </w:pPr>
          </w:p>
        </w:tc>
      </w:tr>
      <w:tr>
        <w:trPr>
          <w:trHeight w:val="183"/>
        </w:trPr>
        <w:tc>
          <w:tcPr>
            <w:tcW w:w="5340" w:type="dxa"/>
            <w:vAlign w:val="bottom"/>
            <w:vMerge w:val="continue"/>
          </w:tcPr>
          <w:p>
            <w:pPr>
              <w:spacing w:after="0"/>
              <w:rPr>
                <w:sz w:val="15"/>
                <w:szCs w:val="15"/>
                <w:color w:val="auto"/>
              </w:rPr>
            </w:pPr>
          </w:p>
        </w:tc>
        <w:tc>
          <w:tcPr>
            <w:tcW w:w="1420" w:type="dxa"/>
            <w:vAlign w:val="bottom"/>
            <w:tcBorders>
              <w:top w:val="single" w:sz="8" w:color="auto"/>
            </w:tcBorders>
            <w:gridSpan w:val="2"/>
          </w:tcPr>
          <w:p>
            <w:pPr>
              <w:jc w:val="right"/>
              <w:ind w:right="80"/>
              <w:spacing w:after="0" w:line="183" w:lineRule="exact"/>
              <w:rPr>
                <w:sz w:val="20"/>
                <w:szCs w:val="20"/>
                <w:color w:val="auto"/>
              </w:rPr>
            </w:pPr>
            <w:r>
              <w:rPr>
                <w:rFonts w:ascii="Arial" w:cs="Arial" w:eastAsia="Arial" w:hAnsi="Arial"/>
                <w:sz w:val="16"/>
                <w:szCs w:val="16"/>
                <w:color w:val="auto"/>
              </w:rPr>
              <w:t>5.5</w:t>
            </w:r>
          </w:p>
        </w:tc>
        <w:tc>
          <w:tcPr>
            <w:tcW w:w="1540" w:type="dxa"/>
            <w:vAlign w:val="bottom"/>
            <w:tcBorders>
              <w:top w:val="single" w:sz="8" w:color="auto"/>
            </w:tcBorders>
            <w:gridSpan w:val="2"/>
          </w:tcPr>
          <w:p>
            <w:pPr>
              <w:jc w:val="right"/>
              <w:ind w:right="80"/>
              <w:spacing w:after="0" w:line="183" w:lineRule="exact"/>
              <w:rPr>
                <w:sz w:val="20"/>
                <w:szCs w:val="20"/>
                <w:color w:val="auto"/>
              </w:rPr>
            </w:pPr>
            <w:r>
              <w:rPr>
                <w:rFonts w:ascii="Arial" w:cs="Arial" w:eastAsia="Arial" w:hAnsi="Arial"/>
                <w:sz w:val="16"/>
                <w:szCs w:val="16"/>
                <w:color w:val="auto"/>
              </w:rPr>
              <w:t>7.5</w:t>
            </w:r>
          </w:p>
        </w:tc>
        <w:tc>
          <w:tcPr>
            <w:tcW w:w="1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MABP</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5.5</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7.0</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6"/>
                <w:szCs w:val="16"/>
                <w:color w:val="auto"/>
              </w:rPr>
              <w:t>Heart rate</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5.5</w:t>
            </w: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6.5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 chart below shows the simulation of PK and PD resulting from single (left) or double (right) doses of icatibant as compared to single doses of deucrictibant at 12 mg (left) or 22 mg (right), using a non-linear mixed-effect model built from published data of icatibant and our bradykinin challenge study. As shown in the bottom row, the modeled PD effect of deucrictibant surpasses that of icatibant at less than half the dose, and equals two 30 mg injections of icatibant with a single oral dose of 22 mg. As demonstrated in a post-commercialization observational study (IOS study reference), a single dose of icatibant was shown to treat 93% of attacks and two doses treated 99% of over 5,000 attacks in the 10 years survey.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17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217805</wp:posOffset>
            </wp:positionV>
            <wp:extent cx="6146165" cy="3531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4616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80" w:firstLine="458"/>
        <w:spacing w:after="0" w:line="259" w:lineRule="auto"/>
        <w:rPr>
          <w:sz w:val="20"/>
          <w:szCs w:val="20"/>
          <w:color w:val="auto"/>
        </w:rPr>
      </w:pPr>
      <w:r>
        <w:rPr>
          <w:rFonts w:ascii="Arial" w:cs="Arial" w:eastAsia="Arial" w:hAnsi="Arial"/>
          <w:sz w:val="16"/>
          <w:szCs w:val="16"/>
          <w:color w:val="auto"/>
        </w:rPr>
        <w:t>In conclusion, deucrictibant was well tolerated when administered orally at the doses tested without any dose-limiting toxicity. Deucrictibant was rapidly absorbed in either fasting or fed conditions and showed dose proportional PK for deucrictibant. The bradykinin challenge demonstrated that deucrictibant potently blocks the effects of bradykinin-induced hemodynamic changes and provided the robust rationale for dose selection in future on-demand and prophylactic HAE trials.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PHA121-C002 (SAD extension)</w:t>
      </w:r>
    </w:p>
    <w:p>
      <w:pPr>
        <w:spacing w:after="0" w:line="113"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PHA121-C002 was a randomized, double-blind, placebo-controlled, single ascending dose extension trial designed to examine the safety, tolerability, and PK of single ascending oral doses of 22, 33, and 50 mg of deucrictibant after a standard caloric meal and 40 mg in fasting conditions. A total of 32 subjects received either deucrictibant (24 subjects), or placebo (8 subjects).</w:t>
      </w:r>
    </w:p>
    <w:p>
      <w:pPr>
        <w:spacing w:after="0" w:line="17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The trial results showed that deucrictibant was well tolerated at doses up to 40 mg under fasting and 50 mg under fed conditions. There were no SAEs reported. Treatment-related AEs that were reported as possibly related to deucrictibant were mild nausea (22 mg) (one subject), mild headache (50 mg) (one subject), and moderate headache associated with vomiting (50 mg) (one subject). There were no clinically significant changes in vital signs, laboratory or ECG parameters.</w:t>
      </w:r>
    </w:p>
    <w:p>
      <w:pPr>
        <w:spacing w:after="0" w:line="178" w:lineRule="exact"/>
        <w:rPr>
          <w:sz w:val="20"/>
          <w:szCs w:val="20"/>
          <w:color w:val="auto"/>
        </w:rPr>
      </w:pPr>
    </w:p>
    <w:p>
      <w:pPr>
        <w:jc w:val="both"/>
        <w:ind w:right="40" w:firstLine="458"/>
        <w:spacing w:after="0" w:line="259" w:lineRule="auto"/>
        <w:rPr>
          <w:sz w:val="20"/>
          <w:szCs w:val="20"/>
          <w:color w:val="auto"/>
        </w:rPr>
      </w:pPr>
      <w:r>
        <w:rPr>
          <w:rFonts w:ascii="Arial" w:cs="Arial" w:eastAsia="Arial" w:hAnsi="Arial"/>
          <w:sz w:val="16"/>
          <w:szCs w:val="16"/>
          <w:color w:val="auto"/>
        </w:rPr>
        <w:t>Over the investigated dose range from 22 to 50 mg (factor 2.27 increase) after a standardized breakfast, deucrictibant showed dose-proportional PK with a 2.4-fold increase for mean Cmax and AUC0-24h. Administration of deucrictibant after a standardized breakfast resulted in 40-50% decrease in Cmax without a change in AUCinf as compared to administration under fasting conditions. As a result, C12h and C24h plasma concentration for deucrictibant were higher under fed conditions. These observations support the potential use of this formulation for initial studies in a prophylactic setting by dosing with food.</w:t>
      </w:r>
    </w:p>
    <w:p>
      <w:pPr>
        <w:spacing w:after="0" w:line="375"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right"/>
              <w:ind w:right="277"/>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2"/>
                <w:szCs w:val="12"/>
                <w:color w:val="auto"/>
              </w:rPr>
            </w:pPr>
          </w:p>
        </w:tc>
        <w:tc>
          <w:tcPr>
            <w:tcW w:w="1900" w:type="dxa"/>
            <w:vAlign w:val="bottom"/>
          </w:tcPr>
          <w:p>
            <w:pPr>
              <w:jc w:val="right"/>
              <w:ind w:right="217"/>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2"/>
                <w:szCs w:val="12"/>
                <w:color w:val="auto"/>
              </w:rPr>
            </w:pPr>
          </w:p>
        </w:tc>
        <w:tc>
          <w:tcPr>
            <w:tcW w:w="2840" w:type="dxa"/>
            <w:vAlign w:val="bottom"/>
            <w:gridSpan w:val="2"/>
          </w:tcPr>
          <w:p>
            <w:pPr>
              <w:ind w:left="700"/>
              <w:spacing w:after="0"/>
              <w:rPr>
                <w:sz w:val="20"/>
                <w:szCs w:val="20"/>
                <w:color w:val="auto"/>
              </w:rPr>
            </w:pPr>
            <w:r>
              <w:rPr>
                <w:rFonts w:ascii="Arial" w:cs="Arial" w:eastAsia="Arial" w:hAnsi="Arial"/>
                <w:sz w:val="13"/>
                <w:szCs w:val="13"/>
                <w:b w:val="1"/>
                <w:bCs w:val="1"/>
                <w:color w:val="auto"/>
              </w:rPr>
              <w:t>22 mg of deucrictibant</w:t>
            </w:r>
          </w:p>
        </w:tc>
      </w:tr>
      <w:tr>
        <w:trPr>
          <w:trHeight w:val="153"/>
        </w:trPr>
        <w:tc>
          <w:tcPr>
            <w:tcW w:w="2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b w:val="1"/>
                <w:bCs w:val="1"/>
                <w:color w:val="auto"/>
              </w:rPr>
              <w:t>Fasted</w:t>
            </w:r>
          </w:p>
        </w:tc>
        <w:tc>
          <w:tcPr>
            <w:tcW w:w="80" w:type="dxa"/>
            <w:vAlign w:val="bottom"/>
          </w:tcPr>
          <w:p>
            <w:pPr>
              <w:spacing w:after="0"/>
              <w:rPr>
                <w:sz w:val="13"/>
                <w:szCs w:val="13"/>
                <w:color w:val="auto"/>
              </w:rPr>
            </w:pPr>
          </w:p>
        </w:tc>
        <w:tc>
          <w:tcPr>
            <w:tcW w:w="190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HCHF</w:t>
            </w:r>
          </w:p>
        </w:tc>
        <w:tc>
          <w:tcPr>
            <w:tcW w:w="80" w:type="dxa"/>
            <w:vAlign w:val="bottom"/>
          </w:tcPr>
          <w:p>
            <w:pPr>
              <w:spacing w:after="0"/>
              <w:rPr>
                <w:sz w:val="13"/>
                <w:szCs w:val="13"/>
                <w:color w:val="auto"/>
              </w:rPr>
            </w:pPr>
          </w:p>
        </w:tc>
        <w:tc>
          <w:tcPr>
            <w:tcW w:w="276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b w:val="1"/>
                <w:bCs w:val="1"/>
                <w:color w:val="auto"/>
              </w:rPr>
              <w:t>Standard Meal</w:t>
            </w:r>
          </w:p>
        </w:tc>
        <w:tc>
          <w:tcPr>
            <w:tcW w:w="80" w:type="dxa"/>
            <w:vAlign w:val="bottom"/>
          </w:tcPr>
          <w:p>
            <w:pPr>
              <w:spacing w:after="0"/>
              <w:rPr>
                <w:sz w:val="13"/>
                <w:szCs w:val="13"/>
                <w:color w:val="auto"/>
              </w:rPr>
            </w:pPr>
          </w:p>
        </w:tc>
      </w:tr>
      <w:tr>
        <w:trPr>
          <w:trHeight w:val="182"/>
        </w:trPr>
        <w:tc>
          <w:tcPr>
            <w:tcW w:w="20" w:type="dxa"/>
            <w:vAlign w:val="bottom"/>
          </w:tcPr>
          <w:p>
            <w:pPr>
              <w:spacing w:after="0"/>
              <w:rPr>
                <w:sz w:val="15"/>
                <w:szCs w:val="15"/>
                <w:color w:val="auto"/>
              </w:rPr>
            </w:pPr>
          </w:p>
        </w:tc>
        <w:tc>
          <w:tcPr>
            <w:tcW w:w="2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C12h, ng/mL</w:t>
            </w:r>
          </w:p>
        </w:tc>
        <w:tc>
          <w:tcPr>
            <w:tcW w:w="20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8.3</w:t>
            </w:r>
          </w:p>
        </w:tc>
        <w:tc>
          <w:tcPr>
            <w:tcW w:w="19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19.6</w:t>
            </w:r>
          </w:p>
        </w:tc>
        <w:tc>
          <w:tcPr>
            <w:tcW w:w="28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17.3</w:t>
            </w:r>
          </w:p>
        </w:tc>
        <w:tc>
          <w:tcPr>
            <w:tcW w:w="8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C24h, ng/mL</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6"/>
                <w:szCs w:val="16"/>
                <w:color w:val="auto"/>
              </w:rPr>
              <w:t>Cmax, ng/mL</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AUC0-24h, ng.h/mL</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671</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966</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6"/>
                <w:szCs w:val="16"/>
                <w:color w:val="auto"/>
              </w:rPr>
              <w:t>tmax, h</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0.25-1.02</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2.00-3.00</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0.50-4.00</w:t>
            </w:r>
          </w:p>
        </w:tc>
        <w:tc>
          <w:tcPr>
            <w:tcW w:w="80" w:type="dxa"/>
            <w:vAlign w:val="bottom"/>
            <w:shd w:val="clear" w:color="auto" w:fill="CFF0FC"/>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t1/2, h</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18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PHA121-C004 (DDI-CYP3A4 inhibitor, itraconazole, interaction)</w:t>
      </w:r>
    </w:p>
    <w:p>
      <w:pPr>
        <w:spacing w:after="0" w:line="113"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 xml:space="preserve">Cytochrome P450 3A4 (CYP3A4) plays an important role in the metabolism of deucrictibant. Deucrictibant-C004 was designed as an open-label, single sequence crossover drug-drug interaction trial to evaluate the effect of multiple doses of itraconazole, a potent CYP3A4 inhibitor, at steady-state on the PK of a single dose of deucrictibant in healthy subjects. The primary objective of this study was to determine the effect of multiple doses of the strong CYP3A4 inhibitor itraconazole on the PK of deucrictibant in healthy adult subjects. The secondary objective of this study was to evaluate the safety and tolerability of deucrictibant alone and in combination with multiple doses of the CYP3A4 inhibitor itraconazole in healthy adult subjects. The study has been completed in 13 subjects and deucrictibant was well tolerated with no drug-related adverse events reported. Preliminary analyses show that the exposure of deucrictibant increased when co-administered with itraconazole, as expected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showing that deucrictibant is a substrate of CYP3A4. Other potential drug-drug interactions will be further assessed by the deucrictibant-C005 cocktail interaction study and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recommended by FDA guidance.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PHA121-C006 (MAD)</w:t>
      </w:r>
    </w:p>
    <w:p>
      <w:pPr>
        <w:spacing w:after="0" w:line="113"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PHA121-C006 was a randomized, double-blind, placebo-controlled, multiple ascending dose trial to examine the safety, tolerability and PK of deucrictibant in healthy subjects, which demonstrated deucrictibant’s pharmacokinetics and tolerability. The trial included 38 subjects and four cohorts, ranging from 12 to 50 mg of healthy subjects who were studied sequentially. Within each cohort, eight subjects received deucrictibant and two subjects received placebo, except for the final cohort with six subjects receiving deucrictibant and two subjects receiving placebo. The trial evaluated multiple ascending doses twice daily for 10 days to establish safety and tolerability and to assess the PK characteristics of deucrictibant after standard caloric meals. Deucrictibant was supplied as an oral solution.</w:t>
      </w:r>
    </w:p>
    <w:p>
      <w:pPr>
        <w:spacing w:after="0" w:line="182"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The study showed deucrictibant was well tolerated at all doses studied (including up to the highest dose of 50 mg twice daily (BID)), with approximately dose-proportional exposure. During the study, there have been no SAEs or severe treatment-emergent adverse events, or TEAEs, reported. All reported TEAEs were mild in intensity and resolved completely. There were no clear differences between the different dosing regimens vs. placebo with respect to the total TEAEs and the frequency of TEAEs reported for the different system organ classes. Lab safety, vital signs, and ECG parameters remained well within normal limits in all subjects. The pharmacokinetic profile suggests that therapeutic drug levels of deucrictibant were achieved in day 1 and steady-state plasma concentrations were reached within 72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PHA121-C010 (SD)</w:t>
      </w:r>
    </w:p>
    <w:p>
      <w:pPr>
        <w:spacing w:after="0" w:line="113"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PHA121-C010 was an open-label randomized five-period crossover single-dose study to assess bioavailability of two different extended-release formulations with and without food, in comparison to a single dose of immediate-release capsules without food. The study included 8 healthy volunteers who received in randomized order a single dose of deucrictibant IR capsules (20 mg, as two 10-mg softgel capsules) without food, a single XR tablet of deucrictibant (20 mg) without food; a single XR tablet of deucrictibant (20 mg) with a high-calorie, high-fat meal; a single XR tablet of deucrictibant (40 mg) without food; and a single XR tablet of deucrictibant (40 mg) with a high-calorie, high-fat meal.</w:t>
      </w:r>
    </w:p>
    <w:p>
      <w:pPr>
        <w:spacing w:after="0" w:line="180" w:lineRule="exact"/>
        <w:rPr>
          <w:sz w:val="20"/>
          <w:szCs w:val="20"/>
          <w:color w:val="auto"/>
        </w:rPr>
      </w:pPr>
    </w:p>
    <w:p>
      <w:pPr>
        <w:ind w:right="220" w:firstLine="458"/>
        <w:spacing w:after="0" w:line="286" w:lineRule="auto"/>
        <w:rPr>
          <w:sz w:val="20"/>
          <w:szCs w:val="20"/>
          <w:color w:val="auto"/>
        </w:rPr>
      </w:pPr>
      <w:r>
        <w:rPr>
          <w:rFonts w:ascii="Arial" w:cs="Arial" w:eastAsia="Arial" w:hAnsi="Arial"/>
          <w:sz w:val="16"/>
          <w:szCs w:val="16"/>
          <w:color w:val="auto"/>
        </w:rPr>
        <w:t>The study showed deucrictibant immediate-release capsules and deucrictibant extended-release tablets were well tolerated. During the study, there were no SAEs or severe treatment-emergent adverse events (TEAEs) reported.</w:t>
      </w:r>
    </w:p>
    <w:p>
      <w:pPr>
        <w:spacing w:after="0" w:line="156" w:lineRule="exact"/>
        <w:rPr>
          <w:sz w:val="20"/>
          <w:szCs w:val="20"/>
          <w:color w:val="auto"/>
        </w:rPr>
      </w:pPr>
    </w:p>
    <w:p>
      <w:pPr>
        <w:ind w:right="180" w:firstLine="458"/>
        <w:spacing w:after="0"/>
        <w:rPr>
          <w:sz w:val="20"/>
          <w:szCs w:val="20"/>
          <w:color w:val="auto"/>
        </w:rPr>
      </w:pPr>
      <w:r>
        <w:rPr>
          <w:rFonts w:ascii="Arial" w:cs="Arial" w:eastAsia="Arial" w:hAnsi="Arial"/>
          <w:sz w:val="16"/>
          <w:szCs w:val="16"/>
          <w:color w:val="auto"/>
        </w:rPr>
        <w:t>The pharmacokinetic profile observed for deucrictibant confirmed that the softgel capsule formulation under fasting conditions achieved rapid exposure of the deucrictibant active ingredient consistent with previous pharmacokinetic studies using deucrictibant in a solution formulation, rising above clinically relevant exposure (in particular, the EC</w:t>
      </w:r>
      <w:r>
        <w:rPr>
          <w:rFonts w:ascii="Arial" w:cs="Arial" w:eastAsia="Arial" w:hAnsi="Arial"/>
          <w:sz w:val="21"/>
          <w:szCs w:val="21"/>
          <w:color w:val="auto"/>
          <w:vertAlign w:val="subscript"/>
        </w:rPr>
        <w:t>85</w:t>
      </w:r>
      <w:r>
        <w:rPr>
          <w:rFonts w:ascii="Arial" w:cs="Arial" w:eastAsia="Arial" w:hAnsi="Arial"/>
          <w:sz w:val="16"/>
          <w:szCs w:val="16"/>
          <w:color w:val="auto"/>
        </w:rPr>
        <w:t xml:space="preserve"> determined from the bradykinin challenge, 13.8 ng/mL) within 15 minutes. A single dose of deucrictibant</w:t>
      </w:r>
    </w:p>
    <w:p>
      <w:pPr>
        <w:spacing w:after="0" w:line="1" w:lineRule="exact"/>
        <w:rPr>
          <w:sz w:val="20"/>
          <w:szCs w:val="20"/>
          <w:color w:val="auto"/>
        </w:rPr>
      </w:pPr>
    </w:p>
    <w:p>
      <w:pPr>
        <w:ind w:right="20"/>
        <w:spacing w:after="0" w:line="228" w:lineRule="auto"/>
        <w:rPr>
          <w:sz w:val="20"/>
          <w:szCs w:val="20"/>
          <w:color w:val="auto"/>
        </w:rPr>
      </w:pPr>
      <w:r>
        <w:rPr>
          <w:rFonts w:ascii="Arial" w:cs="Arial" w:eastAsia="Arial" w:hAnsi="Arial"/>
          <w:sz w:val="16"/>
          <w:szCs w:val="16"/>
          <w:color w:val="auto"/>
        </w:rPr>
        <w:t>XR tablet (40 mg) under fasted conditions yielded exposure above 13.8 ng/mL by the two-hour timepoint and maintained this exposure for at least an additional 28 hours. The overall exposure was not affected by food. The 24-hour area under the curve (AUC</w:t>
      </w:r>
      <w:r>
        <w:rPr>
          <w:rFonts w:ascii="Arial" w:cs="Arial" w:eastAsia="Arial" w:hAnsi="Arial"/>
          <w:sz w:val="21"/>
          <w:szCs w:val="21"/>
          <w:color w:val="auto"/>
          <w:vertAlign w:val="subscript"/>
        </w:rPr>
        <w:t>24h</w:t>
      </w:r>
      <w:r>
        <w:rPr>
          <w:rFonts w:ascii="Arial" w:cs="Arial" w:eastAsia="Arial" w:hAnsi="Arial"/>
          <w:sz w:val="16"/>
          <w:szCs w:val="16"/>
          <w:color w:val="auto"/>
        </w:rPr>
        <w:t>) exposure of deucrictibant using deucrictibant</w:t>
      </w:r>
    </w:p>
    <w:p>
      <w:pPr>
        <w:spacing w:after="0" w:line="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XR tablet (40 mg) is similar to that observed in Phase 1 studies with deucrictibant IR capsule dosed 20 mg twice a day with food (one of the doses used in the CHAPTER-1 prophylactic proof-of-concept study).</w:t>
      </w:r>
    </w:p>
    <w:p>
      <w:pPr>
        <w:spacing w:after="0" w:line="172" w:lineRule="exact"/>
        <w:rPr>
          <w:sz w:val="20"/>
          <w:szCs w:val="20"/>
          <w:color w:val="auto"/>
        </w:rPr>
      </w:pPr>
    </w:p>
    <w:p>
      <w:pPr>
        <w:ind w:right="220" w:firstLine="458"/>
        <w:spacing w:after="0" w:line="286" w:lineRule="auto"/>
        <w:rPr>
          <w:sz w:val="20"/>
          <w:szCs w:val="20"/>
          <w:color w:val="auto"/>
        </w:rPr>
      </w:pPr>
      <w:r>
        <w:rPr>
          <w:rFonts w:ascii="Arial" w:cs="Arial" w:eastAsia="Arial" w:hAnsi="Arial"/>
          <w:sz w:val="16"/>
          <w:szCs w:val="16"/>
          <w:color w:val="auto"/>
        </w:rPr>
        <w:t>The observed pharmacokinetic profile of the deucrictibant XR formulation is consistent with a true extended-release formulation designed to provide long-term exposure to deucrictibant. In particular, deucrictibant XR tablets appear to be suitable for once-daily dosing.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19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149225</wp:posOffset>
            </wp:positionV>
            <wp:extent cx="5314950" cy="31203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1495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PHA121-C201 (RAPIDe-1 On-Demand)</w:t>
      </w:r>
    </w:p>
    <w:p>
      <w:pPr>
        <w:spacing w:after="0" w:line="300"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The availability of an immediate-release softgel capsule formulation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deucrictibant softgel capsule provides similar pharmacokinetic profile as the solution formulation we used in Phase 1 trials and have now seen this also in humans from the C010 Phase 1 study.</w:t>
      </w:r>
    </w:p>
    <w:p>
      <w:pPr>
        <w:spacing w:after="0" w:line="70"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December 2022, we announced positive top-line data from RAPIDe-1, a Phase 2, double-blind, placebo-controlled, randomized, crossover, dose-ranging study of deucrictibant IR capsule for the on-demand treatment of HAE type 1 and type 2 (HAE-1/2) attacks. The study, initiated in February 2021, enrolled 74 patients across 13 countries who were randomized into one of three single dose levels of deucrictibant and placebo. The study compared symptom relief during HAE attacks and the safety of each dose of deucrictibant with placebo. In Part I of the study, participants in a non-attack state received the assigned single dose of deucrictibant IR capsule at the study center to assess its pharmacokinetics and safety. In Part II, participants self-administered blinded study drug at home to treat three physician-confirmed HAE attacks with deucrictibant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193040</wp:posOffset>
            </wp:positionV>
            <wp:extent cx="6223635" cy="1937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23635" cy="193738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20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80645</wp:posOffset>
            </wp:positionV>
            <wp:extent cx="6086475" cy="3351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8647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primary endpoint of the study is the change of a three-symptom composite (skin pain, skin swelling, abdominal pain) visual analogue scale (VAS-</w:t>
      </w:r>
    </w:p>
    <w:p>
      <w:pPr>
        <w:spacing w:after="0" w:line="21" w:lineRule="exact"/>
        <w:rPr>
          <w:sz w:val="20"/>
          <w:szCs w:val="20"/>
          <w:color w:val="auto"/>
        </w:rPr>
      </w:pPr>
    </w:p>
    <w:p>
      <w:pPr>
        <w:ind w:right="420" w:firstLine="8"/>
        <w:spacing w:after="0" w:line="265" w:lineRule="auto"/>
        <w:tabs>
          <w:tab w:leader="none" w:pos="1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score from pre-treatment to four hours post-treatment, as captured electronically using numerically assisted input. The top-line data from 147 attacks collected by 62 participants show that all three dose levels of deucrictibant significantly reduce attack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186690</wp:posOffset>
            </wp:positionV>
            <wp:extent cx="3437255" cy="257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3725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*VAS assessed every 30 minutes up to 4 hours post-treatment, then at 5, 6, 8, 24, 48 hours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21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80645</wp:posOffset>
            </wp:positionV>
            <wp:extent cx="5880735" cy="22885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8073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Composite and individual VAS-3, mean symptom complex severity, or MSCS, and treatment outcome score, or TOS, were assessed up to 48-hours post-dose. All key secondary endpoints in the study were met, demonstrating that deucrictibant significantly shortens the time to onset of symptom relief by a ≥30% reduction in VAS-3 score from the pre-treatment score, decreases time to a ≥50% reduction in VAS-3 score from the pre-treatment score, reduces time to almost complete or complete symptom relief by VAS-3, reduces the MSCS score from pre-treatment to four hours post-treatment, and improves the TOS at four hours post-treatment. All other secondary endpoints were met. Participants on deucrictibant also used substantially less rescue medication compared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244475</wp:posOffset>
            </wp:positionV>
            <wp:extent cx="6086475" cy="3060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8647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22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80645</wp:posOffset>
            </wp:positionV>
            <wp:extent cx="6000750" cy="4980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00750" cy="498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Deucrictibant was generally well tolerated with no treatment-related serious adverse events and no adverse events leading to treatment discontinuation. In the non-attack phase, two treatment-related adverse events were experienced by two patients; in the attack treatment phase, three treatment-related adverse events were reported for one attack treated with deucrictibant 30mg (2.8%) and one treatment-related adverse event was reported for one attack treated with placebo (1.9%).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23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80645</wp:posOffset>
            </wp:positionV>
            <wp:extent cx="6009005" cy="40373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09005"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PHA121-C301 (CHAPTER-1 prophylaxis)</w:t>
      </w:r>
    </w:p>
    <w:p>
      <w:pPr>
        <w:spacing w:after="0" w:line="260"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PHA022121-C301 is a double-blind, placebo-controlled Phase 2 study evaluating the efficacy as well as the safety and tolerability of deucrictibant for long-term prophylaxis against angioedema attacks in HAE-1/2. In the study, 34 participants were enrolled globally and randomized to receive one of two doses of deucrictibant (20 mg/day or 40 mg/day) or placebo for 12 weeks of treatment. Deucrictibant immediate-release capsule was dosed twice-a-day as a proof-of-concept for the once-daily deucrictibant extended-release tablet, which is the intended formulation for the prophylactic treatment of HAE. The open-label portion of the CHAPTER-1 study is ongoing at the 40 mg/day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123190</wp:posOffset>
            </wp:positionV>
            <wp:extent cx="6000750" cy="1062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0075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24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80645</wp:posOffset>
            </wp:positionV>
            <wp:extent cx="5966460" cy="258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The study’s primary endpoint measured the time-normalized number of investigator-confirmed HAE attacks during the treatment period. The monthly attack rate was reduced by 84.5% (p=0.0008) compared to placebo in participants who received 40 mg/day deucrictibant. In the analysis of the secondary endpoints, deucrictibant demonstrated clinically meaningful improvement in the severity of attacks (92.3% reduction in occurrence of moderate and severe attacks) and a decrease in the number of attacks treated with on-demand medication (92.6% fewer attacks treated with on-demand medication). Participants on deucrictibant treatment also experienced a meaningful improvement in their quality of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174625</wp:posOffset>
            </wp:positionV>
            <wp:extent cx="6137910" cy="2348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3791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 mg/day = deucrictibant immediate-release (IR) capsules 10 mg twice daily; †40 mg/day = deucrictibant IR capsules 20 mg twice daily.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717188"/>
          <w:vertAlign w:val="superscript"/>
        </w:rPr>
        <w:t>†</w:t>
      </w:r>
      <w:r>
        <w:rPr>
          <w:rFonts w:ascii="Arial" w:cs="Arial" w:eastAsia="Arial" w:hAnsi="Arial"/>
          <w:sz w:val="14"/>
          <w:szCs w:val="14"/>
          <w:color w:val="717188"/>
        </w:rPr>
        <w:t xml:space="preserve">40 mg/day = deucrictibant IR capsules 20 mg twice daily; </w:t>
      </w:r>
      <w:r>
        <w:rPr>
          <w:rFonts w:ascii="Arial" w:cs="Arial" w:eastAsia="Arial" w:hAnsi="Arial"/>
          <w:sz w:val="19"/>
          <w:szCs w:val="19"/>
          <w:color w:val="717188"/>
          <w:vertAlign w:val="superscript"/>
        </w:rPr>
        <w:t>‡</w:t>
      </w:r>
      <w:r>
        <w:rPr>
          <w:rFonts w:ascii="Arial" w:cs="Arial" w:eastAsia="Arial" w:hAnsi="Arial"/>
          <w:sz w:val="14"/>
          <w:szCs w:val="14"/>
          <w:color w:val="717188"/>
        </w:rPr>
        <w:t>Based on time-normalized number of attacks per 4 weeks.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25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217805</wp:posOffset>
            </wp:positionV>
            <wp:extent cx="6026150" cy="2442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2615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 mg/day = deucrictibant immediate-release (IR) capsules 10 mg twice daily; †40 mg/day = deucrictibant IR capsules 20 mg twice daily.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717188"/>
          <w:vertAlign w:val="superscript"/>
        </w:rPr>
        <w:t>†</w:t>
      </w:r>
      <w:r>
        <w:rPr>
          <w:rFonts w:ascii="Arial" w:cs="Arial" w:eastAsia="Arial" w:hAnsi="Arial"/>
          <w:sz w:val="14"/>
          <w:szCs w:val="14"/>
          <w:color w:val="717188"/>
        </w:rPr>
        <w:t xml:space="preserve">40 mg/day = deucrictibant IR capsules 20 mg twice daily; </w:t>
      </w:r>
      <w:r>
        <w:rPr>
          <w:rFonts w:ascii="Arial" w:cs="Arial" w:eastAsia="Arial" w:hAnsi="Arial"/>
          <w:sz w:val="19"/>
          <w:szCs w:val="19"/>
          <w:color w:val="717188"/>
          <w:vertAlign w:val="superscript"/>
        </w:rPr>
        <w:t>‡</w:t>
      </w:r>
      <w:r>
        <w:rPr>
          <w:rFonts w:ascii="Arial" w:cs="Arial" w:eastAsia="Arial" w:hAnsi="Arial"/>
          <w:sz w:val="14"/>
          <w:szCs w:val="14"/>
          <w:color w:val="717188"/>
        </w:rPr>
        <w:t>Based on time-normalized number of attacks per 4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147955</wp:posOffset>
            </wp:positionV>
            <wp:extent cx="6086475" cy="24777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8647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*20 mg/day = deucrictibant immediate-release (IR) capsules 10 mg twice daily; †40 mg/day = deucrictibant IR capsules 20 mg twice daily.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†40 mg/day = deucrictibant IR capsules 20 mg twice daily; ‡Based on time-normalized number of attacks per 4 weeks.</w:t>
      </w:r>
    </w:p>
    <w:p>
      <w:pPr>
        <w:spacing w:after="0" w:line="50"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Throughout 12 weeks of treatment in CHAPTER-1, both dose regimens of deucrictibant (20 mg/day and 40 mg/day) were well-tolerated. There were no serious adverse events, no severe treatment-emergent adverse events, and no adverse events leading to treatment discontinuation.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26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80645</wp:posOffset>
            </wp:positionV>
            <wp:extent cx="5983605" cy="2263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8360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Development Path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develop deucrictibant for on-demand and prophylactic indications in parallel using two different product formulations.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On-Demand</w:t>
      </w:r>
    </w:p>
    <w:p>
      <w:pPr>
        <w:spacing w:after="0" w:line="111"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The availability of an immediate-release softgel capsule formulation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administration of deucrictibant in a capsule provides the same pharmacokinetic profile as the solution formulation we used in Phase 1 trials and have now seen this also in humans from the C010 Phase 1 study and in patients from the C201 Phase 2 study.</w:t>
      </w:r>
    </w:p>
    <w:p>
      <w:pPr>
        <w:spacing w:after="0" w:line="72"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Based on the positive results of the primary analysis of RAPIDe-1, we have initiated the confirmatory global Phase 3 trial RAPIDe-3 of deucrictibant for the on-demand treatment of HAE attacks. In addition, we also initiated an open-label extension study in the on-demand setting with both RAPIDe-1 and RAPIDe-3 subjects to collect long-time safety and efficacy data.</w:t>
      </w:r>
    </w:p>
    <w:p>
      <w:pPr>
        <w:spacing w:after="0" w:line="63"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In March 2024, Pharvaris initiated a global, pivotal, randomized, double-blind-placebo-controlled Phase 3 study of orally administered deucrictibant IR capsule (20 mg) for the on-demand treatment of HAE attacks in adults and adolescents (12 years and older). The company intends to enroll approximately 120 participants. The primary efficacy endpoint is time to onset of symptom relief, as measured by Patient Global Impression of Change (PGI-C) rating of at least “a little better” for two consecutive timepoints within 12 hours post-treatment. Other efficacy endpoints include time to End of Progression (EoP) in attack symptoms, substantial symptom relief, complete attack resolution and proportion of attacks achieving symptom resolution with one dose of deucrictibant as measured by Patient Global Impression of Severity (PGI-S) and by Angioedema Symptom Rating Scale (AMRA).</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Prophylaxis Trials</w:t>
      </w:r>
    </w:p>
    <w:p>
      <w:pPr>
        <w:spacing w:after="0" w:line="111" w:lineRule="exact"/>
        <w:rPr>
          <w:sz w:val="20"/>
          <w:szCs w:val="20"/>
          <w:color w:val="auto"/>
        </w:rPr>
      </w:pPr>
    </w:p>
    <w:p>
      <w:pPr>
        <w:ind w:right="300" w:firstLine="458"/>
        <w:spacing w:after="0" w:line="286" w:lineRule="auto"/>
        <w:rPr>
          <w:sz w:val="20"/>
          <w:szCs w:val="20"/>
          <w:color w:val="auto"/>
        </w:rPr>
      </w:pPr>
      <w:r>
        <w:rPr>
          <w:rFonts w:ascii="Arial" w:cs="Arial" w:eastAsia="Arial" w:hAnsi="Arial"/>
          <w:sz w:val="16"/>
          <w:szCs w:val="16"/>
          <w:color w:val="auto"/>
        </w:rPr>
        <w:t>Currently there is no bradykinin B2 receptor antagonist available for HAE prophylaxis. Icatibant has a very short half-life and would require multiple injections each day, making it generally unsuitable for prophylactic use, especially with injection site pain reported for most patients.</w:t>
      </w:r>
    </w:p>
    <w:p>
      <w:pPr>
        <w:spacing w:after="0" w:line="48"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Unlike on-demand use, prophylaxis requires maintenance of drug concentration over long periods of time and rapid absorption is unnecessary. In order to project a potential dose for use in prophylactic trials using our projected dose from the bradykinin challenge model (a single dose prevention model), we relied on a similar acute-to-prophylactic extrapolation utilized for products in the plasma kallikrein inhibitor field. Ecallantide is a polypeptide inhibitor of plasma kallikrein used for treatment of attacks. Similar to icatibant, the short half-life of ecallantide makes it generally unsuitable for use in prophylaxis.</w:t>
      </w:r>
    </w:p>
    <w:p>
      <w:pPr>
        <w:spacing w:after="0" w:line="70"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Lanadelumab-flyo is a monoclonal antibody with the same target as ecallantide but with higher potency and longer half-life. Lanadelumab-flyo is used for prevention of attacks. Clinical trials and published literature correlate the steady-state concentrations of lanadelumab-flyo (relative to its EC50) to the observed prophylactic control of attacks. Based on the observed potency of deucrictibant in the bradykinin challenge, we believe we can utilize a similar concentration-above-EC50/EC85 approach to predict the required exposure of deucrictibant to control attacks prophylactically.</w:t>
      </w:r>
    </w:p>
    <w:p>
      <w:pPr>
        <w:spacing w:after="0" w:line="70"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In addition to the RAPIDe-1 on-demand trial, we also conducted a clinical trial of deucrictibant XR tablets to evaluate the effectiveness and safety profile for prophylaxis with bradykinin B2 receptor-inhibition. In our CHAPTER-1 Phase 2 clinical trial, we aimed to achieve the concentrations desired for prophylactic activity with twice-daily dosing of the deucrictibant IR capsules. The trial included an evaluation of HAE patients randomized to placebo or active doses for a 12-week period for prophylactic treatment and demonstrated that the monthly attack rate was reduced by 84.5% compared to placebo in patients who received 40 mg/day deucrictibant. Patients on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27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deucrictibant treatment also experienced a statistically and clinically meaningful improvement for all secondary endpoints and their quality of life.</w:t>
      </w:r>
    </w:p>
    <w:p>
      <w:pPr>
        <w:spacing w:after="0" w:line="113" w:lineRule="exact"/>
        <w:rPr>
          <w:sz w:val="20"/>
          <w:szCs w:val="20"/>
          <w:color w:val="auto"/>
        </w:rPr>
      </w:pPr>
    </w:p>
    <w:p>
      <w:pPr>
        <w:ind w:right="500" w:firstLine="458"/>
        <w:spacing w:after="0" w:line="286" w:lineRule="auto"/>
        <w:rPr>
          <w:sz w:val="20"/>
          <w:szCs w:val="20"/>
          <w:color w:val="auto"/>
        </w:rPr>
      </w:pPr>
      <w:r>
        <w:rPr>
          <w:rFonts w:ascii="Arial" w:cs="Arial" w:eastAsia="Arial" w:hAnsi="Arial"/>
          <w:sz w:val="16"/>
          <w:szCs w:val="16"/>
          <w:color w:val="auto"/>
        </w:rPr>
        <w:t>Based on the positive results of the primary analysis of CHAPTER-1, we have initiated the confirmatory global Phase 3 trial CHAPTER-3 for the efficacy and safety evaluation of deucrictibant, as described below, in prophylactic treatment of HAE.</w:t>
      </w:r>
    </w:p>
    <w:p>
      <w:pPr>
        <w:spacing w:after="0" w:line="4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order to provide a differentiated product featuring more consistent exposure of deucrictibant for the prophylactic setting, we have developed an extended-release, or XR, formulation that features continuous slow release maintaining deucrictibant concentrations above the levels we predict to provide protection against attacks. Deucrictibant has demonstrated properties favorable to the development of XR formulations, and we completed several human pharmacokinetics trials with deucrictibant to enable use of this product candidate in the pivotal prophylactic trial CHAPTER-3. With the results of pharmacokinetic trials with XR formulations, we believe we have identified an extended-release formulation of deucrictibant that enables once-daily dosing in a prophylactic setting.</w:t>
      </w:r>
    </w:p>
    <w:p>
      <w:pPr>
        <w:spacing w:after="0" w:line="74"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In December 2024, Pharvaris initiated a global, pivotal, randomized, double-blind, placebo-controlled Phase 3 study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currently the intended commercial dosage, or placebo, once daily for 24 weeks. The primary endpoint of the study is to evaluate the efficacy of deucrictibant compared to placebo for prophylaxis against angioedema attacks as measured by the time-normalized number of investigator-confirmed HAE attacks during the 24-week treatment period. Other objectives of the study include evaluating additional clinically relevant outcomes, deucrictibant’s safety and tolerability, pharmacokinetics and its impact on health-related quality of life measures in the prophylactic setting.</w:t>
      </w:r>
    </w:p>
    <w:p>
      <w:pPr>
        <w:spacing w:after="0" w:line="73" w:lineRule="exact"/>
        <w:rPr>
          <w:sz w:val="20"/>
          <w:szCs w:val="20"/>
          <w:color w:val="auto"/>
        </w:rPr>
      </w:pPr>
    </w:p>
    <w:p>
      <w:pPr>
        <w:ind w:right="20" w:firstLine="503"/>
        <w:spacing w:after="0" w:line="266" w:lineRule="auto"/>
        <w:rPr>
          <w:sz w:val="20"/>
          <w:szCs w:val="20"/>
          <w:color w:val="auto"/>
        </w:rPr>
      </w:pPr>
      <w:r>
        <w:rPr>
          <w:rFonts w:ascii="Arial" w:cs="Arial" w:eastAsia="Arial" w:hAnsi="Arial"/>
          <w:sz w:val="16"/>
          <w:szCs w:val="16"/>
          <w:color w:val="auto"/>
        </w:rPr>
        <w:t>In addition, we also plan to run an open-label extension study, CHAPTER-4, in the prophylactic setting which will include participants from the CHAPTER-1 open-label extension, participants who have completed the randomized Phase 3 study, CHAPTER-3, and novel participants to collect long-time safety and efficacy data.</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Intellectual Property</w:t>
      </w:r>
    </w:p>
    <w:p>
      <w:pPr>
        <w:spacing w:after="0" w:line="113"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74"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As of December 31, 2024, we own three U.S. patents and 134 national/regional patents, including in Australia, India, Indonesia, Japan, Mexico, South Korea, France, Germany, Italy, Netherlands, Spain and United Kingdom, that expire on November 23, 2038 or later, and 92 pending patent applications worldwide, including 8 pending U.S. applications, 84 pending non-U.S. applications, including applications in China, Europe and Japan. The U.S. patents, 91 national/regional patents and 14 of our pending patent applications contain composition-of-matter claims to the deucrictibant small molecule and derivatives thereof; deucrictibant is the active pharmaceutical ingredient (API) in, and therefore extends our patents/patent applications to, our deucrictibant product candidates. Each such patent application can generally be categorized into one of three patent families: (1) those relating to the novel bradykinin B2 receptor antagonists, (2) those relating to the cyclic bradykinin B2 receptor antagonists, and (3) those relating to the new cyclic bradykinin B2 receptor antagonists. 10 of our pending applications contain claims directed to the use of deucrictibant in on- demand treatment of HAE and in prophylaxis for HAE and accordingly extend the patent applications to methods of use of the deucrictibant product candidates. 42 granted national/regional patents and 21 of our pending patent applications contain claims directed to the formulation of our IR product candidate. Two of our applications that are pending in the U.S. and Europe contain claims directed to the crystal form of the API. 45 pending national/regional patent applications are directly or indirectly directed to the formulation of our deucrictibant XR product candidate and its use in chronic or prophylactic treatment of HAE.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be issued or that we will benefit from any patent term extension or favorable adjustment to the term of any patents that may be issued in the future.</w:t>
      </w:r>
    </w:p>
    <w:p>
      <w:pPr>
        <w:spacing w:after="0" w:line="7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w:t>
      </w:r>
    </w:p>
    <w:p>
      <w:pPr>
        <w:spacing w:after="0" w:line="74" w:lineRule="exact"/>
        <w:rPr>
          <w:sz w:val="20"/>
          <w:szCs w:val="20"/>
          <w:color w:val="auto"/>
        </w:rPr>
      </w:pPr>
    </w:p>
    <w:p>
      <w:pPr>
        <w:ind w:right="400" w:firstLine="458"/>
        <w:spacing w:after="0" w:line="256" w:lineRule="auto"/>
        <w:rPr>
          <w:sz w:val="20"/>
          <w:szCs w:val="20"/>
          <w:color w:val="auto"/>
        </w:rPr>
      </w:pPr>
      <w:r>
        <w:rPr>
          <w:rFonts w:ascii="Arial" w:cs="Arial" w:eastAsia="Arial" w:hAnsi="Arial"/>
          <w:sz w:val="16"/>
          <w:szCs w:val="16"/>
          <w:color w:val="auto"/>
        </w:rPr>
        <w:t>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28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and when our product candidates receive approval from the FDA or foreign regulatory authorities, we expect to apply for patent term extensions on issued patents we may obtain in the future covering deucrictibant, depending upon the length of the clinical trials for each product and other factors.</w:t>
      </w:r>
    </w:p>
    <w:p>
      <w:pPr>
        <w:spacing w:after="0" w:line="48"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“ITEM 3. Risk factors—Risks Related to Our Intellectual Property.”</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License Agreement</w:t>
      </w:r>
    </w:p>
    <w:p>
      <w:pPr>
        <w:spacing w:after="0" w:line="113"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On March 31, 2016, we entered into a license agreement (the "BRAIN License"), and a research agreement with BRAIN to collaborate for the development of an orally available bradykinin B2 receptor antagonist. Pursuant to the BRAIN License, we acquired a worldwide, exclusive license from BRAIN to use (i) a certain proprietary substance class of bradykinin B2 receptor antagonists with the potential of oral activity ("OB2RA"), and (ii) any derivatives, improvements, analogs, isomers, metabolites, or conjugates therefrom (together, the "OB2RA Class"), in each case, for the purpose of developing, manufacturing and marketing compounds on a global basis from the OB2RA Class for the treatment of, among others, hereditary angioedema. Certain rights associated with deucrictibant, IR and XR are subject to the BRAIN License. In consideration for the license, we paid BRAIN a non-refundable up-front payment of approximately €0.3 million.</w:t>
      </w:r>
    </w:p>
    <w:p>
      <w:pPr>
        <w:spacing w:after="0" w:line="18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Under the BRAIN License, we are required to make one-time payments in an aggregate amount of up to €11.7 million upon the achievement of certain development, regulatory, and sales milestones. To date, we have paid an aggregate amount of approximately €2.7 million (approximately €0.3 million up-front plus €2.4 million in milestone payments). Under the BRAIN License, up to €9.0 million in aggregate potential milestone payments remain outstanding. In addition, we will be required to pay low to medium single-digit tiered royalties on direct or indirect net sales of licensed products. The royalties that we are required to pay under this agreement may be reduced on a country-by-country and product-by-product basis if sales of a generic version of a product account for 1% or more of the relevant market.</w:t>
      </w:r>
    </w:p>
    <w:p>
      <w:pPr>
        <w:spacing w:after="0" w:line="182"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Our agreement with BRAIN will expire, on a product-by-product basis, upon (i) with respect to a royalty-bearing product, the expiry of the last valid claim of a royalty-bearing patent that claims such royalty-bearing product, and (ii) with respect to a licensed product that is not royalty-bearing, the expiry of the last valid claim of a non-royalty-bearing patent that claims such licensed product. Royalty-bearing patents comprise US Patent No. 10.836,748 and any patent or patent application that shares common priority with such patent. Each of deucrictibant, IR and XR is a royalty-bearing product. Not accounting for any regulatory extension or terminal disclaimers, and assuming that all annuity and/ 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 to the compounds that form the object of the collaboration with BRAIN. If BRAIN were to (a) terminate the BRAIN License for cause and (b) exercise contractual remedies available to it thereunder, then we could be required to grant to BRAIN an exclusive worldwide license to our intellectual property generated under the collaboration with BRAIN for use in all applications, including HAE. In addition, we could be prevented from competing with BRAIN until five years after the commercial launch of any product containing a compound from the OB2RA Class.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Manufacturing and Supply</w:t>
      </w:r>
    </w:p>
    <w:p>
      <w:pPr>
        <w:spacing w:after="0" w:line="113"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We currently have two CDMOs for the production of deucrictibant API. A robust and scalable synthetic route has been established. All raw materials can be purchased from multiple suppliers. We also partner with a leading CDMO for the manufacturing of the on-demand treatment product, deucrictibant IR capsules. Another well-established CDMO produces the prophylactic treatment product, deucrictibant XR tablets. A further CDMO with a global footprint is responsible for packaging and worldwide distribution of Clinical Trial Material.</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Sales and Marketing</w:t>
      </w:r>
    </w:p>
    <w:p>
      <w:pPr>
        <w:spacing w:after="0" w:line="113"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The Pharvaris team, including its founders, have experience developing and commercializing drug products for rare diseases including HAE specifically. We intend to develop a fully integrated sales and marketing organization ahead of marketing approval for deucrictibant IR or deucrictibant XR. Even though HAE is a competitive market, orphan product companies have demonstrated successful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29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first launches with excellent preparation and execution. We believe that our products will provide patients with significant new treatment options, and we will evaluate options to optimize the commercial opportunity.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Currently, there are several licensed therapies for HAE, including the following:</w:t>
      </w:r>
    </w:p>
    <w:p>
      <w:pPr>
        <w:spacing w:after="0" w:line="113" w:lineRule="exact"/>
        <w:rPr>
          <w:sz w:val="20"/>
          <w:szCs w:val="20"/>
          <w:color w:val="auto"/>
        </w:rPr>
      </w:pPr>
    </w:p>
    <w:p>
      <w:pPr>
        <w:ind w:left="900" w:right="260" w:hanging="428"/>
        <w:spacing w:after="0" w:line="266"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FIRAZYR</w:t>
      </w:r>
      <w:r>
        <w:rPr>
          <w:rFonts w:ascii="Arial" w:cs="Arial" w:eastAsia="Arial" w:hAnsi="Arial"/>
          <w:sz w:val="16"/>
          <w:szCs w:val="16"/>
          <w:color w:val="auto"/>
        </w:rPr>
        <w:t>: The bradykinin BR2 receptor antagonist FIRAZYR (icatibant) is approved by the FDA in the U.S. and by regulators globally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acute attacks and is administered by subcutaneous administration. Seven generic forms of icatibant have been approved in the U.S. since July 2019 and more may be approved in the future.</w:t>
      </w:r>
    </w:p>
    <w:p>
      <w:pPr>
        <w:spacing w:after="0" w:line="62" w:lineRule="exact"/>
        <w:rPr>
          <w:rFonts w:ascii="Times New Roman" w:cs="Times New Roman" w:eastAsia="Times New Roman" w:hAnsi="Times New Roman"/>
          <w:sz w:val="16"/>
          <w:szCs w:val="16"/>
          <w:color w:val="auto"/>
        </w:rPr>
      </w:pPr>
    </w:p>
    <w:p>
      <w:pPr>
        <w:ind w:left="900" w:right="200" w:hanging="428"/>
        <w:spacing w:after="0" w:line="266"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C1-INH</w:t>
      </w:r>
      <w:r>
        <w:rPr>
          <w:rFonts w:ascii="Arial" w:cs="Arial" w:eastAsia="Arial" w:hAnsi="Arial"/>
          <w:sz w:val="16"/>
          <w:szCs w:val="16"/>
          <w:color w:val="auto"/>
        </w:rPr>
        <w:t>: C1-INH replacement therapy is available in the U.S. and globally as an acute therapy (BERINERT, CINRYZE, and CETOR)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prophylactic therapy (HAEGARDA/BERINERT 2000/3000 and CINRYZE). These therapies are dosed subcutaneously and intravenously. Recombinant C1-INH (RUCONEST) is also available in the U.S. and in Europe as an acute therapy.</w:t>
      </w:r>
    </w:p>
    <w:p>
      <w:pPr>
        <w:spacing w:after="0" w:line="62" w:lineRule="exact"/>
        <w:rPr>
          <w:rFonts w:ascii="Times New Roman" w:cs="Times New Roman" w:eastAsia="Times New Roman" w:hAnsi="Times New Roman"/>
          <w:sz w:val="16"/>
          <w:szCs w:val="16"/>
          <w:color w:val="auto"/>
        </w:rPr>
      </w:pPr>
    </w:p>
    <w:p>
      <w:pPr>
        <w:ind w:left="900" w:right="160" w:hanging="428"/>
        <w:spacing w:after="0" w:line="259"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Kallikrein Inhibitors</w:t>
      </w:r>
      <w:r>
        <w:rPr>
          <w:rFonts w:ascii="Arial" w:cs="Arial" w:eastAsia="Arial" w:hAnsi="Arial"/>
          <w:sz w:val="16"/>
          <w:szCs w:val="16"/>
          <w:color w:val="auto"/>
        </w:rPr>
        <w:t>: KALBITOR (ecallantide) is a specific recombinant plasma kallikrein inhibitor that is dosed subcutaneously by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in the U.S. to treat acute HAE attacks. TAKHZYRO (lanadelumab-flyo) is a monoclonal antibody approved in the U.S. and a growing number of countries for prophylaxis of HAE attacks and can be self-administered as a subcutaneous injection. ORLADEYO (berotralstat) is a kallikrein inhibitor that was approved in the U.S. in the fourth quarter of 2020 and is dosed orally once daily for the prevention of HAE attacks.</w:t>
      </w:r>
    </w:p>
    <w:p>
      <w:pPr>
        <w:spacing w:after="0" w:line="69" w:lineRule="exact"/>
        <w:rPr>
          <w:rFonts w:ascii="Times New Roman" w:cs="Times New Roman" w:eastAsia="Times New Roman" w:hAnsi="Times New Roman"/>
          <w:sz w:val="16"/>
          <w:szCs w:val="16"/>
          <w:color w:val="auto"/>
        </w:rPr>
      </w:pPr>
    </w:p>
    <w:p>
      <w:pPr>
        <w:ind w:left="900" w:right="240" w:hanging="428"/>
        <w:spacing w:after="0" w:line="285"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u w:val="single" w:color="auto"/>
          <w:color w:val="auto"/>
        </w:rPr>
        <w:t>Anti-factor XIIa mAb:</w:t>
      </w:r>
      <w:r>
        <w:rPr>
          <w:rFonts w:ascii="Arial" w:cs="Arial" w:eastAsia="Arial" w:hAnsi="Arial"/>
          <w:sz w:val="16"/>
          <w:szCs w:val="16"/>
          <w:i w:val="1"/>
          <w:iCs w:val="1"/>
          <w:color w:val="auto"/>
        </w:rPr>
        <w:t xml:space="preserve"> </w:t>
      </w:r>
      <w:r>
        <w:rPr>
          <w:rFonts w:ascii="Arial" w:cs="Arial" w:eastAsia="Arial" w:hAnsi="Arial"/>
          <w:sz w:val="16"/>
          <w:szCs w:val="16"/>
          <w:color w:val="auto"/>
        </w:rPr>
        <w:t>ANDEMBRY (garadacimab) is an anti-factor XIIa mAb delivered subcutaneously and approved in Europe, Australia, the</w:t>
      </w:r>
      <w:r>
        <w:rPr>
          <w:rFonts w:ascii="Arial" w:cs="Arial" w:eastAsia="Arial" w:hAnsi="Arial"/>
          <w:sz w:val="16"/>
          <w:szCs w:val="16"/>
          <w:i w:val="1"/>
          <w:iCs w:val="1"/>
          <w:color w:val="auto"/>
        </w:rPr>
        <w:t xml:space="preserve"> </w:t>
      </w:r>
      <w:r>
        <w:rPr>
          <w:rFonts w:ascii="Arial" w:cs="Arial" w:eastAsia="Arial" w:hAnsi="Arial"/>
          <w:sz w:val="16"/>
          <w:szCs w:val="16"/>
          <w:color w:val="auto"/>
        </w:rPr>
        <w:t>UK and Japan for use as a prophylactic treatment.</w:t>
      </w:r>
    </w:p>
    <w:p>
      <w:pPr>
        <w:spacing w:after="0" w:line="48" w:lineRule="exact"/>
        <w:rPr>
          <w:rFonts w:ascii="Times New Roman" w:cs="Times New Roman" w:eastAsia="Times New Roman" w:hAnsi="Times New Roman"/>
          <w:sz w:val="16"/>
          <w:szCs w:val="16"/>
          <w:color w:val="auto"/>
        </w:rPr>
      </w:pPr>
    </w:p>
    <w:p>
      <w:pPr>
        <w:ind w:left="900" w:right="140" w:hanging="428"/>
        <w:spacing w:after="0" w:line="259"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Other Medications</w:t>
      </w:r>
      <w:r>
        <w:rPr>
          <w:rFonts w:ascii="Arial" w:cs="Arial" w:eastAsia="Arial" w:hAnsi="Arial"/>
          <w:sz w:val="16"/>
          <w:szCs w:val="16"/>
          <w:color w:val="auto"/>
        </w:rPr>
        <w:t>: Prophylactic administration of synthetic attenuated androgens (generically available as danazol or stanozolol)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77" w:lineRule="exact"/>
        <w:rPr>
          <w:sz w:val="20"/>
          <w:szCs w:val="20"/>
          <w:color w:val="auto"/>
        </w:rPr>
      </w:pPr>
    </w:p>
    <w:p>
      <w:pPr>
        <w:ind w:right="160" w:firstLine="458"/>
        <w:spacing w:after="0" w:line="256" w:lineRule="auto"/>
        <w:rPr>
          <w:sz w:val="20"/>
          <w:szCs w:val="20"/>
          <w:color w:val="auto"/>
        </w:rPr>
      </w:pPr>
      <w:r>
        <w:rPr>
          <w:rFonts w:ascii="Arial" w:cs="Arial" w:eastAsia="Arial" w:hAnsi="Arial"/>
          <w:sz w:val="16"/>
          <w:szCs w:val="16"/>
          <w:color w:val="auto"/>
        </w:rPr>
        <w:t>We are also aware of a number of HAE therapies in clinical development. Currently, there is one orally delivered plasma kallikrein inhibitor being developed clinically: Kalvista’s sebetralstat (KVD900) for acute treatment. In prophylaxis Ionis is developing donidalorsen, an antisense oligonucleotide inhibitor of prekallikrein for prophylactic treatment, which is delivered subcutaneously. Other products in development are STAR-0215 from Astria, a long-lived monoclonal antibody inhibitor of plasma kallikrein dosed subcutaneously, and a gene therapy – NTLA-2002 from Intellia, using CRISPR technology to knock out the gene for prekallikrein.</w:t>
      </w:r>
    </w:p>
    <w:p>
      <w:pPr>
        <w:spacing w:after="0" w:line="180"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113"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80"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nonclinical and clinical development paths for product candidates are broadly similar in the European Union and the United States.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30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Nonclinical Studies</w:t>
      </w:r>
    </w:p>
    <w:p>
      <w:pPr>
        <w:spacing w:after="0" w:line="11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 xml:space="preserve">Development of the product candidates starts with preclinical studies that enable the first-in-human clinical Phase I trial. The preclinical studies include tests for assessment of primary pharmacodynamics (the mode of action), secondary pharmacodynamics, safety pharmacology and general toxicity. Once in clinical development, additional nonclinical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are conducted until adequate proof of safety is established (e.g., animal testing for reproductive and general toxicity and carcinogenicity). The conduct of the nonclinical tests and formulation of the compounds for testing must comply with regulations and requirements set by the Competent Authorities, including compliance with GLP. Acceptance of the nonclinical study packages by regulatory agencies is necessary for the initiation and progression of the product candidate through Phase 1, Phase 2, and Phase 3 clinical trials.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Chemical and Pharmaceutical development</w:t>
      </w:r>
    </w:p>
    <w:p>
      <w:pPr>
        <w:spacing w:after="0" w:line="327"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Chemical Development entails the development of the laboratory synthesis of the Drug Substance into a scalable process meeting the requirements of reproducibility, robustness, efficiency, and process safety, to manufacture the Drug Substance in high quality. Laboratory tests are conducted to develop a suitable formulation for clinical use and marketing. Pharmaceutical development includes the development of a formulation of the API, stability testing, and a robust Drug Product manufacturing process. The conduct of Chemical and Pharmaceutical development must comply with regulations and requirements set by the Competent Authorities, including compliance with cGMP.</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Studies</w:t>
      </w:r>
    </w:p>
    <w:p>
      <w:pPr>
        <w:spacing w:after="0" w:line="111"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 the roles of clinical trial sponsors, administrators, and monitors; as well as (iii) 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81"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Prior to initiating clinical trials, a request for clinical trial authorization (national Competent Authorities in the European Union) or an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82" w:lineRule="exact"/>
        <w:rPr>
          <w:sz w:val="20"/>
          <w:szCs w:val="20"/>
          <w:color w:val="auto"/>
        </w:rPr>
      </w:pPr>
    </w:p>
    <w:p>
      <w:pPr>
        <w:ind w:right="320" w:firstLine="458"/>
        <w:spacing w:after="0" w:line="266" w:lineRule="auto"/>
        <w:rPr>
          <w:sz w:val="20"/>
          <w:szCs w:val="20"/>
          <w:color w:val="auto"/>
        </w:rPr>
      </w:pPr>
      <w:r>
        <w:rPr>
          <w:rFonts w:ascii="Arial" w:cs="Arial" w:eastAsia="Arial" w:hAnsi="Arial"/>
          <w:sz w:val="16"/>
          <w:szCs w:val="16"/>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71"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178" w:lineRule="exact"/>
        <w:rPr>
          <w:sz w:val="20"/>
          <w:szCs w:val="20"/>
          <w:color w:val="auto"/>
        </w:rPr>
      </w:pPr>
    </w:p>
    <w:p>
      <w:pPr>
        <w:ind w:right="240" w:firstLine="458"/>
        <w:spacing w:after="0" w:line="259" w:lineRule="auto"/>
        <w:rPr>
          <w:sz w:val="20"/>
          <w:szCs w:val="20"/>
          <w:color w:val="auto"/>
        </w:rPr>
      </w:pPr>
      <w:r>
        <w:rPr>
          <w:rFonts w:ascii="Arial" w:cs="Arial" w:eastAsia="Arial" w:hAnsi="Arial"/>
          <w:sz w:val="16"/>
          <w:szCs w:val="16"/>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 describes specific regulatory regimes and regulations applicable in certain jurisdictions.</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States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U.S. Food and Drug Administration</w:t>
      </w:r>
    </w:p>
    <w:p>
      <w:pPr>
        <w:spacing w:after="0" w:line="111"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In the United States, the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31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untitled letters, product recalls, product seizures, total or partial suspension of production or distribution, injunctions, fines, civil penalties, and criminal prosecution.</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The FDA Approval Process</w:t>
      </w:r>
    </w:p>
    <w:p>
      <w:pPr>
        <w:spacing w:after="0" w:line="111"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product candidate is usually into healthy 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85"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180" w:lineRule="exact"/>
        <w:rPr>
          <w:sz w:val="20"/>
          <w:szCs w:val="20"/>
          <w:color w:val="auto"/>
        </w:rPr>
      </w:pPr>
    </w:p>
    <w:p>
      <w:pPr>
        <w:ind w:right="120" w:firstLine="458"/>
        <w:spacing w:after="0" w:line="250" w:lineRule="auto"/>
        <w:rPr>
          <w:sz w:val="20"/>
          <w:szCs w:val="20"/>
          <w:color w:val="auto"/>
        </w:rPr>
      </w:pPr>
      <w:r>
        <w:rPr>
          <w:rFonts w:ascii="Arial" w:cs="Arial" w:eastAsia="Arial" w:hAnsi="Arial"/>
          <w:sz w:val="16"/>
          <w:szCs w:val="16"/>
          <w:color w:val="auto"/>
        </w:rPr>
        <w:t>The results of drug candidate development, nonclinical testing, clinical trials and proposed labeling are submitted to the FDA as part of the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89" w:lineRule="exact"/>
        <w:rPr>
          <w:sz w:val="20"/>
          <w:szCs w:val="20"/>
          <w:color w:val="auto"/>
        </w:rPr>
      </w:pPr>
    </w:p>
    <w:p>
      <w:pPr>
        <w:jc w:val="both"/>
        <w:ind w:right="100" w:firstLine="458"/>
        <w:spacing w:after="0" w:line="266" w:lineRule="auto"/>
        <w:rPr>
          <w:sz w:val="20"/>
          <w:szCs w:val="20"/>
          <w:color w:val="auto"/>
        </w:rPr>
      </w:pPr>
      <w:r>
        <w:rPr>
          <w:rFonts w:ascii="Arial" w:cs="Arial" w:eastAsia="Arial" w:hAnsi="Arial"/>
          <w:sz w:val="16"/>
          <w:szCs w:val="16"/>
          <w:color w:val="auto"/>
        </w:rPr>
        <w:t>The cost of preparing and submitting an NDA is substantial. The submission of most NDAs is additionally subject to a substantial application user fee payment to the FDA, and the manufacturer and/or sponsor under an approved NDA are also subject to certain annual program user fees. The FDA typically increases these fees annually.</w:t>
      </w:r>
    </w:p>
    <w:p>
      <w:pPr>
        <w:spacing w:after="0" w:line="17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from the 60-day filing date. The review process may be extended by the FDA for three additional months to consider certain late-submitted information, or information intended to clarify information already provided in the submission. This late-submitted information is typically requested by the FDA.</w:t>
      </w:r>
    </w:p>
    <w:p>
      <w:pPr>
        <w:spacing w:after="0" w:line="183" w:lineRule="exact"/>
        <w:rPr>
          <w:sz w:val="20"/>
          <w:szCs w:val="20"/>
          <w:color w:val="auto"/>
        </w:rPr>
      </w:pPr>
    </w:p>
    <w:p>
      <w:pPr>
        <w:ind w:right="200" w:firstLine="458"/>
        <w:spacing w:after="0" w:line="259" w:lineRule="auto"/>
        <w:rPr>
          <w:sz w:val="20"/>
          <w:szCs w:val="20"/>
          <w:color w:val="auto"/>
        </w:rPr>
      </w:pPr>
      <w:r>
        <w:rPr>
          <w:rFonts w:ascii="Arial" w:cs="Arial" w:eastAsia="Arial" w:hAnsi="Arial"/>
          <w:sz w:val="16"/>
          <w:szCs w:val="16"/>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the FDA, and provide recommendations, sometimes including whether the FDA should approve the application. The FDA is not bound by the recommendation of an Advisory Committee, but it generally follows such recommendations.</w:t>
      </w:r>
    </w:p>
    <w:p>
      <w:pPr>
        <w:spacing w:after="0" w:line="178"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7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nonclinical studies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32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71" w:lineRule="exact"/>
        <w:rPr>
          <w:sz w:val="20"/>
          <w:szCs w:val="20"/>
          <w:color w:val="auto"/>
        </w:rPr>
      </w:pPr>
    </w:p>
    <w:p>
      <w:pPr>
        <w:jc w:val="both"/>
        <w:ind w:right="20" w:firstLine="458"/>
        <w:spacing w:after="0" w:line="253"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is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Expedited Approval in the U.S.</w:t>
      </w:r>
    </w:p>
    <w:p>
      <w:pPr>
        <w:spacing w:after="0" w:line="111" w:lineRule="exact"/>
        <w:rPr>
          <w:sz w:val="20"/>
          <w:szCs w:val="20"/>
          <w:color w:val="auto"/>
        </w:rPr>
      </w:pPr>
    </w:p>
    <w:p>
      <w:pPr>
        <w:jc w:val="both"/>
        <w:ind w:right="40" w:firstLine="458"/>
        <w:spacing w:after="0" w:line="266" w:lineRule="auto"/>
        <w:rPr>
          <w:sz w:val="20"/>
          <w:szCs w:val="20"/>
          <w:color w:val="auto"/>
        </w:rPr>
      </w:pPr>
      <w:r>
        <w:rPr>
          <w:rFonts w:ascii="Arial" w:cs="Arial" w:eastAsia="Arial" w:hAnsi="Arial"/>
          <w:sz w:val="16"/>
          <w:szCs w:val="16"/>
          <w:color w:val="auto"/>
        </w:rPr>
        <w:t>The FDA has a number of programs that are intended to facilitate and expedite development and review of new drugs to address unmet medical need in the treatment of a serious or life-threatening condition. These are: Fast Track Designation, Breakthrough Therapy Designation, Accelerated Approval and Priority Review Designation.</w:t>
      </w:r>
    </w:p>
    <w:p>
      <w:pPr>
        <w:spacing w:after="0" w:line="171"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fast-track product can be eligible for priority review if supported by clinical data at the time of NDA submission. If the FDA determines that a fast-track product may be effective after preliminary evaluation of the NDA, it may consider reviewing portions of a marketing application before the sponsor submits the complete application. Fast Track Designation can be requested after the IND is first submitted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85"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89"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83"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post-approval trials with due diligence or the applicant disseminates false or misleading promotional materials related to the product.</w:t>
      </w:r>
    </w:p>
    <w:p>
      <w:pPr>
        <w:spacing w:after="0" w:line="17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from the 60-day filing date (as compared to within 10 months under standard review). The FDA determines whether an application qualifies for</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33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An orphan drug designation qualifies the manufacturer for certain tax credits and may lead to market exclusivity for seven years following the date of the drug’s approval by the FDA. The FDA provides that a drug 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82"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81" w:lineRule="exact"/>
        <w:rPr>
          <w:sz w:val="20"/>
          <w:szCs w:val="20"/>
          <w:color w:val="auto"/>
        </w:rPr>
      </w:pPr>
    </w:p>
    <w:p>
      <w:pPr>
        <w:jc w:val="both"/>
        <w:ind w:right="60" w:firstLine="458"/>
        <w:spacing w:after="0" w:line="266" w:lineRule="auto"/>
        <w:rPr>
          <w:sz w:val="20"/>
          <w:szCs w:val="20"/>
          <w:color w:val="auto"/>
        </w:rPr>
      </w:pPr>
      <w:r>
        <w:rPr>
          <w:rFonts w:ascii="Arial" w:cs="Arial" w:eastAsia="Arial" w:hAnsi="Arial"/>
          <w:sz w:val="16"/>
          <w:szCs w:val="16"/>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Post-Marketing Requirements</w:t>
      </w:r>
    </w:p>
    <w:p>
      <w:pPr>
        <w:spacing w:after="0" w:line="111"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7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81"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In addition, drug products manufactured or distributed pursuant to the FDA approvals, are subject to additional and continuing regulation by the FDA, including, among other things:</w:t>
      </w:r>
    </w:p>
    <w:p>
      <w:pPr>
        <w:spacing w:after="0" w:line="48" w:lineRule="exact"/>
        <w:rPr>
          <w:sz w:val="20"/>
          <w:szCs w:val="20"/>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record-keeping requirements;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adverse experiences associated with the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providing the FDA with updated safety and efficacy information;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 of drug samples;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notifying the FDA and gaining its approval of specified manufacturing or labeling changes;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drug establishment registration and drug listing requirements; and</w:t>
      </w:r>
    </w:p>
    <w:p>
      <w:pPr>
        <w:spacing w:after="0" w:line="125" w:lineRule="exact"/>
        <w:rPr>
          <w:rFonts w:ascii="Times New Roman" w:cs="Times New Roman" w:eastAsia="Times New Roman" w:hAnsi="Times New Roman"/>
          <w:sz w:val="16"/>
          <w:szCs w:val="16"/>
          <w:color w:val="auto"/>
        </w:rPr>
      </w:pPr>
    </w:p>
    <w:p>
      <w:pPr>
        <w:ind w:left="900" w:right="160" w:hanging="428"/>
        <w:spacing w:after="0" w:line="266" w:lineRule="auto"/>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70"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products. Accordingly, manufacturers must continue to spend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34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time, money and effort in the area of production, distribution and quality control to maintain compliance with cGMP and other aspects of regulatory compliance.</w:t>
      </w:r>
    </w:p>
    <w:p>
      <w:pPr>
        <w:spacing w:after="0" w:line="156"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0" w:lineRule="exact"/>
        <w:rPr>
          <w:sz w:val="20"/>
          <w:szCs w:val="20"/>
          <w:color w:val="auto"/>
        </w:rPr>
      </w:pPr>
    </w:p>
    <w:p>
      <w:pPr>
        <w:ind w:right="320" w:firstLine="458"/>
        <w:spacing w:after="0" w:line="256" w:lineRule="auto"/>
        <w:rPr>
          <w:sz w:val="20"/>
          <w:szCs w:val="20"/>
          <w:color w:val="auto"/>
        </w:rPr>
      </w:pPr>
      <w:r>
        <w:rPr>
          <w:rFonts w:ascii="Arial" w:cs="Arial" w:eastAsia="Arial" w:hAnsi="Arial"/>
          <w:sz w:val="16"/>
          <w:szCs w:val="16"/>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72" w:lineRule="exact"/>
        <w:rPr>
          <w:sz w:val="20"/>
          <w:szCs w:val="20"/>
          <w:color w:val="auto"/>
        </w:rPr>
      </w:pPr>
    </w:p>
    <w:p>
      <w:pPr>
        <w:ind w:left="900" w:hanging="428"/>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the commercialization or manufacturing of the drug, market withdrawals or recalls;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fines, warning letters or holds on post-approval clinical studies;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FDA refusal to approve pending NDAs or supplements to approved NDAs;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drug seizure or detention, or refusal to permit the import or export of drugs;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 the imposition of civil or criminal penalties.</w:t>
      </w:r>
    </w:p>
    <w:p>
      <w:pPr>
        <w:spacing w:after="0" w:line="234" w:lineRule="exact"/>
        <w:rPr>
          <w:sz w:val="20"/>
          <w:szCs w:val="20"/>
          <w:color w:val="auto"/>
        </w:rPr>
      </w:pPr>
    </w:p>
    <w:p>
      <w:pPr>
        <w:ind w:right="240" w:firstLine="458"/>
        <w:spacing w:after="0" w:line="256"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U.S. Patent Term Restoration</w:t>
      </w:r>
    </w:p>
    <w:p>
      <w:pPr>
        <w:spacing w:after="0" w:line="11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A patent claiming a new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Other U.S. Healthcare Laws and Compliance Requirements</w:t>
      </w:r>
    </w:p>
    <w:p>
      <w:pPr>
        <w:spacing w:after="0" w:line="11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w:t>
      </w:r>
      <w:r>
        <w:rPr>
          <w:rFonts w:ascii="Arial" w:cs="Arial" w:eastAsia="Arial" w:hAnsi="Arial"/>
          <w:sz w:val="16"/>
          <w:szCs w:val="16"/>
          <w:i w:val="1"/>
          <w:iCs w:val="1"/>
          <w:color w:val="auto"/>
        </w:rPr>
        <w:t>e.g., the</w:t>
      </w:r>
      <w:r>
        <w:rPr>
          <w:rFonts w:ascii="Arial" w:cs="Arial" w:eastAsia="Arial" w:hAnsi="Arial"/>
          <w:sz w:val="16"/>
          <w:szCs w:val="16"/>
          <w:color w:val="auto"/>
        </w:rPr>
        <w:t xml:space="preserve"> </w:t>
      </w:r>
      <w:r>
        <w:rPr>
          <w:rFonts w:ascii="Arial" w:cs="Arial" w:eastAsia="Arial" w:hAnsi="Arial"/>
          <w:sz w:val="16"/>
          <w:szCs w:val="16"/>
          <w:i w:val="1"/>
          <w:iCs w:val="1"/>
          <w:color w:val="auto"/>
        </w:rPr>
        <w:t>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federal and state healthcare laws and regulations, include, without limitation, the following:</w:t>
      </w:r>
    </w:p>
    <w:p>
      <w:pPr>
        <w:spacing w:after="0" w:line="113" w:lineRule="exact"/>
        <w:rPr>
          <w:sz w:val="20"/>
          <w:szCs w:val="20"/>
          <w:color w:val="auto"/>
        </w:rPr>
      </w:pPr>
    </w:p>
    <w:p>
      <w:pPr>
        <w:ind w:left="900" w:right="40" w:hanging="428"/>
        <w:spacing w:after="0" w:line="250"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The Patient Protection and Affordable Care Act, as amended by the Health Care and Education Reconciliation Act ("the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 xml:space="preserve"> consulting/speaking arrangements, discount and rebate offers, grants, charitable contributions, and patient support offerings, among others. A conviction for violation of the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35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900" w:right="40"/>
        <w:spacing w:after="0" w:line="252" w:lineRule="auto"/>
        <w:rPr>
          <w:sz w:val="20"/>
          <w:szCs w:val="20"/>
          <w:color w:val="auto"/>
        </w:rPr>
      </w:pPr>
      <w:r>
        <w:rPr>
          <w:rFonts w:ascii="Arial" w:cs="Arial" w:eastAsia="Arial" w:hAnsi="Arial"/>
          <w:sz w:val="16"/>
          <w:szCs w:val="16"/>
          <w:color w:val="auto"/>
        </w:rPr>
        <w:t>Anti-Kickback Statute can result in criminal fines and/or imprisonment and requires mandatory exclusion from participation in federal 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75" w:lineRule="exact"/>
        <w:rPr>
          <w:sz w:val="20"/>
          <w:szCs w:val="20"/>
          <w:color w:val="auto"/>
        </w:rPr>
      </w:pPr>
    </w:p>
    <w:p>
      <w:pPr>
        <w:ind w:left="900" w:hanging="428"/>
        <w:spacing w:after="0" w:line="249"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False Claims Act</w:t>
      </w:r>
      <w:r>
        <w:rPr>
          <w:rFonts w:ascii="Arial" w:cs="Arial" w:eastAsia="Arial" w:hAnsi="Arial"/>
          <w:sz w:val="16"/>
          <w:szCs w:val="16"/>
          <w:color w:val="auto"/>
        </w:rPr>
        <w:t>—Imposes civil penalties, including through civil whistleblower or</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actions, against individuals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77" w:lineRule="exact"/>
        <w:rPr>
          <w:rFonts w:ascii="Times New Roman" w:cs="Times New Roman" w:eastAsia="Times New Roman" w:hAnsi="Times New Roman"/>
          <w:sz w:val="16"/>
          <w:szCs w:val="16"/>
          <w:color w:val="auto"/>
        </w:rPr>
      </w:pPr>
    </w:p>
    <w:p>
      <w:pPr>
        <w:ind w:left="900" w:right="80" w:hanging="428"/>
        <w:spacing w:after="0" w:line="259"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Criminal Statute on False Statements Relating to Health Care Matters</w:t>
      </w:r>
      <w:r>
        <w:rPr>
          <w:rFonts w:ascii="Arial" w:cs="Arial" w:eastAsia="Arial" w:hAnsi="Arial"/>
          <w:sz w:val="16"/>
          <w:szCs w:val="16"/>
          <w:color w:val="auto"/>
        </w:rPr>
        <w:t>—Makes it a crime to knowingly and willfully falsify, conceal,</w:t>
      </w:r>
      <w:r>
        <w:rPr>
          <w:rFonts w:ascii="Arial" w:cs="Arial" w:eastAsia="Arial" w:hAnsi="Arial"/>
          <w:sz w:val="16"/>
          <w:szCs w:val="16"/>
          <w:i w:val="1"/>
          <w:iCs w:val="1"/>
          <w:color w:val="auto"/>
        </w:rPr>
        <w:t xml:space="preserve"> </w:t>
      </w:r>
      <w:r>
        <w:rPr>
          <w:rFonts w:ascii="Arial" w:cs="Arial" w:eastAsia="Arial" w:hAnsi="Arial"/>
          <w:sz w:val="16"/>
          <w:szCs w:val="16"/>
          <w:color w:val="auto"/>
        </w:rPr>
        <w:t>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40" w:hanging="428"/>
        <w:spacing w:after="0" w:line="259"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HIPAA, makes it a crime to knowingly and willfully execute, or attempt to execute,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20" w:hanging="428"/>
        <w:spacing w:after="0" w:line="251"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w:t>
      </w:r>
    </w:p>
    <w:p>
      <w:pPr>
        <w:spacing w:after="0" w:line="1"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(3) violations of the federal Anti-Kickback Statute; or (4) failing to report and return a known overpayment.</w:t>
      </w:r>
    </w:p>
    <w:p>
      <w:pPr>
        <w:spacing w:after="0" w:line="97" w:lineRule="exact"/>
        <w:rPr>
          <w:rFonts w:ascii="Times New Roman" w:cs="Times New Roman" w:eastAsia="Times New Roman" w:hAnsi="Times New Roman"/>
          <w:sz w:val="16"/>
          <w:szCs w:val="16"/>
          <w:color w:val="auto"/>
        </w:rPr>
      </w:pPr>
    </w:p>
    <w:p>
      <w:pPr>
        <w:ind w:left="900" w:hanging="428"/>
        <w:spacing w:after="0" w:line="250"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—HIPAA, as amended by the Health Information Technology for Economic and Clinical Health</w:t>
      </w:r>
      <w:r>
        <w:rPr>
          <w:rFonts w:ascii="Arial" w:cs="Arial" w:eastAsia="Arial" w:hAnsi="Arial"/>
          <w:sz w:val="16"/>
          <w:szCs w:val="16"/>
          <w:i w:val="1"/>
          <w:iCs w:val="1"/>
          <w:color w:val="auto"/>
        </w:rPr>
        <w:t xml:space="preserve"> </w:t>
      </w:r>
      <w:r>
        <w:rPr>
          <w:rFonts w:ascii="Arial" w:cs="Arial" w:eastAsia="Arial" w:hAnsi="Arial"/>
          <w:sz w:val="16"/>
          <w:szCs w:val="16"/>
          <w:color w:val="auto"/>
        </w:rPr>
        <w:t>Act 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80" w:lineRule="exact"/>
        <w:rPr>
          <w:rFonts w:ascii="Times New Roman" w:cs="Times New Roman" w:eastAsia="Times New Roman" w:hAnsi="Times New Roman"/>
          <w:sz w:val="16"/>
          <w:szCs w:val="16"/>
          <w:color w:val="auto"/>
        </w:rPr>
      </w:pPr>
    </w:p>
    <w:p>
      <w:pPr>
        <w:ind w:left="900" w:right="20" w:hanging="428"/>
        <w:spacing w:after="0" w:line="254"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Physician Payments Sunshine Act</w:t>
      </w:r>
      <w:r>
        <w:rPr>
          <w:rFonts w:ascii="Arial" w:cs="Arial" w:eastAsia="Arial" w:hAnsi="Arial"/>
          <w:sz w:val="16"/>
          <w:szCs w:val="16"/>
          <w:color w:val="auto"/>
        </w:rPr>
        <w:t>—Requires “applicable manufacturers” of drugs, devices, biologics, and medical supplies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72" w:lineRule="exact"/>
        <w:rPr>
          <w:rFonts w:ascii="Times New Roman" w:cs="Times New Roman" w:eastAsia="Times New Roman" w:hAnsi="Times New Roman"/>
          <w:sz w:val="16"/>
          <w:szCs w:val="16"/>
          <w:color w:val="auto"/>
        </w:rPr>
      </w:pPr>
    </w:p>
    <w:p>
      <w:pPr>
        <w:ind w:left="900" w:right="60" w:hanging="428"/>
        <w:spacing w:after="0" w:line="266"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Analogous State Laws</w:t>
      </w:r>
      <w:r>
        <w:rPr>
          <w:rFonts w:ascii="Arial" w:cs="Arial" w:eastAsia="Arial" w:hAnsi="Arial"/>
          <w:sz w:val="16"/>
          <w:szCs w:val="16"/>
          <w:color w:val="auto"/>
        </w:rPr>
        <w:t>—There are state law equivalents of the above federal laws, such as the Anti-Kickback Statute and the False Claims Act,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apply to items and services reimbursed by any third-party payor, including commercial insurers (</w:t>
      </w:r>
      <w:r>
        <w:rPr>
          <w:rFonts w:ascii="Arial" w:cs="Arial" w:eastAsia="Arial" w:hAnsi="Arial"/>
          <w:sz w:val="16"/>
          <w:szCs w:val="16"/>
          <w:i w:val="1"/>
          <w:iCs w:val="1"/>
          <w:color w:val="auto"/>
        </w:rPr>
        <w:t>i.e.</w:t>
      </w:r>
      <w:r>
        <w:rPr>
          <w:rFonts w:ascii="Arial" w:cs="Arial" w:eastAsia="Arial" w:hAnsi="Arial"/>
          <w:sz w:val="16"/>
          <w:szCs w:val="16"/>
          <w:color w:val="auto"/>
        </w:rPr>
        <w:t>, so-called “all-payor anti-kickback laws”).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36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900" w:hanging="428"/>
        <w:spacing w:after="0" w:line="250" w:lineRule="auto"/>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State Laws </w:t>
      </w:r>
      <w:r>
        <w:rPr>
          <w:rFonts w:ascii="Arial" w:cs="Arial" w:eastAsia="Arial" w:hAnsi="Arial"/>
          <w:sz w:val="16"/>
          <w:szCs w:val="16"/>
          <w:color w:val="auto"/>
        </w:rPr>
        <w:t>Regulating</w:t>
      </w:r>
      <w:r>
        <w:rPr>
          <w:rFonts w:ascii="Arial" w:cs="Arial" w:eastAsia="Arial" w:hAnsi="Arial"/>
          <w:sz w:val="16"/>
          <w:szCs w:val="16"/>
          <w:i w:val="1"/>
          <w:iCs w:val="1"/>
          <w:color w:val="auto"/>
        </w:rPr>
        <w:t xml:space="preserve"> Pharmaceutical Manufacturer Compliance Programs, Drug Price Transparency, and Other Practices</w:t>
      </w:r>
      <w:r>
        <w:rPr>
          <w:rFonts w:ascii="Arial" w:cs="Arial" w:eastAsia="Arial" w:hAnsi="Arial"/>
          <w:sz w:val="16"/>
          <w:szCs w:val="16"/>
          <w:color w:val="auto"/>
        </w:rPr>
        <w:t>—Some state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7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We are also required to satisfy the product tracing, verification and reporting requirements set out in the Drug Quality and Security Act.</w:t>
      </w:r>
    </w:p>
    <w:p>
      <w:pPr>
        <w:spacing w:after="0" w:line="234"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85"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-1108075</wp:posOffset>
            </wp:positionV>
            <wp:extent cx="28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U.S. Healthcare Reform</w:t>
      </w:r>
    </w:p>
    <w:p>
      <w:pPr>
        <w:spacing w:after="0" w:line="11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73" w:lineRule="exact"/>
        <w:rPr>
          <w:sz w:val="20"/>
          <w:szCs w:val="20"/>
          <w:color w:val="auto"/>
        </w:rPr>
      </w:pPr>
    </w:p>
    <w:p>
      <w:pPr>
        <w:ind w:left="900" w:right="300" w:hanging="428"/>
        <w:spacing w:after="0" w:line="285" w:lineRule="auto"/>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48"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48" w:lineRule="exact"/>
        <w:rPr>
          <w:rFonts w:ascii="Times New Roman" w:cs="Times New Roman" w:eastAsia="Times New Roman" w:hAnsi="Times New Roman"/>
          <w:sz w:val="16"/>
          <w:szCs w:val="16"/>
          <w:color w:val="auto"/>
        </w:rPr>
      </w:pPr>
    </w:p>
    <w:p>
      <w:pPr>
        <w:ind w:left="900" w:right="20" w:hanging="428"/>
        <w:spacing w:after="0" w:line="285" w:lineRule="auto"/>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healthcare fraud and abuse laws, including the False Claims Act and the Anti-Kickback Statute, which include, among other things, new government investigative powers and enhanced penalties for non-compliance;</w:t>
      </w:r>
    </w:p>
    <w:p>
      <w:pPr>
        <w:spacing w:after="0" w:line="48" w:lineRule="exact"/>
        <w:rPr>
          <w:rFonts w:ascii="Times New Roman" w:cs="Times New Roman" w:eastAsia="Times New Roman" w:hAnsi="Times New Roman"/>
          <w:sz w:val="16"/>
          <w:szCs w:val="16"/>
          <w:color w:val="auto"/>
        </w:rPr>
      </w:pPr>
    </w:p>
    <w:p>
      <w:pPr>
        <w:ind w:left="900" w:right="20" w:hanging="428"/>
        <w:spacing w:after="0" w:line="266" w:lineRule="auto"/>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37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900" w:hanging="428"/>
        <w:spacing w:after="0" w:line="285" w:lineRule="auto"/>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the types of entities eligible for discounts under the Public Health Service pharmaceutical pricing program (</w:t>
      </w:r>
      <w:r>
        <w:rPr>
          <w:rFonts w:ascii="Arial" w:cs="Arial" w:eastAsia="Arial" w:hAnsi="Arial"/>
          <w:sz w:val="16"/>
          <w:szCs w:val="16"/>
          <w:i w:val="1"/>
          <w:iCs w:val="1"/>
          <w:color w:val="auto"/>
        </w:rPr>
        <w:t>i.e.</w:t>
      </w:r>
      <w:r>
        <w:rPr>
          <w:rFonts w:ascii="Arial" w:cs="Arial" w:eastAsia="Arial" w:hAnsi="Arial"/>
          <w:sz w:val="16"/>
          <w:szCs w:val="16"/>
          <w:color w:val="auto"/>
        </w:rPr>
        <w:t>, the 340B program);</w:t>
      </w:r>
    </w:p>
    <w:p>
      <w:pPr>
        <w:spacing w:after="0" w:line="125" w:lineRule="exact"/>
        <w:rPr>
          <w:rFonts w:ascii="Times New Roman" w:cs="Times New Roman" w:eastAsia="Times New Roman" w:hAnsi="Times New Roman"/>
          <w:sz w:val="16"/>
          <w:szCs w:val="16"/>
          <w:color w:val="auto"/>
        </w:rPr>
      </w:pPr>
    </w:p>
    <w:p>
      <w:pPr>
        <w:ind w:left="900" w:right="540" w:hanging="428"/>
        <w:spacing w:after="0" w:line="285" w:lineRule="auto"/>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certain financial arrangements between manufacturers of drugs, biologics, devices, and medical supplies and physicians and teaching hospitals under the Physician Payments Sunshine Act;</w:t>
      </w:r>
    </w:p>
    <w:p>
      <w:pPr>
        <w:spacing w:after="0" w:line="48" w:lineRule="exact"/>
        <w:rPr>
          <w:rFonts w:ascii="Times New Roman" w:cs="Times New Roman" w:eastAsia="Times New Roman" w:hAnsi="Times New Roman"/>
          <w:sz w:val="16"/>
          <w:szCs w:val="16"/>
          <w:color w:val="auto"/>
        </w:rPr>
      </w:pPr>
    </w:p>
    <w:p>
      <w:pPr>
        <w:ind w:left="900" w:right="960" w:hanging="428"/>
        <w:spacing w:after="0" w:line="285" w:lineRule="auto"/>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 requirement to annually report certain information regarding drug samples that manufacturers and distributors provide to licensed practitioners; and</w:t>
      </w:r>
    </w:p>
    <w:p>
      <w:pPr>
        <w:spacing w:after="0" w:line="48" w:lineRule="exact"/>
        <w:rPr>
          <w:rFonts w:ascii="Times New Roman" w:cs="Times New Roman" w:eastAsia="Times New Roman" w:hAnsi="Times New Roman"/>
          <w:sz w:val="16"/>
          <w:szCs w:val="16"/>
          <w:color w:val="auto"/>
        </w:rPr>
      </w:pPr>
    </w:p>
    <w:p>
      <w:pPr>
        <w:ind w:left="900" w:right="240" w:hanging="428"/>
        <w:spacing w:after="0" w:line="285" w:lineRule="auto"/>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creation of the Patient-Centered Outcomes Research Institute to oversee, identify priorities in, and conduct comparative clinical effectiveness research, along with funding for such research.</w:t>
      </w:r>
    </w:p>
    <w:p>
      <w:pPr>
        <w:spacing w:after="0" w:line="156"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to repeal or replace certain aspects of the PPACA.</w:t>
      </w:r>
    </w:p>
    <w:p>
      <w:pPr>
        <w:spacing w:after="0" w:line="156"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heard oral arguments on November 10, 2020, and on June 17, 2021, issued its opinion ruling that Texas and other states that initially challenged the individual mandate did not have standing.</w:t>
      </w:r>
    </w:p>
    <w:p>
      <w:pPr>
        <w:spacing w:after="0" w:line="185"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During his tenure, President Trump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While the Biden administration has repealed or rolled-back certain of the actions taken by the Trump administration,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87"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3"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in the United States. Congress is considering various legislative proposals to further increase transparency around prices and price increases, lower out-of-pocket costs for consumers, and decrease spending on prescription drugs by government programs.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this executive order is implemented, the “most-favored-nation” price would generally reflect the lowest price, after certain adjustments, for a pharmaceutical product sold in an economically comparable member country of the Organisation for Economic Co-operation and Development. On December 28, 2020, the U.S. District Court for the Northern District of California issued a preliminary injunction halting implementation of the executive order nationwide pending completion of the notice and comment process, and on August 10, 2021, the CMS published a proposed rule that would rescind the “most-favored nation” pricing model for Medicare Part B drugs. However, the U.S. Congress continues to conduct inquiries into the prescription drug industry’s pricing practices, and at the state level in the United States, legislatures are also increasingly passing legislation and states are implementing regulations designed to control spending on, and patient out of pocket costs for, drug products. Recently, on August 16, 2022, President Biden signed into law the IRA, which included several measures intended to lower the cost of prescription drugs and limit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38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out-of-pocket spending, including by requiring drug manufacturers to pay rebates to Medicare if they increase prices faster than inflation for drugs used by Medicare beneficiaries. We cannot be certain what impact, if any, such changes will have on the profitability of any of our drug candidates, if approved for commercial use in the future.</w:t>
      </w:r>
    </w:p>
    <w:p>
      <w:pPr>
        <w:spacing w:after="0" w:line="171" w:lineRule="exact"/>
        <w:rPr>
          <w:sz w:val="20"/>
          <w:szCs w:val="20"/>
          <w:color w:val="auto"/>
        </w:rPr>
      </w:pPr>
    </w:p>
    <w:p>
      <w:pPr>
        <w:ind w:right="160" w:firstLine="503"/>
        <w:spacing w:after="0" w:line="259" w:lineRule="auto"/>
        <w:rPr>
          <w:sz w:val="20"/>
          <w:szCs w:val="20"/>
          <w:color w:val="auto"/>
        </w:rPr>
      </w:pPr>
      <w:r>
        <w:rPr>
          <w:rFonts w:ascii="Arial" w:cs="Arial" w:eastAsia="Arial" w:hAnsi="Arial"/>
          <w:sz w:val="16"/>
          <w:szCs w:val="16"/>
          <w:color w:val="auto"/>
        </w:rPr>
        <w:t>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78"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We expect that these, as well as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Privacy and Information Security</w:t>
      </w:r>
    </w:p>
    <w:p>
      <w:pPr>
        <w:spacing w:after="0" w:line="11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9"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78"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78"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Additionally, the Federal Trade Commission, or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0"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Further, HIPAA, as amended by the HITECH, and its implementing regulations, imposes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w:t>
      </w:r>
    </w:p>
    <w:p>
      <w:pPr>
        <w:spacing w:after="0" w:line="178"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78"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It is important to note, however, that HIPAA and HITECH only apply directly to “covered entities” (healthcare providers, health insurance plans, and healthcare clearinghouses) and “business associates” (third parties providing services to covered entities). Pharvaris, as a private pharmaceutical company sponsoring clinical research, is itself neither a covered entity nor a business associate within the meaning of these laws and their associated regulations. With that in mind, in respect of HIPAA and HITECH, the risk to Pharvaris primarily lies in the potential lack of compliance by investigators and their service providers may result in the regulators invalidating the sharing of personal health information between investigators and Pharvaris. In other words, the failure of Pharvaris’s research partners to comply with these laws could lead to the exclusion of important data from Pharvaris studies.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39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In addition, state laws in U.S. states, govern the privacy and security of health information in specified circumstances, many of which differ from each other in significant ways and may not have the same effect, thus complicating compliance efforts.</w:t>
      </w:r>
    </w:p>
    <w:p>
      <w:pPr>
        <w:spacing w:after="0" w:line="156" w:lineRule="exact"/>
        <w:rPr>
          <w:sz w:val="20"/>
          <w:szCs w:val="20"/>
          <w:color w:val="auto"/>
        </w:rPr>
      </w:pPr>
    </w:p>
    <w:p>
      <w:pPr>
        <w:ind w:right="80" w:firstLine="458"/>
        <w:spacing w:after="0" w:line="249"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obligations to consider data protection as any new products or services are developed and to limit the amount of personal data processed; (iii) obligations to comply with data protection rights of data subjects; (iv) ensuring that all processors that process personal data on our behalf have adequate protections in place; and (v)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 After assessing the severity and frequency of the EEA personal data processing activities we engage in, we appointed an external data protection officer that has expert knowledge of data protection law and practices and assists us with monitoring internal compliance with the GDPR.</w:t>
      </w:r>
    </w:p>
    <w:p>
      <w:pPr>
        <w:spacing w:after="0" w:line="188"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78"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Foreign Corrupt Practices Act</w:t>
      </w:r>
    </w:p>
    <w:p>
      <w:pPr>
        <w:spacing w:after="0" w:line="111"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Additional Regulation</w:t>
      </w:r>
    </w:p>
    <w:p>
      <w:pPr>
        <w:spacing w:after="0" w:line="111"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European Medicines Agency</w:t>
      </w:r>
    </w:p>
    <w:p>
      <w:pPr>
        <w:spacing w:after="0" w:line="111"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40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81"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 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 lasts up to 60 active days, the CHMP adopts a final opinion. The European Commission usually takes its decision to grant a legally binding authorization within 67 days after obtaining the CHMP decision.</w:t>
      </w:r>
    </w:p>
    <w:p>
      <w:pPr>
        <w:spacing w:after="0" w:line="189"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labeling to ensure that the benefits of certain prescription drugs outweigh their risks.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Accelerated Assessment Procedures</w:t>
      </w:r>
    </w:p>
    <w:p>
      <w:pPr>
        <w:spacing w:after="0" w:line="111" w:lineRule="exact"/>
        <w:rPr>
          <w:sz w:val="20"/>
          <w:szCs w:val="20"/>
          <w:color w:val="auto"/>
        </w:rPr>
      </w:pPr>
    </w:p>
    <w:p>
      <w:pPr>
        <w:ind w:right="160" w:firstLine="458"/>
        <w:spacing w:after="0" w:line="253" w:lineRule="auto"/>
        <w:rPr>
          <w:sz w:val="20"/>
          <w:szCs w:val="20"/>
          <w:color w:val="auto"/>
        </w:rPr>
      </w:pPr>
      <w:r>
        <w:rPr>
          <w:rFonts w:ascii="Arial" w:cs="Arial" w:eastAsia="Arial" w:hAnsi="Arial"/>
          <w:sz w:val="16"/>
          <w:szCs w:val="16"/>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Conditional Marketing Authorization and Authorization under Exceptional Circumstances</w:t>
      </w:r>
    </w:p>
    <w:p>
      <w:pPr>
        <w:spacing w:after="0" w:line="111"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A conditional marketing authorization is valid for one year, can be renewed annually and may be requested by an applicant or proposed by the CHMP for medicinal products which aim at:</w:t>
      </w:r>
    </w:p>
    <w:p>
      <w:pPr>
        <w:spacing w:after="0" w:line="48" w:lineRule="exact"/>
        <w:rPr>
          <w:sz w:val="20"/>
          <w:szCs w:val="20"/>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treatment, prevention or medical diagnosis of seriously debilitating or life-threatening diseases;</w:t>
      </w:r>
    </w:p>
    <w:p>
      <w:pPr>
        <w:spacing w:after="0" w:line="125" w:lineRule="exact"/>
        <w:rPr>
          <w:rFonts w:ascii="Times New Roman" w:cs="Times New Roman" w:eastAsia="Times New Roman" w:hAnsi="Times New Roman"/>
          <w:sz w:val="16"/>
          <w:szCs w:val="16"/>
          <w:color w:val="auto"/>
        </w:rPr>
      </w:pPr>
    </w:p>
    <w:p>
      <w:pPr>
        <w:ind w:left="900" w:right="160" w:hanging="428"/>
        <w:spacing w:after="0" w:line="285"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designated as orphan medicinal products in accordance with Regulation (EC) No. 141/2000, as amended.</w:t>
      </w:r>
    </w:p>
    <w:p>
      <w:pPr>
        <w:spacing w:after="0" w:line="234" w:lineRule="exact"/>
        <w:rPr>
          <w:sz w:val="20"/>
          <w:szCs w:val="20"/>
          <w:color w:val="auto"/>
        </w:rPr>
      </w:pPr>
    </w:p>
    <w:p>
      <w:pPr>
        <w:ind w:right="640" w:firstLine="458"/>
        <w:spacing w:after="0" w:line="286" w:lineRule="auto"/>
        <w:rPr>
          <w:sz w:val="20"/>
          <w:szCs w:val="20"/>
          <w:color w:val="auto"/>
        </w:rPr>
      </w:pPr>
      <w:r>
        <w:rPr>
          <w:rFonts w:ascii="Arial" w:cs="Arial" w:eastAsia="Arial" w:hAnsi="Arial"/>
          <w:sz w:val="16"/>
          <w:szCs w:val="16"/>
          <w:color w:val="auto"/>
        </w:rPr>
        <w:t>A conditional marketing authorization may be requested by an applicant or proposed by the CHMP for medicinal products if all of the following requirements are met:</w:t>
      </w:r>
    </w:p>
    <w:p>
      <w:pPr>
        <w:spacing w:after="0" w:line="48" w:lineRule="exact"/>
        <w:rPr>
          <w:sz w:val="20"/>
          <w:szCs w:val="20"/>
          <w:color w:val="auto"/>
        </w:rPr>
      </w:pPr>
    </w:p>
    <w:p>
      <w:pPr>
        <w:ind w:left="900" w:hanging="428"/>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the risk-benefit balance of the medicinal product, as defined in Article 1(28a) of Directive 2001/83/EC, as amended, is positive;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it is likely that the applicant will be in a position to provide comprehensive clinical data;</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unmet medical needs will be fulfilled (no existing satisfactory methods or the medicinal product provides major therapeutic advantage); and</w:t>
      </w:r>
    </w:p>
    <w:p>
      <w:pPr>
        <w:spacing w:after="0" w:line="125" w:lineRule="exact"/>
        <w:rPr>
          <w:rFonts w:ascii="Times New Roman" w:cs="Times New Roman" w:eastAsia="Times New Roman" w:hAnsi="Times New Roman"/>
          <w:sz w:val="16"/>
          <w:szCs w:val="16"/>
          <w:color w:val="auto"/>
        </w:rPr>
      </w:pPr>
    </w:p>
    <w:p>
      <w:pPr>
        <w:ind w:left="900" w:right="80" w:hanging="428"/>
        <w:spacing w:after="0" w:line="285"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 to public health of the immediate availability on the market of the medicinal product concerned outweighs the risk inherent in the fact that additional data are still required.</w:t>
      </w:r>
    </w:p>
    <w:p>
      <w:pPr>
        <w:spacing w:after="0" w:line="156" w:lineRule="exact"/>
        <w:rPr>
          <w:sz w:val="20"/>
          <w:szCs w:val="20"/>
          <w:color w:val="auto"/>
        </w:rPr>
      </w:pPr>
    </w:p>
    <w:p>
      <w:pPr>
        <w:jc w:val="both"/>
        <w:ind w:right="80" w:firstLine="458"/>
        <w:spacing w:after="0" w:line="259" w:lineRule="auto"/>
        <w:rPr>
          <w:sz w:val="20"/>
          <w:szCs w:val="20"/>
          <w:color w:val="auto"/>
        </w:rPr>
      </w:pPr>
      <w:r>
        <w:rPr>
          <w:rFonts w:ascii="Arial" w:cs="Arial" w:eastAsia="Arial" w:hAnsi="Arial"/>
          <w:sz w:val="16"/>
          <w:szCs w:val="16"/>
          <w:color w:val="auto"/>
        </w:rPr>
        <w:t>The legal basis for a conditional marketing authorization is Article 14-a of Regulation (EC) No. 726/2004, as amended. The provisions for the granting of such an authorization are further elaborated in Regulation (EC) No. 507/2006</w:t>
      </w:r>
      <w:r>
        <w:rPr>
          <w:rFonts w:ascii="Arial" w:cs="Arial" w:eastAsia="Arial" w:hAnsi="Arial"/>
          <w:sz w:val="16"/>
          <w:szCs w:val="16"/>
          <w:i w:val="1"/>
          <w:iCs w:val="1"/>
          <w:color w:val="auto"/>
        </w:rPr>
        <w:t>.</w:t>
      </w:r>
      <w:r>
        <w:rPr>
          <w:rFonts w:ascii="Arial" w:cs="Arial" w:eastAsia="Arial" w:hAnsi="Arial"/>
          <w:sz w:val="16"/>
          <w:szCs w:val="16"/>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41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280" w:firstLine="458"/>
        <w:spacing w:after="0" w:line="286" w:lineRule="auto"/>
        <w:rPr>
          <w:sz w:val="20"/>
          <w:szCs w:val="20"/>
          <w:color w:val="auto"/>
        </w:rPr>
      </w:pPr>
      <w:r>
        <w:rPr>
          <w:rFonts w:ascii="Arial" w:cs="Arial" w:eastAsia="Arial" w:hAnsi="Arial"/>
          <w:sz w:val="16"/>
          <w:szCs w:val="16"/>
          <w:color w:val="auto"/>
        </w:rPr>
        <w:t>In addition, authorization under exceptional circumstances may be requested when it is not possible to provide comprehensive data on the efficacy and safety under normal conditions of use, because:</w:t>
      </w:r>
    </w:p>
    <w:p>
      <w:pPr>
        <w:spacing w:after="0" w:line="48" w:lineRule="exact"/>
        <w:rPr>
          <w:sz w:val="20"/>
          <w:szCs w:val="20"/>
          <w:color w:val="auto"/>
        </w:rPr>
      </w:pPr>
    </w:p>
    <w:p>
      <w:pPr>
        <w:ind w:left="900" w:right="44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in the present state of scientific knowledge, comprehensive information cannot be provided;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it would be contrary to generally accepted principles of medical ethics to collect such information.</w:t>
      </w:r>
    </w:p>
    <w:p>
      <w:pPr>
        <w:spacing w:after="0" w:line="234" w:lineRule="exact"/>
        <w:rPr>
          <w:sz w:val="20"/>
          <w:szCs w:val="20"/>
          <w:color w:val="auto"/>
        </w:rPr>
      </w:pPr>
    </w:p>
    <w:p>
      <w:pPr>
        <w:ind w:right="180" w:firstLine="458"/>
        <w:spacing w:after="0" w:line="253" w:lineRule="auto"/>
        <w:rPr>
          <w:sz w:val="20"/>
          <w:szCs w:val="20"/>
          <w:color w:val="auto"/>
        </w:rPr>
      </w:pPr>
      <w:r>
        <w:rPr>
          <w:rFonts w:ascii="Arial" w:cs="Arial" w:eastAsia="Arial" w:hAnsi="Arial"/>
          <w:sz w:val="16"/>
          <w:szCs w:val="16"/>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Manufacturing and Manufacturers’ Authorization</w:t>
      </w:r>
    </w:p>
    <w:p>
      <w:pPr>
        <w:spacing w:after="0" w:line="11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Commercialization and Promotion</w:t>
      </w:r>
    </w:p>
    <w:p>
      <w:pPr>
        <w:spacing w:after="0" w:line="111"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 Commercialization and promotion of prescription only medicinal products to consumers or patients (directly or indirectly) is strictly forbidden. Advertising of medicines pre-approval or off-label is also prohibited.</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Regulatory Data Protection and Market Exclusivity</w:t>
      </w:r>
    </w:p>
    <w:p>
      <w:pPr>
        <w:spacing w:after="0" w:line="111"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nonclinical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42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 marketing authorization may be granted, for the same therapeutic indication, to a similar drug if:</w:t>
      </w:r>
    </w:p>
    <w:p>
      <w:pPr>
        <w:spacing w:after="0" w:line="113" w:lineRule="exact"/>
        <w:rPr>
          <w:sz w:val="20"/>
          <w:szCs w:val="20"/>
          <w:color w:val="auto"/>
        </w:rPr>
      </w:pPr>
    </w:p>
    <w:p>
      <w:pPr>
        <w:ind w:left="900" w:hanging="428"/>
        <w:spacing w:after="0"/>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has given its consent to the second applicant;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is unable to supply sufficient quantities of the drug; or</w:t>
      </w:r>
    </w:p>
    <w:p>
      <w:pPr>
        <w:spacing w:after="0" w:line="125" w:lineRule="exact"/>
        <w:rPr>
          <w:rFonts w:ascii="Times New Roman" w:cs="Times New Roman" w:eastAsia="Times New Roman" w:hAnsi="Times New Roman"/>
          <w:sz w:val="16"/>
          <w:szCs w:val="16"/>
          <w:color w:val="auto"/>
        </w:rPr>
      </w:pPr>
    </w:p>
    <w:p>
      <w:pPr>
        <w:ind w:left="900" w:right="40" w:hanging="428"/>
        <w:spacing w:after="0" w:line="285"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the second applicant can establish in the application that the second drug, although similar to the orphan drug already authorized, is safer, more effective or otherwise clinically superior.</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Regulation (EC) No 847/2000 lays down definitions of the concepts “similar drug” and “clinical superiority.”</w:t>
      </w:r>
    </w:p>
    <w:p>
      <w:pPr>
        <w:spacing w:after="0" w:line="221"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In order to be eligible for incentives made available by the European Union and by the Member States to support research into, and the development and availability of, orphan drugs, the medicinal product needs to be designated as an orphan drug pursuant to Regulation (EC)No. 141/2000, as amended. Regulation (EC) No. 141/2000, as amended, states that a medicinal product shall be designated as an orphan medicinal product if its manufacturer can establish:</w:t>
      </w:r>
    </w:p>
    <w:p>
      <w:pPr>
        <w:spacing w:after="0" w:line="70" w:lineRule="exact"/>
        <w:rPr>
          <w:sz w:val="20"/>
          <w:szCs w:val="20"/>
          <w:color w:val="auto"/>
        </w:rPr>
      </w:pPr>
    </w:p>
    <w:p>
      <w:pPr>
        <w:ind w:left="900" w:right="160" w:hanging="428"/>
        <w:spacing w:after="0" w:line="259"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69" w:lineRule="exact"/>
        <w:rPr>
          <w:rFonts w:ascii="Times New Roman" w:cs="Times New Roman" w:eastAsia="Times New Roman" w:hAnsi="Times New Roman"/>
          <w:sz w:val="16"/>
          <w:szCs w:val="16"/>
          <w:color w:val="auto"/>
        </w:rPr>
      </w:pPr>
    </w:p>
    <w:p>
      <w:pPr>
        <w:ind w:left="900" w:right="60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Small-or Medium-Sized Enterprise Status</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the European Union, manufacturers may benefit from further incentives, including administrative and procedural assistance and fee reductions when they are classified as a small-or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Administrative, regulatory and financial support is available to companies assigned the SME status by the EMA, including:</w:t>
      </w:r>
    </w:p>
    <w:p>
      <w:pPr>
        <w:spacing w:after="0" w:line="113" w:lineRule="exact"/>
        <w:rPr>
          <w:sz w:val="20"/>
          <w:szCs w:val="20"/>
          <w:color w:val="auto"/>
        </w:rPr>
      </w:pPr>
    </w:p>
    <w:p>
      <w:pPr>
        <w:ind w:left="900" w:hanging="428"/>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direct assistance by phone, email, teleconference or through briefing meetings on regulatory aspects of the pharmaceutical legislation;</w:t>
      </w:r>
    </w:p>
    <w:p>
      <w:pPr>
        <w:spacing w:after="0" w:line="125" w:lineRule="exact"/>
        <w:rPr>
          <w:rFonts w:ascii="Times New Roman" w:cs="Times New Roman" w:eastAsia="Times New Roman" w:hAnsi="Times New Roman"/>
          <w:sz w:val="16"/>
          <w:szCs w:val="16"/>
          <w:color w:val="auto"/>
        </w:rPr>
      </w:pPr>
    </w:p>
    <w:p>
      <w:pPr>
        <w:ind w:left="900" w:right="400" w:hanging="428"/>
        <w:spacing w:after="0" w:line="285"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fee exemptions and reductions for pre-and post-authorization regulatory procedures, including scientific advice, inspections and pharmaco-vigilance;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assistance with translations of product information into all official European Union languages;</w:t>
      </w:r>
    </w:p>
    <w:p>
      <w:pPr>
        <w:spacing w:after="0" w:line="125" w:lineRule="exact"/>
        <w:rPr>
          <w:rFonts w:ascii="Times New Roman" w:cs="Times New Roman" w:eastAsia="Times New Roman" w:hAnsi="Times New Roman"/>
          <w:sz w:val="16"/>
          <w:szCs w:val="16"/>
          <w:color w:val="auto"/>
        </w:rPr>
      </w:pPr>
    </w:p>
    <w:p>
      <w:pPr>
        <w:ind w:left="900" w:right="740" w:hanging="428"/>
        <w:spacing w:after="0" w:line="285"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guidance on clinical data publication and a free redaction tool license;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workshops and training sessions.</w:t>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Development of Medicines for Children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Several incentives for the development of medicines for children are available in the European Union:</w:t>
      </w:r>
    </w:p>
    <w:p>
      <w:pPr>
        <w:spacing w:after="0" w:line="113" w:lineRule="exact"/>
        <w:rPr>
          <w:sz w:val="20"/>
          <w:szCs w:val="20"/>
          <w:color w:val="auto"/>
        </w:rPr>
      </w:pPr>
    </w:p>
    <w:p>
      <w:pPr>
        <w:ind w:left="900" w:right="160" w:hanging="428"/>
        <w:spacing w:after="0" w:line="285"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for orphan medicines, the incentive is an additional two years of market exclusivity;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scientific advice and protocol assistance at the EMA are free of charge for questions relating to the development of medicines for children; and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43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900" w:right="720" w:hanging="428"/>
        <w:spacing w:after="0" w:line="285"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Pediatric Regulation</w:t>
      </w:r>
    </w:p>
    <w:p>
      <w:pPr>
        <w:spacing w:after="0" w:line="111"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111" w:lineRule="exact"/>
        <w:rPr>
          <w:sz w:val="20"/>
          <w:szCs w:val="20"/>
          <w:color w:val="auto"/>
        </w:rPr>
      </w:pPr>
    </w:p>
    <w:p>
      <w:pPr>
        <w:ind w:right="240" w:firstLine="458"/>
        <w:spacing w:after="0" w:line="25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78"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5"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84"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81" w:lineRule="exact"/>
        <w:rPr>
          <w:sz w:val="20"/>
          <w:szCs w:val="20"/>
          <w:color w:val="auto"/>
        </w:rPr>
      </w:pPr>
    </w:p>
    <w:p>
      <w:pPr>
        <w:ind w:right="160" w:firstLine="458"/>
        <w:spacing w:after="0" w:line="256"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44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jc w:val="both"/>
        <w:ind w:right="160" w:firstLine="458"/>
        <w:spacing w:after="0" w:line="266" w:lineRule="auto"/>
        <w:rPr>
          <w:sz w:val="20"/>
          <w:szCs w:val="20"/>
          <w:color w:val="auto"/>
        </w:rPr>
      </w:pPr>
      <w:r>
        <w:rPr>
          <w:rFonts w:ascii="Arial" w:cs="Arial" w:eastAsia="Arial" w:hAnsi="Arial"/>
          <w:sz w:val="16"/>
          <w:szCs w:val="16"/>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1"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Organizational structure</w:t>
      </w:r>
    </w:p>
    <w:p>
      <w:pPr>
        <w:spacing w:after="0" w:line="113" w:lineRule="exact"/>
        <w:rPr>
          <w:sz w:val="20"/>
          <w:szCs w:val="20"/>
          <w:color w:val="auto"/>
        </w:rPr>
      </w:pPr>
    </w:p>
    <w:p>
      <w:pPr>
        <w:jc w:val="both"/>
        <w:ind w:right="240" w:firstLine="458"/>
        <w:spacing w:after="0" w:line="266" w:lineRule="auto"/>
        <w:rPr>
          <w:sz w:val="20"/>
          <w:szCs w:val="20"/>
          <w:color w:val="auto"/>
        </w:rPr>
      </w:pPr>
      <w:r>
        <w:rPr>
          <w:rFonts w:ascii="Arial" w:cs="Arial" w:eastAsia="Arial" w:hAnsi="Arial"/>
          <w:sz w:val="16"/>
          <w:szCs w:val="16"/>
          <w:color w:val="auto"/>
        </w:rPr>
        <w:t>We were incorporated as a Dutch private company with limited liability (</w:t>
      </w:r>
      <w:r>
        <w:rPr>
          <w:rFonts w:ascii="Arial" w:cs="Arial" w:eastAsia="Arial" w:hAnsi="Arial"/>
          <w:sz w:val="16"/>
          <w:szCs w:val="16"/>
          <w:i w:val="1"/>
          <w:iCs w:val="1"/>
          <w:color w:val="auto"/>
        </w:rPr>
        <w:t>besloten vennootschap</w:t>
      </w:r>
      <w:r>
        <w:rPr>
          <w:rFonts w:ascii="Arial" w:cs="Arial" w:eastAsia="Arial" w:hAnsi="Arial"/>
          <w:sz w:val="16"/>
          <w:szCs w:val="16"/>
          <w:color w:val="auto"/>
        </w:rPr>
        <w:t>) and currently exist as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(after the conversion of our legal form in the first quarter of 2021), with operating subsidiaries in the Netherlands, Switzerland and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149225</wp:posOffset>
            </wp:positionV>
            <wp:extent cx="4800600" cy="18942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0060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Property, plants and equipment</w:t>
      </w:r>
    </w:p>
    <w:p>
      <w:pPr>
        <w:spacing w:after="0" w:line="113"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We have offices in Leiden, the Netherlands, Lexington, Massachusetts (United States) and Zug, Switzerland. Our office space in Leiden measuring approximately 290 square meters is rented through November 30, 2025; our offices in Massachusetts measuring approximately 622 square meters is rented through December 31, 2029 and our office space in Zug measuring approximately 58 square meters is rented on a monthly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Operating Results</w:t>
      </w:r>
    </w:p>
    <w:p>
      <w:pPr>
        <w:spacing w:after="0" w:line="115" w:lineRule="exact"/>
        <w:rPr>
          <w:sz w:val="20"/>
          <w:szCs w:val="20"/>
          <w:color w:val="auto"/>
        </w:rPr>
      </w:pPr>
    </w:p>
    <w:p>
      <w:pPr>
        <w:ind w:right="100" w:firstLine="458"/>
        <w:spacing w:after="0" w:line="258"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included elsewhere in this Annual Report.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the “ITEM 3. Risk factors” sections.</w:t>
      </w:r>
    </w:p>
    <w:p>
      <w:pPr>
        <w:spacing w:after="0" w:line="71"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i w:val="1"/>
          <w:iCs w:val="1"/>
          <w:color w:val="auto"/>
        </w:rPr>
        <w:t xml:space="preserve">Our audited consolidated financial statements are included elsewhere in this Annual Report. These financial statements are prepared </w:t>
      </w:r>
      <w:r>
        <w:rPr>
          <w:rFonts w:ascii="Arial" w:cs="Arial" w:eastAsia="Arial" w:hAnsi="Arial"/>
          <w:sz w:val="16"/>
          <w:szCs w:val="16"/>
          <w:color w:val="auto"/>
        </w:rPr>
        <w:t>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IFRS Accounting Standards (IFRS) as issued by the International Accounting Standards Board (IASB). </w:t>
      </w:r>
      <w:r>
        <w:rPr>
          <w:rFonts w:ascii="Arial" w:cs="Arial" w:eastAsia="Arial" w:hAnsi="Arial"/>
          <w:sz w:val="16"/>
          <w:szCs w:val="16"/>
          <w:i w:val="1"/>
          <w:iCs w:val="1"/>
          <w:color w:val="auto"/>
        </w:rPr>
        <w:t>As permitted by the rules of the SEC for</w:t>
      </w:r>
      <w:r>
        <w:rPr>
          <w:rFonts w:ascii="Arial" w:cs="Arial" w:eastAsia="Arial" w:hAnsi="Arial"/>
          <w:sz w:val="16"/>
          <w:szCs w:val="16"/>
          <w:color w:val="auto"/>
        </w:rPr>
        <w:t xml:space="preserve"> </w:t>
      </w:r>
      <w:r>
        <w:rPr>
          <w:rFonts w:ascii="Arial" w:cs="Arial" w:eastAsia="Arial" w:hAnsi="Arial"/>
          <w:sz w:val="16"/>
          <w:szCs w:val="16"/>
          <w:i w:val="1"/>
          <w:iCs w:val="1"/>
          <w:color w:val="auto"/>
        </w:rPr>
        <w:t>foreign private issuers, we do not reconcile our financial statements to U.S. GAAP.</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is a novel, oral, small-molecule bradykinin B2 receptor antagonist under development for the prevention or treatment of attacks due to bradykinin-mediated angioedema, including hereditary angioedema (HAE) and acquired angioedema due to C1-inhibitor</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45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deficiency (AAE-C1INH). Deucrictibant has the potential to address unmet medical need by improving upon the therapeutic profile of existing medicines and providing patients with quality of life and ease-of-administration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178"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Deucrictibant may address unmet medical needs of people living with HAE by both preventing attacks from occurring, using an extended-release (XR) tablet formulation of deucrictibant, as well as treat the manifestations of HAE attacks, using an immediate-release (IR) capsule formulation of deucrictibant. The XR tablet formulation is designed to maintain therapeutic levels for at least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180" w:lineRule="exact"/>
        <w:rPr>
          <w:sz w:val="20"/>
          <w:szCs w:val="20"/>
          <w:color w:val="auto"/>
        </w:rPr>
      </w:pPr>
    </w:p>
    <w:p>
      <w:pPr>
        <w:jc w:val="both"/>
        <w:ind w:right="440" w:firstLine="458"/>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begin therapy with on-demand only and gradually move to prophylaxis as attack frequency increases (commonly after puberty).</w:t>
      </w:r>
    </w:p>
    <w:p>
      <w:pPr>
        <w:spacing w:after="0" w:line="178"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(PK) with and without food. In addition, we observed deucrictibant to be a potent antagonist of the bradykinin B2 receptor, in vitro and in vivo with healthy volunteers.</w:t>
      </w:r>
    </w:p>
    <w:p>
      <w:pPr>
        <w:spacing w:after="0" w:line="156"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A Phase 2 placebo-controlled trial evaluating the efficacy and tolerability of deucrictibant IR capsules for the on-demand treatment of attacks in patients with HAE type 1 and 2 (RAPIDe-1) commenced in February 2021 and reported positive topline Phase 2 data in December 2022, demonstrating the clinical efficacy and tolerability of deucrictibant. We believe these positive Phase 2 data support further development of deucrictibant as a potential oral on-demand therapy for HAE attacks. In March 2024, we initiated a global, pivotal, randomized, double-blind-placebo-controlled Phase 3 study, RAPIDe-3, of orally administered deucrictibant IR capsule (20 mg) for the on-demand treatment of HAE attacks in adults and adolescents (12 years and older), and intend to enroll approximately 120 participants. Topline data from RAPIDe-3 is anticipated in the first quarter of 2026.</w:t>
      </w:r>
    </w:p>
    <w:p>
      <w:pPr>
        <w:spacing w:after="0" w:line="182"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A Phase 2 placebo-controlled trial evaluating the efficacy and the safety and tolerability of deucrictibant for long-term prophylaxis against angioedema attacks in HAE type 1 and 2 (CHAPTER-1) commenced CHAPTER-1 in 2021 using twice-daily dosing of deucrictibant IR capsules as a proof-of-concept for once-daily deucrictibant XR tablets, and announced positive topline data in December 2023, demonstrating the clinical efficacy and tolerability of deucrictibant. We believe these positive Phase 2 data support further development of deucrictibant as a potential oral prophylactic therapy for HAE attacks. In December 2024, we initiated a global, pivotal, randomized, double-blind, placebo-controlled Phase 3 study, CHAPTER-3,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currently the intended commercial dosage, or placebo, once daily for 24 weeks. Topline data from CHAPTER-3 is anticipated in the second half of 2026.</w:t>
      </w:r>
    </w:p>
    <w:p>
      <w:pPr>
        <w:spacing w:after="0" w:line="183"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In addition, we also are also running open-label extension studies in both on-demand and prophylactic settings to collect long-term safety and efficacy data in HAE patients.</w:t>
      </w:r>
    </w:p>
    <w:p>
      <w:pPr>
        <w:spacing w:after="0" w:line="156"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182"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Additionally, we are exposed to a variety of risks in the ordinary course of our business, including, but not limited to, foreign currency risk and interest rate risk. We regularly assess each of these risks to minimize any adverse effects on our business as a result of those factors. For a detailed discussion, see Note 17 to our consolidated financial statements included elsewhere in this Annual Report.</w:t>
      </w:r>
    </w:p>
    <w:p>
      <w:pPr>
        <w:spacing w:after="0" w:line="183"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In addition, the retaliatory measures that have been taken, or could be taken in the future, by the United States, NATO, and other countries with respect to the invasion of Ukraine have created global security concerns that could result in a regional conflicts and also adversely affect our ability to conduct ongoing and future clinical trials of our product candidates. For example, our RAPIDe-1 and CHAPTER-1 studies include a significant number of patients in Germany, Poland, and Bulgaria, and we have a patient in Israel.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46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0" w:lineRule="exact"/>
        <w:rPr>
          <w:sz w:val="20"/>
          <w:szCs w:val="20"/>
          <w:color w:val="auto"/>
        </w:rPr>
      </w:pPr>
    </w:p>
    <w:p>
      <w:pPr>
        <w:spacing w:after="0" w:line="237"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A discussion of our consolidated financial condition and results of operations for the year ended December 31, 2022 can be found in our annual report on form 20-F, filed with the SEC on April 10, 2024.</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Revenues</w:t>
      </w:r>
    </w:p>
    <w:p>
      <w:pPr>
        <w:spacing w:after="0" w:line="111" w:lineRule="exact"/>
        <w:rPr>
          <w:sz w:val="20"/>
          <w:szCs w:val="20"/>
          <w:color w:val="auto"/>
        </w:rPr>
      </w:pPr>
    </w:p>
    <w:p>
      <w:pPr>
        <w:ind w:right="220" w:firstLine="458"/>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Annual Report. We do not expect to recognize any revenues before we are able to commercialize our first product.</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1"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IR and XR. We expect that we will continue to incur significant research and development expenses as we seek to complete the clinical development of, and achieve regulatory approval for, our product candidates IR and XR, and in connection with discovery and development of any additional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900" w:right="120" w:hanging="428"/>
        <w:spacing w:after="0" w:line="285"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125" w:lineRule="exact"/>
        <w:rPr>
          <w:rFonts w:ascii="Times New Roman" w:cs="Times New Roman" w:eastAsia="Times New Roman" w:hAnsi="Times New Roman"/>
          <w:sz w:val="16"/>
          <w:szCs w:val="16"/>
          <w:color w:val="auto"/>
        </w:rPr>
      </w:pPr>
    </w:p>
    <w:p>
      <w:pPr>
        <w:ind w:left="900" w:right="340" w:hanging="428"/>
        <w:spacing w:after="0" w:line="285"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48" w:lineRule="exact"/>
        <w:rPr>
          <w:rFonts w:ascii="Times New Roman" w:cs="Times New Roman" w:eastAsia="Times New Roman" w:hAnsi="Times New Roman"/>
          <w:sz w:val="16"/>
          <w:szCs w:val="16"/>
          <w:color w:val="auto"/>
        </w:rPr>
      </w:pPr>
    </w:p>
    <w:p>
      <w:pPr>
        <w:ind w:left="900" w:right="160" w:hanging="428"/>
        <w:spacing w:after="0" w:line="285"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48" w:lineRule="exact"/>
        <w:rPr>
          <w:rFonts w:ascii="Times New Roman" w:cs="Times New Roman" w:eastAsia="Times New Roman" w:hAnsi="Times New Roman"/>
          <w:sz w:val="16"/>
          <w:szCs w:val="16"/>
          <w:color w:val="auto"/>
        </w:rPr>
      </w:pPr>
    </w:p>
    <w:p>
      <w:pPr>
        <w:ind w:left="900" w:right="280" w:hanging="428"/>
        <w:spacing w:after="0" w:line="285"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234"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We expect that our total research and development expenses will increase in 2025 as we continue to focus on the development of our product candidates IR and XR, as well as explore potential expansion programs. We anticipate that research and development expenses will continue to increase as we continue to progress IR and XR through clinical development.</w:t>
      </w:r>
    </w:p>
    <w:p>
      <w:pPr>
        <w:spacing w:after="0" w:line="171" w:lineRule="exact"/>
        <w:rPr>
          <w:sz w:val="20"/>
          <w:szCs w:val="20"/>
          <w:color w:val="auto"/>
        </w:rPr>
      </w:pPr>
    </w:p>
    <w:p>
      <w:pPr>
        <w:jc w:val="both"/>
        <w:ind w:right="120" w:firstLine="458"/>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 — D. Risk factors.”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11"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47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900" w:right="600" w:hanging="428"/>
        <w:spacing w:after="0" w:line="285" w:lineRule="auto"/>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 and</w:t>
      </w:r>
    </w:p>
    <w:p>
      <w:pPr>
        <w:spacing w:after="0" w:line="125" w:lineRule="exact"/>
        <w:rPr>
          <w:rFonts w:ascii="Times New Roman" w:cs="Times New Roman" w:eastAsia="Times New Roman" w:hAnsi="Times New Roman"/>
          <w:sz w:val="16"/>
          <w:szCs w:val="16"/>
          <w:color w:val="auto"/>
        </w:rPr>
      </w:pPr>
    </w:p>
    <w:p>
      <w:pPr>
        <w:ind w:left="900" w:right="300" w:hanging="428"/>
        <w:spacing w:after="0" w:line="285" w:lineRule="auto"/>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56"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19"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w:t>
      </w:r>
    </w:p>
    <w:p>
      <w:pPr>
        <w:spacing w:after="0" w:line="73" w:lineRule="exact"/>
        <w:rPr>
          <w:sz w:val="20"/>
          <w:szCs w:val="20"/>
          <w:color w:val="auto"/>
        </w:rPr>
      </w:pPr>
    </w:p>
    <w:p>
      <w:pPr>
        <w:ind w:right="160" w:firstLine="229"/>
        <w:spacing w:after="0" w:line="286" w:lineRule="auto"/>
        <w:rPr>
          <w:sz w:val="20"/>
          <w:szCs w:val="20"/>
          <w:color w:val="auto"/>
        </w:rPr>
      </w:pPr>
      <w:r>
        <w:rPr>
          <w:rFonts w:ascii="Arial" w:cs="Arial" w:eastAsia="Arial" w:hAnsi="Arial"/>
          <w:sz w:val="16"/>
          <w:szCs w:val="16"/>
          <w:color w:val="auto"/>
        </w:rPr>
        <w:t>The fair values of these instruments are recognized as personnel expenses in either research and development expenses or general and administrative expenses.</w:t>
      </w:r>
    </w:p>
    <w:p>
      <w:pPr>
        <w:spacing w:after="0" w:line="156" w:lineRule="exact"/>
        <w:rPr>
          <w:sz w:val="20"/>
          <w:szCs w:val="20"/>
          <w:color w:val="auto"/>
        </w:rPr>
      </w:pPr>
    </w:p>
    <w:p>
      <w:pPr>
        <w:ind w:right="20" w:firstLine="229"/>
        <w:spacing w:after="0" w:line="286" w:lineRule="auto"/>
        <w:rPr>
          <w:sz w:val="20"/>
          <w:szCs w:val="20"/>
          <w:color w:val="auto"/>
        </w:rPr>
      </w:pPr>
      <w:r>
        <w:rPr>
          <w:rFonts w:ascii="Arial" w:cs="Arial" w:eastAsia="Arial" w:hAnsi="Arial"/>
          <w:sz w:val="16"/>
          <w:szCs w:val="16"/>
          <w:color w:val="auto"/>
        </w:rPr>
        <w:t>The share-based payment expense recorded for the years ended December 31, 2024, 2023 and 2022 were €16.2 million, €10.7 million and €11.3 million, respectively.</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2023 and 2022</w:t>
      </w:r>
    </w:p>
    <w:p>
      <w:pPr>
        <w:spacing w:after="0" w:line="111" w:lineRule="exact"/>
        <w:rPr>
          <w:sz w:val="20"/>
          <w:szCs w:val="20"/>
          <w:color w:val="auto"/>
        </w:rPr>
      </w:pPr>
    </w:p>
    <w:p>
      <w:pPr>
        <w:ind w:right="220" w:firstLine="229"/>
        <w:spacing w:after="0" w:line="266" w:lineRule="auto"/>
        <w:rPr>
          <w:sz w:val="20"/>
          <w:szCs w:val="20"/>
          <w:color w:val="auto"/>
        </w:rPr>
      </w:pPr>
      <w:r>
        <w:rPr>
          <w:rFonts w:ascii="Arial" w:cs="Arial" w:eastAsia="Arial" w:hAnsi="Arial"/>
          <w:sz w:val="16"/>
          <w:szCs w:val="16"/>
          <w:color w:val="auto"/>
        </w:rPr>
        <w:t>A discussion of the financial results for the year ended December 31, 2023 as compared to the year ended December 31, 2022 can be found in the section entitled “Item 5. Operating and Financial Review and Prospects—A. Operating Results— Financial operations overview—Comparison of the years ended December 31, 2023 and 2022” in our annual report on form 20-F, filed with the SEC on April 10, 2024.</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2024 and 2023</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loss for the periods indicated:</w:t>
      </w:r>
    </w:p>
    <w:p>
      <w:pPr>
        <w:spacing w:after="0" w:line="215" w:lineRule="exact"/>
        <w:rPr>
          <w:sz w:val="20"/>
          <w:szCs w:val="20"/>
          <w:color w:val="auto"/>
        </w:rPr>
      </w:pPr>
    </w:p>
    <w:p>
      <w:pPr>
        <w:jc w:val="center"/>
        <w:ind w:left="1120"/>
        <w:spacing w:after="0"/>
        <w:rPr>
          <w:sz w:val="20"/>
          <w:szCs w:val="20"/>
          <w:color w:val="auto"/>
        </w:rPr>
      </w:pPr>
      <w:r>
        <w:rPr>
          <w:rFonts w:ascii="Arial" w:cs="Arial" w:eastAsia="Arial" w:hAnsi="Arial"/>
          <w:sz w:val="13"/>
          <w:szCs w:val="13"/>
          <w:b w:val="1"/>
          <w:bCs w:val="1"/>
          <w:color w:val="auto"/>
        </w:rPr>
        <w:t>For the year ended</w:t>
      </w:r>
    </w:p>
    <w:p>
      <w:pPr>
        <w:jc w:val="center"/>
        <w:ind w:left="1120"/>
        <w:spacing w:after="0" w:line="226" w:lineRule="auto"/>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-12065</wp:posOffset>
            </wp:positionV>
            <wp:extent cx="102870" cy="128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-12065</wp:posOffset>
            </wp:positionV>
            <wp:extent cx="93980" cy="1282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1282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8"/>
        </w:trPr>
        <w:tc>
          <w:tcPr>
            <w:tcW w:w="5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700" w:type="dxa"/>
            <w:vAlign w:val="bottom"/>
            <w:tcBorders>
              <w:top w:val="single" w:sz="8" w:color="auto"/>
            </w:tcBorders>
          </w:tcPr>
          <w:p>
            <w:pPr>
              <w:jc w:val="right"/>
              <w:ind w:right="641"/>
              <w:spacing w:after="0" w:line="129" w:lineRule="exact"/>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1"/>
                <w:szCs w:val="11"/>
                <w:color w:val="auto"/>
              </w:rPr>
            </w:pPr>
          </w:p>
        </w:tc>
        <w:tc>
          <w:tcPr>
            <w:tcW w:w="1660" w:type="dxa"/>
            <w:vAlign w:val="bottom"/>
            <w:tcBorders>
              <w:top w:val="single" w:sz="8" w:color="auto"/>
            </w:tcBorders>
          </w:tcPr>
          <w:p>
            <w:pPr>
              <w:jc w:val="right"/>
              <w:ind w:right="623"/>
              <w:spacing w:after="0" w:line="129" w:lineRule="exact"/>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1"/>
                <w:szCs w:val="11"/>
                <w:color w:val="auto"/>
              </w:rPr>
            </w:pPr>
          </w:p>
        </w:tc>
        <w:tc>
          <w:tcPr>
            <w:tcW w:w="1540" w:type="dxa"/>
            <w:vAlign w:val="bottom"/>
            <w:gridSpan w:val="2"/>
          </w:tcPr>
          <w:p>
            <w:pPr>
              <w:jc w:val="right"/>
              <w:ind w:right="660"/>
              <w:spacing w:after="0" w:line="129" w:lineRule="exact"/>
              <w:rPr>
                <w:sz w:val="20"/>
                <w:szCs w:val="20"/>
                <w:color w:val="auto"/>
              </w:rPr>
            </w:pPr>
            <w:r>
              <w:rPr>
                <w:rFonts w:ascii="Arial" w:cs="Arial" w:eastAsia="Arial" w:hAnsi="Arial"/>
                <w:sz w:val="13"/>
                <w:szCs w:val="13"/>
                <w:b w:val="1"/>
                <w:bCs w:val="1"/>
                <w:color w:val="auto"/>
              </w:rPr>
              <w:t>Change</w:t>
            </w:r>
          </w:p>
        </w:tc>
        <w:tc>
          <w:tcPr>
            <w:tcW w:w="700" w:type="dxa"/>
            <w:vAlign w:val="bottom"/>
          </w:tcPr>
          <w:p>
            <w:pPr>
              <w:jc w:val="right"/>
              <w:ind w:right="221"/>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9"/>
        </w:trPr>
        <w:tc>
          <w:tcPr>
            <w:tcW w:w="5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Borders>
              <w:top w:val="single" w:sz="8" w:color="auto"/>
            </w:tcBorders>
          </w:tcPr>
          <w:p>
            <w:pPr>
              <w:jc w:val="right"/>
              <w:ind w:right="803"/>
              <w:spacing w:after="0" w:line="129" w:lineRule="exact"/>
              <w:rPr>
                <w:sz w:val="20"/>
                <w:szCs w:val="20"/>
                <w:color w:val="auto"/>
              </w:rPr>
            </w:pPr>
            <w:r>
              <w:rPr>
                <w:rFonts w:ascii="Arial" w:cs="Arial" w:eastAsia="Arial" w:hAnsi="Arial"/>
                <w:sz w:val="13"/>
                <w:szCs w:val="13"/>
                <w:b w:val="1"/>
                <w:bCs w:val="1"/>
                <w:color w:val="auto"/>
              </w:rPr>
              <w:t>(in €)</w:t>
            </w:r>
          </w:p>
        </w:tc>
        <w:tc>
          <w:tcPr>
            <w:tcW w:w="22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9"/>
        </w:trPr>
        <w:tc>
          <w:tcPr>
            <w:tcW w:w="580" w:type="dxa"/>
            <w:vAlign w:val="bottom"/>
          </w:tcPr>
          <w:p>
            <w:pPr>
              <w:spacing w:after="0"/>
              <w:rPr>
                <w:sz w:val="16"/>
                <w:szCs w:val="16"/>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(98,563,529)</w:t>
            </w:r>
          </w:p>
        </w:tc>
        <w:tc>
          <w:tcPr>
            <w:tcW w:w="1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(65,575,030)</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(32,988,499)</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(47,124,638)</w:t>
            </w: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(31,338,590)</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(15,786,048)</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(145,688,167)</w:t>
            </w:r>
          </w:p>
        </w:tc>
        <w:tc>
          <w:tcPr>
            <w:tcW w:w="1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(96,913,620)</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(48,774,547)</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50%</w:t>
            </w:r>
          </w:p>
        </w:tc>
        <w:tc>
          <w:tcPr>
            <w:tcW w:w="5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Finance income (expense)</w:t>
            </w:r>
          </w:p>
        </w:tc>
        <w:tc>
          <w:tcPr>
            <w:tcW w:w="1700" w:type="dxa"/>
            <w:vAlign w:val="bottom"/>
          </w:tcPr>
          <w:p>
            <w:pPr>
              <w:jc w:val="right"/>
              <w:spacing w:after="0"/>
              <w:rPr>
                <w:sz w:val="20"/>
                <w:szCs w:val="20"/>
                <w:color w:val="auto"/>
              </w:rPr>
            </w:pPr>
            <w:r>
              <w:rPr>
                <w:rFonts w:ascii="Arial" w:cs="Arial" w:eastAsia="Arial" w:hAnsi="Arial"/>
                <w:sz w:val="16"/>
                <w:szCs w:val="16"/>
                <w:color w:val="auto"/>
              </w:rPr>
              <w:t>13,291,664</w:t>
            </w:r>
          </w:p>
        </w:tc>
        <w:tc>
          <w:tcPr>
            <w:tcW w:w="240" w:type="dxa"/>
            <w:vAlign w:val="bottom"/>
          </w:tcPr>
          <w:p>
            <w:pPr>
              <w:spacing w:after="0"/>
              <w:rPr>
                <w:sz w:val="16"/>
                <w:szCs w:val="16"/>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(2,912,643)</w:t>
            </w:r>
          </w:p>
        </w:tc>
        <w:tc>
          <w:tcPr>
            <w:tcW w:w="1320" w:type="dxa"/>
            <w:vAlign w:val="bottom"/>
          </w:tcPr>
          <w:p>
            <w:pPr>
              <w:jc w:val="right"/>
              <w:spacing w:after="0"/>
              <w:rPr>
                <w:sz w:val="20"/>
                <w:szCs w:val="20"/>
                <w:color w:val="auto"/>
              </w:rPr>
            </w:pPr>
            <w:r>
              <w:rPr>
                <w:rFonts w:ascii="Arial" w:cs="Arial" w:eastAsia="Arial" w:hAnsi="Arial"/>
                <w:sz w:val="16"/>
                <w:szCs w:val="16"/>
                <w:color w:val="auto"/>
              </w:rPr>
              <w:t>16,204,307</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(556)%</w:t>
            </w:r>
          </w:p>
        </w:tc>
        <w:tc>
          <w:tcPr>
            <w:tcW w:w="5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before income tax</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(132,396,503)</w:t>
            </w:r>
          </w:p>
        </w:tc>
        <w:tc>
          <w:tcPr>
            <w:tcW w:w="1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(99,826,263)</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(32,570,240)</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33%</w:t>
            </w:r>
          </w:p>
        </w:tc>
        <w:tc>
          <w:tcPr>
            <w:tcW w:w="5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Income taxes</w:t>
            </w: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(1,825,024)</w:t>
            </w: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(1,048,805)</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(776,219)</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74%</w:t>
            </w:r>
          </w:p>
        </w:tc>
        <w:tc>
          <w:tcPr>
            <w:tcW w:w="5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for the period</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(134,221,527)</w:t>
            </w:r>
          </w:p>
        </w:tc>
        <w:tc>
          <w:tcPr>
            <w:tcW w:w="1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(100,875,068)</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(33,346,459)</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33%</w:t>
            </w:r>
          </w:p>
        </w:tc>
        <w:tc>
          <w:tcPr>
            <w:tcW w:w="560" w:type="dxa"/>
            <w:vAlign w:val="bottom"/>
          </w:tcPr>
          <w:p>
            <w:pPr>
              <w:spacing w:after="0"/>
              <w:rPr>
                <w:sz w:val="16"/>
                <w:szCs w:val="16"/>
                <w:color w:val="auto"/>
              </w:rPr>
            </w:pPr>
          </w:p>
        </w:tc>
      </w:tr>
      <w:tr>
        <w:trPr>
          <w:trHeight w:val="875"/>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00" w:type="dxa"/>
            <w:vAlign w:val="bottom"/>
          </w:tcPr>
          <w:p>
            <w:pPr>
              <w:jc w:val="right"/>
              <w:ind w:right="301"/>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51"/>
        </w:trPr>
        <w:tc>
          <w:tcPr>
            <w:tcW w:w="5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48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37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Research and development expenses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360" w:type="dxa"/>
            <w:vAlign w:val="bottom"/>
            <w:gridSpan w:val="3"/>
          </w:tcPr>
          <w:p>
            <w:pPr>
              <w:jc w:val="center"/>
              <w:ind w:left="1124"/>
              <w:spacing w:after="0"/>
              <w:rPr>
                <w:sz w:val="20"/>
                <w:szCs w:val="20"/>
                <w:color w:val="auto"/>
              </w:rPr>
            </w:pPr>
            <w:r>
              <w:rPr>
                <w:rFonts w:ascii="Arial" w:cs="Arial" w:eastAsia="Arial" w:hAnsi="Arial"/>
                <w:sz w:val="13"/>
                <w:szCs w:val="13"/>
                <w:b w:val="1"/>
                <w:bCs w:val="1"/>
                <w:color w:val="auto"/>
                <w:w w:val="96"/>
              </w:rPr>
              <w:t>For the year ended</w:t>
            </w: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2360" w:type="dxa"/>
            <w:vAlign w:val="bottom"/>
            <w:gridSpan w:val="3"/>
          </w:tcPr>
          <w:p>
            <w:pPr>
              <w:jc w:val="center"/>
              <w:ind w:left="1144"/>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220" w:type="dxa"/>
            <w:vAlign w:val="bottom"/>
            <w:vMerge w:val="restart"/>
          </w:tcPr>
          <w:p>
            <w:pPr>
              <w:jc w:val="right"/>
              <w:ind w:right="603"/>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1"/>
                <w:szCs w:val="11"/>
                <w:color w:val="auto"/>
              </w:rPr>
            </w:pPr>
          </w:p>
        </w:tc>
        <w:tc>
          <w:tcPr>
            <w:tcW w:w="1480" w:type="dxa"/>
            <w:vAlign w:val="bottom"/>
            <w:gridSpan w:val="2"/>
            <w:vMerge w:val="restart"/>
          </w:tcPr>
          <w:p>
            <w:pPr>
              <w:jc w:val="right"/>
              <w:ind w:right="640"/>
              <w:spacing w:after="0"/>
              <w:rPr>
                <w:sz w:val="20"/>
                <w:szCs w:val="20"/>
                <w:color w:val="auto"/>
              </w:rPr>
            </w:pPr>
            <w:r>
              <w:rPr>
                <w:rFonts w:ascii="Arial" w:cs="Arial" w:eastAsia="Arial" w:hAnsi="Arial"/>
                <w:sz w:val="13"/>
                <w:szCs w:val="13"/>
                <w:b w:val="1"/>
                <w:bCs w:val="1"/>
                <w:color w:val="auto"/>
              </w:rPr>
              <w:t>Change</w:t>
            </w:r>
          </w:p>
        </w:tc>
        <w:tc>
          <w:tcPr>
            <w:tcW w:w="660" w:type="dxa"/>
            <w:vAlign w:val="bottom"/>
            <w:vMerge w:val="restart"/>
          </w:tcPr>
          <w:p>
            <w:pPr>
              <w:jc w:val="right"/>
              <w:ind w:right="20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40" w:type="dxa"/>
            <w:vAlign w:val="bottom"/>
          </w:tcPr>
          <w:p>
            <w:pPr>
              <w:spacing w:after="0"/>
              <w:rPr>
                <w:sz w:val="13"/>
                <w:szCs w:val="13"/>
                <w:color w:val="auto"/>
              </w:rPr>
            </w:pPr>
          </w:p>
        </w:tc>
        <w:tc>
          <w:tcPr>
            <w:tcW w:w="1700" w:type="dxa"/>
            <w:vAlign w:val="bottom"/>
          </w:tcPr>
          <w:p>
            <w:pPr>
              <w:jc w:val="right"/>
              <w:ind w:right="644"/>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843"/>
              <w:spacing w:after="0" w:line="129" w:lineRule="exact"/>
              <w:rPr>
                <w:sz w:val="20"/>
                <w:szCs w:val="20"/>
                <w:color w:val="auto"/>
              </w:rPr>
            </w:pPr>
            <w:r>
              <w:rPr>
                <w:rFonts w:ascii="Arial" w:cs="Arial" w:eastAsia="Arial" w:hAnsi="Arial"/>
                <w:sz w:val="13"/>
                <w:szCs w:val="13"/>
                <w:b w:val="1"/>
                <w:bCs w:val="1"/>
                <w:color w:val="auto"/>
                <w:w w:val="89"/>
              </w:rPr>
              <w:t>(in €)</w:t>
            </w:r>
          </w:p>
        </w:tc>
        <w:tc>
          <w:tcPr>
            <w:tcW w:w="22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Clinical expenses</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(55,867,694)</w:t>
            </w:r>
          </w:p>
        </w:tc>
        <w:tc>
          <w:tcPr>
            <w:tcW w:w="4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(30,690,293)</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(25,177,401)</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20"/>
                <w:szCs w:val="20"/>
                <w:color w:val="auto"/>
              </w:rPr>
            </w:pPr>
            <w:r>
              <w:rPr>
                <w:rFonts w:ascii="Arial" w:cs="Arial" w:eastAsia="Arial" w:hAnsi="Arial"/>
                <w:sz w:val="16"/>
                <w:szCs w:val="16"/>
                <w:color w:val="auto"/>
              </w:rPr>
              <w:t>Personnel expenses</w:t>
            </w: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(27,767,184)</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(19,132,307)</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(8,634,877)</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(9,434,537)</w:t>
            </w:r>
          </w:p>
        </w:tc>
        <w:tc>
          <w:tcPr>
            <w:tcW w:w="4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(6,500,986)</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(2,933,551)</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20"/>
                <w:szCs w:val="20"/>
                <w:color w:val="auto"/>
              </w:rPr>
            </w:pPr>
            <w:r>
              <w:rPr>
                <w:rFonts w:ascii="Arial" w:cs="Arial" w:eastAsia="Arial" w:hAnsi="Arial"/>
                <w:sz w:val="16"/>
                <w:szCs w:val="16"/>
                <w:color w:val="auto"/>
              </w:rPr>
              <w:t>Nonclinical expenses</w:t>
            </w: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(3,324,513)</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(8,977,187)</w:t>
            </w:r>
          </w:p>
        </w:tc>
        <w:tc>
          <w:tcPr>
            <w:tcW w:w="1240" w:type="dxa"/>
            <w:vAlign w:val="bottom"/>
          </w:tcPr>
          <w:p>
            <w:pPr>
              <w:jc w:val="right"/>
              <w:spacing w:after="0"/>
              <w:rPr>
                <w:sz w:val="20"/>
                <w:szCs w:val="20"/>
                <w:color w:val="auto"/>
              </w:rPr>
            </w:pPr>
            <w:r>
              <w:rPr>
                <w:rFonts w:ascii="Arial" w:cs="Arial" w:eastAsia="Arial" w:hAnsi="Arial"/>
                <w:sz w:val="16"/>
                <w:szCs w:val="16"/>
                <w:color w:val="auto"/>
              </w:rPr>
              <w:t>5,652,674</w:t>
            </w:r>
          </w:p>
        </w:tc>
        <w:tc>
          <w:tcPr>
            <w:tcW w:w="24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License costs</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(1,592,687)</w:t>
            </w:r>
          </w:p>
        </w:tc>
        <w:tc>
          <w:tcPr>
            <w:tcW w:w="4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(1,592,687)</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(576,914)</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(274,257)</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(302,657)</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research and development expenses</w:t>
            </w:r>
          </w:p>
        </w:tc>
        <w:tc>
          <w:tcPr>
            <w:tcW w:w="194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6"/>
                <w:szCs w:val="16"/>
                <w:b w:val="1"/>
                <w:bCs w:val="1"/>
                <w:color w:val="auto"/>
              </w:rPr>
              <w:t>(98,563,529)</w:t>
            </w:r>
          </w:p>
        </w:tc>
        <w:tc>
          <w:tcPr>
            <w:tcW w:w="4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b w:val="1"/>
                <w:bCs w:val="1"/>
                <w:color w:val="auto"/>
              </w:rPr>
              <w:t>(65,575,030)</w:t>
            </w:r>
          </w:p>
        </w:tc>
        <w:tc>
          <w:tcPr>
            <w:tcW w:w="148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6"/>
                <w:szCs w:val="16"/>
                <w:color w:val="auto"/>
              </w:rPr>
              <w:t>(32,988,499)</w:t>
            </w:r>
          </w:p>
        </w:tc>
        <w:tc>
          <w:tcPr>
            <w:tcW w:w="8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946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94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jc w:val="both"/>
        <w:ind w:right="140" w:firstLine="458"/>
        <w:spacing w:after="0" w:line="266" w:lineRule="auto"/>
        <w:rPr>
          <w:sz w:val="20"/>
          <w:szCs w:val="20"/>
          <w:color w:val="auto"/>
        </w:rPr>
      </w:pPr>
      <w:r>
        <w:rPr>
          <w:rFonts w:ascii="Arial" w:cs="Arial" w:eastAsia="Arial" w:hAnsi="Arial"/>
          <w:sz w:val="16"/>
          <w:szCs w:val="16"/>
          <w:color w:val="auto"/>
        </w:rPr>
        <w:t>Research and development expenses increased by €33.0 million in 2024, or 50%, from €65.6 million for the year ended December 31, 2023 to €98.6 million for the year ended December 31, 2024. The increase in research and development expenses was mainly driven by an increase in clinical expenses and personnel expenses, offset by a decrease in nonclinical expenses.</w:t>
      </w:r>
    </w:p>
    <w:p>
      <w:pPr>
        <w:spacing w:after="0" w:line="212" w:lineRule="exact"/>
        <w:rPr>
          <w:sz w:val="20"/>
          <w:szCs w:val="20"/>
          <w:color w:val="auto"/>
        </w:rPr>
      </w:pPr>
    </w:p>
    <w:p>
      <w:pPr>
        <w:jc w:val="both"/>
        <w:ind w:right="160" w:firstLine="458"/>
        <w:spacing w:after="0" w:line="266" w:lineRule="auto"/>
        <w:rPr>
          <w:sz w:val="20"/>
          <w:szCs w:val="20"/>
          <w:color w:val="auto"/>
        </w:rPr>
      </w:pPr>
      <w:r>
        <w:rPr>
          <w:rFonts w:ascii="Arial" w:cs="Arial" w:eastAsia="Arial" w:hAnsi="Arial"/>
          <w:sz w:val="16"/>
          <w:szCs w:val="16"/>
          <w:color w:val="auto"/>
        </w:rPr>
        <w:t>For the years ended December 31, 2024 and 2023, clinical expenses were €55.9 million and €30.7 million, respectively. This represents an increase of €25.2 million, or 82%. The increase is primarily due to the initiation of enrollment in the On-Demand Treatment Phase 3 trial, initiation of activities for the prophylaxis Phase 3 trial, and implementation and conduct of the On-Demand Treatment and prophylaxis open-label extension studies.</w:t>
      </w:r>
    </w:p>
    <w:p>
      <w:pPr>
        <w:spacing w:after="0" w:line="225"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For the years ended December 31, 2024 and 2023, personnel expenses were €27.8 million and €19.1 million, respectively. This represents an increase of €8.6 million, or 45%. The increase is primarily due to an increase in salary, bonus and benefits expense resulting from hiring additional personnel to handle the expanded clinical development activities. The remaining increase in personnel expenses is driven by share-based compensation expenses due to the new grants made during the period. Share-based compensation expense in the current-year included an amount of €7.9 million of share-based compensation expense versus €4.6 million in the prior-year period.</w:t>
      </w:r>
    </w:p>
    <w:p>
      <w:pPr>
        <w:spacing w:after="0" w:line="220"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For the years ended December 31, 2024 and 2023, nonclinical expenses were €3.3 million and €9.0 million, respectively. This represents a decrease of €5.7 million, or 63%. The decrease in nonclinical expenses is primarily due to a decrease in the number and scope of studies conducted in 2024 versus 2023 to lift the deucrictibant clinical hold.</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General and Administrative Expenses</w:t>
      </w:r>
    </w:p>
    <w:p>
      <w:pPr>
        <w:spacing w:after="0" w:line="213" w:lineRule="exact"/>
        <w:rPr>
          <w:sz w:val="20"/>
          <w:szCs w:val="20"/>
          <w:color w:val="auto"/>
        </w:rPr>
      </w:pPr>
    </w:p>
    <w:p>
      <w:pPr>
        <w:jc w:val="center"/>
        <w:ind w:left="1760"/>
        <w:spacing w:after="0"/>
        <w:rPr>
          <w:sz w:val="20"/>
          <w:szCs w:val="20"/>
          <w:color w:val="auto"/>
        </w:rPr>
      </w:pPr>
      <w:r>
        <w:rPr>
          <w:rFonts w:ascii="Arial" w:cs="Arial" w:eastAsia="Arial" w:hAnsi="Arial"/>
          <w:sz w:val="13"/>
          <w:szCs w:val="13"/>
          <w:b w:val="1"/>
          <w:bCs w:val="1"/>
          <w:color w:val="auto"/>
        </w:rPr>
        <w:t>For the year ended</w:t>
      </w:r>
    </w:p>
    <w:p>
      <w:pPr>
        <w:jc w:val="center"/>
        <w:ind w:left="1780"/>
        <w:spacing w:after="0" w:line="226" w:lineRule="auto"/>
        <w:rPr>
          <w:sz w:val="20"/>
          <w:szCs w:val="20"/>
          <w:color w:val="auto"/>
        </w:rPr>
      </w:pPr>
      <w:r>
        <w:rPr>
          <w:rFonts w:ascii="Arial" w:cs="Arial" w:eastAsia="Arial" w:hAnsi="Arial"/>
          <w:sz w:val="13"/>
          <w:szCs w:val="13"/>
          <w:b w:val="1"/>
          <w:bCs w:val="1"/>
          <w:color w:val="auto"/>
        </w:rPr>
        <w:t>December 31,</w:t>
      </w:r>
    </w:p>
    <w:tbl>
      <w:tblPr>
        <w:tblLayout w:type="fixed"/>
        <w:tblInd w:w="580" w:type="dxa"/>
        <w:tblCellMar>
          <w:top w:w="0" w:type="dxa"/>
          <w:left w:w="0" w:type="dxa"/>
          <w:bottom w:w="0" w:type="dxa"/>
          <w:right w:w="0" w:type="dxa"/>
        </w:tblCellMar>
      </w:tblPr>
      <w:tr>
        <w:trPr>
          <w:trHeight w:val="128"/>
        </w:trPr>
        <w:tc>
          <w:tcPr>
            <w:tcW w:w="4600" w:type="dxa"/>
            <w:vAlign w:val="bottom"/>
          </w:tcPr>
          <w:p>
            <w:pPr>
              <w:spacing w:after="0"/>
              <w:rPr>
                <w:sz w:val="11"/>
                <w:szCs w:val="11"/>
                <w:color w:val="auto"/>
              </w:rPr>
            </w:pPr>
          </w:p>
        </w:tc>
        <w:tc>
          <w:tcPr>
            <w:tcW w:w="1300" w:type="dxa"/>
            <w:vAlign w:val="bottom"/>
            <w:tcBorders>
              <w:top w:val="single" w:sz="8" w:color="auto"/>
              <w:bottom w:val="single" w:sz="8" w:color="auto"/>
            </w:tcBorders>
          </w:tcPr>
          <w:p>
            <w:pPr>
              <w:jc w:val="right"/>
              <w:ind w:right="421"/>
              <w:spacing w:after="0" w:line="129" w:lineRule="exact"/>
              <w:rPr>
                <w:sz w:val="20"/>
                <w:szCs w:val="20"/>
                <w:color w:val="auto"/>
              </w:rPr>
            </w:pPr>
            <w:r>
              <w:rPr>
                <w:rFonts w:ascii="Arial" w:cs="Arial" w:eastAsia="Arial" w:hAnsi="Arial"/>
                <w:sz w:val="13"/>
                <w:szCs w:val="13"/>
                <w:b w:val="1"/>
                <w:bCs w:val="1"/>
                <w:color w:val="auto"/>
              </w:rPr>
              <w:t>2024</w:t>
            </w: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343"/>
              <w:spacing w:after="0" w:line="129"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1"/>
                <w:szCs w:val="11"/>
                <w:color w:val="auto"/>
              </w:rPr>
            </w:pPr>
          </w:p>
        </w:tc>
        <w:tc>
          <w:tcPr>
            <w:tcW w:w="1200" w:type="dxa"/>
            <w:vAlign w:val="bottom"/>
            <w:tcBorders>
              <w:bottom w:val="single" w:sz="8" w:color="auto"/>
            </w:tcBorders>
          </w:tcPr>
          <w:p>
            <w:pPr>
              <w:ind w:left="380"/>
              <w:spacing w:after="0" w:line="129" w:lineRule="exact"/>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right"/>
              <w:ind w:right="301"/>
              <w:spacing w:after="0" w:line="12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1"/>
                <w:szCs w:val="11"/>
                <w:color w:val="auto"/>
              </w:rPr>
            </w:pPr>
          </w:p>
        </w:tc>
      </w:tr>
      <w:tr>
        <w:trPr>
          <w:trHeight w:val="128"/>
        </w:trPr>
        <w:tc>
          <w:tcPr>
            <w:tcW w:w="4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rPr>
              <w:t>(in €)</w:t>
            </w: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8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(18,883,708)</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(13,314,359)</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(5,569,349)</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42%</w:t>
            </w:r>
          </w:p>
        </w:tc>
      </w:tr>
      <w:tr>
        <w:trPr>
          <w:trHeight w:val="189"/>
        </w:trPr>
        <w:tc>
          <w:tcPr>
            <w:tcW w:w="4600" w:type="dxa"/>
            <w:vAlign w:val="bottom"/>
          </w:tcPr>
          <w:p>
            <w:pPr>
              <w:spacing w:after="0"/>
              <w:rPr>
                <w:sz w:val="20"/>
                <w:szCs w:val="20"/>
                <w:color w:val="auto"/>
              </w:rPr>
            </w:pPr>
            <w:r>
              <w:rPr>
                <w:rFonts w:ascii="Arial" w:cs="Arial" w:eastAsia="Arial" w:hAnsi="Arial"/>
                <w:sz w:val="16"/>
                <w:szCs w:val="16"/>
                <w:color w:val="auto"/>
              </w:rPr>
              <w:t>Professional fees</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(7,757,750)</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(4,689,462)</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(3,068,288)</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65%</w:t>
            </w:r>
          </w:p>
        </w:tc>
      </w:tr>
      <w:tr>
        <w:trPr>
          <w:trHeight w:val="18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Insurance, facilities and office expenses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(6,509,691)</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(6,031,513)</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(478,178)</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w:t>
            </w:r>
          </w:p>
        </w:tc>
      </w:tr>
      <w:tr>
        <w:trPr>
          <w:trHeight w:val="189"/>
        </w:trPr>
        <w:tc>
          <w:tcPr>
            <w:tcW w:w="460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(4,017,669)</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(2,029,554)</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(1,988,115)</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98%</w:t>
            </w:r>
          </w:p>
        </w:tc>
      </w:tr>
      <w:tr>
        <w:trPr>
          <w:trHeight w:val="18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Travel expenses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(2,129,631)</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(1,797,588)</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(332,043)</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w:t>
            </w:r>
          </w:p>
        </w:tc>
      </w:tr>
      <w:tr>
        <w:trPr>
          <w:trHeight w:val="189"/>
        </w:trPr>
        <w:tc>
          <w:tcPr>
            <w:tcW w:w="4600" w:type="dxa"/>
            <w:vAlign w:val="bottom"/>
          </w:tcPr>
          <w:p>
            <w:pPr>
              <w:spacing w:after="0"/>
              <w:rPr>
                <w:sz w:val="20"/>
                <w:szCs w:val="20"/>
                <w:color w:val="auto"/>
              </w:rPr>
            </w:pPr>
            <w:r>
              <w:rPr>
                <w:rFonts w:ascii="Arial" w:cs="Arial" w:eastAsia="Arial" w:hAnsi="Arial"/>
                <w:sz w:val="16"/>
                <w:szCs w:val="16"/>
                <w:color w:val="auto"/>
              </w:rPr>
              <w:t>Consulting fees</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(858,843)</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(602,110)</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(256,733)</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43%</w:t>
            </w:r>
          </w:p>
        </w:tc>
      </w:tr>
      <w:tr>
        <w:trPr>
          <w:trHeight w:val="18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(6,967,346)</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(2,874,004)</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(4,093,342)</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142%</w:t>
            </w:r>
          </w:p>
        </w:tc>
      </w:tr>
      <w:tr>
        <w:trPr>
          <w:trHeight w:val="20"/>
        </w:trPr>
        <w:tc>
          <w:tcPr>
            <w:tcW w:w="46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r>
      <w:tr>
        <w:trPr>
          <w:trHeight w:val="183"/>
        </w:trPr>
        <w:tc>
          <w:tcPr>
            <w:tcW w:w="4600" w:type="dxa"/>
            <w:vAlign w:val="bottom"/>
          </w:tcPr>
          <w:p>
            <w:pPr>
              <w:spacing w:after="0" w:line="183" w:lineRule="exact"/>
              <w:rPr>
                <w:sz w:val="20"/>
                <w:szCs w:val="20"/>
                <w:color w:val="auto"/>
              </w:rPr>
            </w:pPr>
            <w:r>
              <w:rPr>
                <w:rFonts w:ascii="Arial" w:cs="Arial" w:eastAsia="Arial" w:hAnsi="Arial"/>
                <w:sz w:val="16"/>
                <w:szCs w:val="16"/>
                <w:b w:val="1"/>
                <w:bCs w:val="1"/>
                <w:color w:val="auto"/>
              </w:rPr>
              <w:t>General and administrative expenses</w:t>
            </w:r>
          </w:p>
        </w:tc>
        <w:tc>
          <w:tcPr>
            <w:tcW w:w="1560" w:type="dxa"/>
            <w:vAlign w:val="bottom"/>
            <w:gridSpan w:val="2"/>
          </w:tcPr>
          <w:p>
            <w:pPr>
              <w:jc w:val="right"/>
              <w:ind w:right="200"/>
              <w:spacing w:after="0" w:line="183" w:lineRule="exact"/>
              <w:rPr>
                <w:sz w:val="20"/>
                <w:szCs w:val="20"/>
                <w:color w:val="auto"/>
              </w:rPr>
            </w:pPr>
            <w:r>
              <w:rPr>
                <w:rFonts w:ascii="Arial" w:cs="Arial" w:eastAsia="Arial" w:hAnsi="Arial"/>
                <w:sz w:val="16"/>
                <w:szCs w:val="16"/>
                <w:b w:val="1"/>
                <w:bCs w:val="1"/>
                <w:color w:val="auto"/>
              </w:rPr>
              <w:t>(47,124,638)</w:t>
            </w:r>
          </w:p>
        </w:tc>
        <w:tc>
          <w:tcPr>
            <w:tcW w:w="132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(31,338,590)</w:t>
            </w:r>
          </w:p>
        </w:tc>
        <w:tc>
          <w:tcPr>
            <w:tcW w:w="142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(15,786,048)</w:t>
            </w:r>
          </w:p>
        </w:tc>
        <w:tc>
          <w:tcPr>
            <w:tcW w:w="1200" w:type="dxa"/>
            <w:vAlign w:val="bottom"/>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50%</w:t>
            </w:r>
          </w:p>
        </w:tc>
      </w:tr>
      <w:tr>
        <w:trPr>
          <w:trHeight w:val="20"/>
        </w:trPr>
        <w:tc>
          <w:tcPr>
            <w:tcW w:w="46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-153670</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-153670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-153670</wp:posOffset>
            </wp:positionV>
            <wp:extent cx="1803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49"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General and administrative expenses increased by €15.8 million, or 50% from €31.3 million for the year ended December 31, 2023 to €47.1 million for the year ended December 31, 2024. The increase in general and administrative expenses was mainly driven by an increase in personnel, professional and other expenses.</w:t>
      </w:r>
    </w:p>
    <w:p>
      <w:pPr>
        <w:spacing w:after="0" w:line="63" w:lineRule="exact"/>
        <w:rPr>
          <w:sz w:val="20"/>
          <w:szCs w:val="20"/>
          <w:color w:val="auto"/>
        </w:rPr>
      </w:pPr>
    </w:p>
    <w:p>
      <w:pPr>
        <w:ind w:right="300" w:firstLine="458"/>
        <w:spacing w:after="0" w:line="256" w:lineRule="auto"/>
        <w:rPr>
          <w:sz w:val="20"/>
          <w:szCs w:val="20"/>
          <w:color w:val="auto"/>
        </w:rPr>
      </w:pPr>
      <w:r>
        <w:rPr>
          <w:rFonts w:ascii="Arial" w:cs="Arial" w:eastAsia="Arial" w:hAnsi="Arial"/>
          <w:sz w:val="16"/>
          <w:szCs w:val="16"/>
          <w:color w:val="auto"/>
        </w:rPr>
        <w:t>For the years ended December 31, 2024 and 2023, personnel expenses were €18.9 million and €13.3 million, respectively. This represents an increase of €5.6 million, or 42%. The increase is primarily due to an increase in salary, bonus and benefits expense resulting from hiring additional employees. The remaining increase in personnel expenses is driven by an increase in share-based compensation expenses due to the new grants made during the period, including equity grants to senior level hires made during the period. Share-based compensation expense in the current-year period included an amount of €8.3 million compared to €6.1 million in the prior-year period.</w:t>
      </w:r>
    </w:p>
    <w:p>
      <w:pPr>
        <w:spacing w:after="0" w:line="72"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For the years ended December 31, 2024 and 2023, professional fees were €7.8 million and €4.7 million, respectively. The increase of €3.1 million is primarily due to increased outside legal fees and commercial consulting related to pre-launch activities, including market access.</w:t>
      </w:r>
    </w:p>
    <w:p>
      <w:pPr>
        <w:spacing w:after="0" w:line="48" w:lineRule="exact"/>
        <w:rPr>
          <w:sz w:val="20"/>
          <w:szCs w:val="20"/>
          <w:color w:val="auto"/>
        </w:rPr>
      </w:pPr>
    </w:p>
    <w:p>
      <w:pPr>
        <w:ind w:right="280" w:firstLine="458"/>
        <w:spacing w:after="0" w:line="286" w:lineRule="auto"/>
        <w:rPr>
          <w:sz w:val="20"/>
          <w:szCs w:val="20"/>
          <w:color w:val="auto"/>
        </w:rPr>
      </w:pPr>
      <w:r>
        <w:rPr>
          <w:rFonts w:ascii="Arial" w:cs="Arial" w:eastAsia="Arial" w:hAnsi="Arial"/>
          <w:sz w:val="16"/>
          <w:szCs w:val="16"/>
          <w:color w:val="auto"/>
        </w:rPr>
        <w:t>For the years ended December 31, 2024 and 2023, other expenses were €7.0 million and €2.9 million, respectively. The increase of €4.1 million, is primarily due to an increase in marketing, promotion, conferences and seminars related to pre-launch activities.</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49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3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Finance income / (expense) - net</w:t>
      </w:r>
    </w:p>
    <w:p>
      <w:pPr>
        <w:spacing w:after="0" w:line="111" w:lineRule="exact"/>
        <w:rPr>
          <w:sz w:val="20"/>
          <w:szCs w:val="20"/>
          <w:color w:val="auto"/>
        </w:rPr>
      </w:pPr>
    </w:p>
    <w:p>
      <w:pPr>
        <w:ind w:right="280" w:firstLine="458"/>
        <w:spacing w:after="0" w:line="259" w:lineRule="auto"/>
        <w:rPr>
          <w:sz w:val="20"/>
          <w:szCs w:val="20"/>
          <w:color w:val="auto"/>
        </w:rPr>
      </w:pPr>
      <w:r>
        <w:rPr>
          <w:rFonts w:ascii="Arial" w:cs="Arial" w:eastAsia="Arial" w:hAnsi="Arial"/>
          <w:sz w:val="16"/>
          <w:szCs w:val="16"/>
          <w:color w:val="auto"/>
        </w:rPr>
        <w:t>Finance income / (expense) - net, for the year ended December 31, 2024 and 2023 were €13.3 million and (€2.9) million, respectively, a change of €16.2 million. The amount mainly relates to unrealized foreign exchange gains of €7.9 million for 2024, compared to a loss of €3.1 million in the prior year which is mostly the result of translating the Company’s bank balances held in USD to EUR. Interest income increased from €0.2 million in 2023 to €5.5 million in 2024.</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Income taxes</w:t>
      </w:r>
    </w:p>
    <w:p>
      <w:pPr>
        <w:spacing w:after="0" w:line="111"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 Following discussions with the Dutch tax authorities in November 2022, the Company concluded that foreign exchange results should be allocated to the principal Company in Switzerland. As a result, the current losses for Switzerland are partly exacerbated by the allocated foreign exchange results. The Company did not recognize the tax benefit of the losses incurred in previous years.</w:t>
      </w:r>
    </w:p>
    <w:p>
      <w:pPr>
        <w:spacing w:after="0" w:line="218"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The Company and its subsidiaries have tax loss carry-forwards as of December 31, 2024 of approximately €449.8 million (2023: €325.0 million, 2022: €182.3 million), that are available for offsetting against future taxable profits of the Companies in which the losses arose. In the Netherlands, profits in a given year can be offset against tax loss carry forwards for an unlimited period of time. The amount of the offset is, however, limited to 50% of taxable income (in excess of €1.0 million). Under Swiss law, losses can be offset against future income or capital gains for seven years.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13"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Annual Report for a description of our other material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Share-based Compensation Arrangements</w:t>
      </w:r>
    </w:p>
    <w:p>
      <w:pPr>
        <w:spacing w:after="0" w:line="113"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We adopted an equity-settled share-based compensation plan in 2016, pursuant to which certain participants are granted the right to acquire ordinary shares or RSU’s of the Company. This plan has been superseded by the 2021 long term incentive plan. The grants made under these plans are accounted for in accordance with the policy as stated in Note 2.15 to our consolidated financial statements included elsewhere in this Annual Report. The total amount to be expensed is determined by reference to the fair value of the options or restricted stock units granted. The fair value of the options is measured at the date of grant using the Black-Scholes formula.</w:t>
      </w:r>
    </w:p>
    <w:p>
      <w:pPr>
        <w:spacing w:after="0" w:line="72" w:lineRule="exact"/>
        <w:rPr>
          <w:sz w:val="20"/>
          <w:szCs w:val="20"/>
          <w:color w:val="auto"/>
        </w:rPr>
      </w:pPr>
    </w:p>
    <w:p>
      <w:pPr>
        <w:ind w:right="760" w:firstLine="458"/>
        <w:spacing w:after="0" w:line="28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96" w:lineRule="exact"/>
        <w:rPr>
          <w:sz w:val="20"/>
          <w:szCs w:val="20"/>
          <w:color w:val="auto"/>
        </w:rPr>
      </w:pPr>
    </w:p>
    <w:p>
      <w:pPr>
        <w:ind w:right="480" w:firstLine="458"/>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November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w:t>
            </w:r>
          </w:p>
        </w:tc>
      </w:tr>
      <w:tr>
        <w:trPr>
          <w:trHeight w:val="162"/>
        </w:trPr>
        <w:tc>
          <w:tcPr>
            <w:tcW w:w="190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August 1,</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April 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April 11,</w:t>
            </w:r>
          </w:p>
        </w:tc>
        <w:tc>
          <w:tcPr>
            <w:tcW w:w="8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April 6,</w:t>
            </w:r>
          </w:p>
        </w:tc>
        <w:tc>
          <w:tcPr>
            <w:tcW w:w="1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4"/>
                <w:szCs w:val="14"/>
                <w:color w:val="auto"/>
              </w:rPr>
            </w:pPr>
          </w:p>
        </w:tc>
        <w:tc>
          <w:tcPr>
            <w:tcW w:w="520" w:type="dxa"/>
            <w:vAlign w:val="bottom"/>
          </w:tcPr>
          <w:p>
            <w:pPr>
              <w:jc w:val="right"/>
              <w:ind w:right="208"/>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r>
      <w:tr>
        <w:trPr>
          <w:trHeight w:val="171"/>
        </w:trPr>
        <w:tc>
          <w:tcPr>
            <w:tcW w:w="1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55"/>
        </w:trPr>
        <w:tc>
          <w:tcPr>
            <w:tcW w:w="1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1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Number of options</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75,000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230,000</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70,000</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485,000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90,000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846,000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120,000</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552,500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70,000</w:t>
            </w:r>
          </w:p>
        </w:tc>
        <w:tc>
          <w:tcPr>
            <w:tcW w:w="140" w:type="dxa"/>
            <w:vAlign w:val="bottom"/>
            <w:shd w:val="clear" w:color="auto" w:fill="CFF0FC"/>
          </w:tcPr>
          <w:p>
            <w:pPr>
              <w:spacing w:after="0"/>
              <w:rPr>
                <w:sz w:val="13"/>
                <w:szCs w:val="13"/>
                <w:color w:val="auto"/>
              </w:rPr>
            </w:pPr>
          </w:p>
        </w:tc>
      </w:tr>
      <w:tr>
        <w:trPr>
          <w:trHeight w:val="162"/>
        </w:trPr>
        <w:tc>
          <w:tcPr>
            <w:tcW w:w="1900" w:type="dxa"/>
            <w:vAlign w:val="bottom"/>
          </w:tcPr>
          <w:p>
            <w:pPr>
              <w:spacing w:after="0"/>
              <w:rPr>
                <w:sz w:val="20"/>
                <w:szCs w:val="20"/>
                <w:color w:val="auto"/>
              </w:rPr>
            </w:pPr>
            <w:r>
              <w:rPr>
                <w:rFonts w:ascii="Arial" w:cs="Arial" w:eastAsia="Arial" w:hAnsi="Arial"/>
                <w:sz w:val="14"/>
                <w:szCs w:val="14"/>
                <w:color w:val="auto"/>
              </w:rPr>
              <w:t>Fair value of the options</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11.65</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15.41</w:t>
            </w:r>
          </w:p>
        </w:tc>
        <w:tc>
          <w:tcPr>
            <w:tcW w:w="18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16.83</w:t>
            </w:r>
          </w:p>
        </w:tc>
        <w:tc>
          <w:tcPr>
            <w:tcW w:w="180" w:type="dxa"/>
            <w:vAlign w:val="bottom"/>
          </w:tcPr>
          <w:p>
            <w:pPr>
              <w:spacing w:after="0"/>
              <w:rPr>
                <w:sz w:val="14"/>
                <w:szCs w:val="14"/>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16.90</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12.27</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5.92</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11.89</w:t>
            </w:r>
          </w:p>
        </w:tc>
        <w:tc>
          <w:tcPr>
            <w:tcW w:w="16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11.50</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9.08</w:t>
            </w:r>
          </w:p>
        </w:tc>
        <w:tc>
          <w:tcPr>
            <w:tcW w:w="140" w:type="dxa"/>
            <w:vAlign w:val="bottom"/>
          </w:tcPr>
          <w:p>
            <w:pPr>
              <w:spacing w:after="0"/>
              <w:rPr>
                <w:sz w:val="14"/>
                <w:szCs w:val="14"/>
                <w:color w:val="auto"/>
              </w:rPr>
            </w:pPr>
          </w:p>
        </w:tc>
      </w:tr>
      <w:tr>
        <w:trPr>
          <w:trHeight w:val="153"/>
        </w:trPr>
        <w:tc>
          <w:tcPr>
            <w:tcW w:w="19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Fair value of the ordinary</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71"/>
        </w:trPr>
        <w:tc>
          <w:tcPr>
            <w:tcW w:w="1900" w:type="dxa"/>
            <w:vAlign w:val="bottom"/>
            <w:shd w:val="clear" w:color="auto" w:fill="CFF0FC"/>
          </w:tcPr>
          <w:p>
            <w:pPr>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18.97</w:t>
            </w:r>
          </w:p>
        </w:tc>
        <w:tc>
          <w:tcPr>
            <w:tcW w:w="180" w:type="dxa"/>
            <w:vAlign w:val="bottom"/>
            <w:shd w:val="clear" w:color="auto" w:fill="CFF0FC"/>
          </w:tcPr>
          <w:p>
            <w:pPr>
              <w:spacing w:after="0"/>
              <w:rPr>
                <w:sz w:val="14"/>
                <w:szCs w:val="14"/>
                <w:color w:val="auto"/>
              </w:rPr>
            </w:pP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20.80</w:t>
            </w:r>
          </w:p>
        </w:tc>
        <w:tc>
          <w:tcPr>
            <w:tcW w:w="18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16.88</w:t>
            </w:r>
          </w:p>
        </w:tc>
        <w:tc>
          <w:tcPr>
            <w:tcW w:w="1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w:t>
            </w:r>
          </w:p>
        </w:tc>
        <w:tc>
          <w:tcPr>
            <w:tcW w:w="140" w:type="dxa"/>
            <w:vAlign w:val="bottom"/>
            <w:shd w:val="clear" w:color="auto" w:fill="CFF0FC"/>
          </w:tcPr>
          <w:p>
            <w:pPr>
              <w:spacing w:after="0"/>
              <w:rPr>
                <w:sz w:val="14"/>
                <w:szCs w:val="14"/>
                <w:color w:val="auto"/>
              </w:rPr>
            </w:pPr>
          </w:p>
        </w:tc>
      </w:tr>
      <w:tr>
        <w:trPr>
          <w:trHeight w:val="162"/>
        </w:trPr>
        <w:tc>
          <w:tcPr>
            <w:tcW w:w="1900" w:type="dxa"/>
            <w:vAlign w:val="bottom"/>
          </w:tcPr>
          <w:p>
            <w:pPr>
              <w:spacing w:after="0"/>
              <w:rPr>
                <w:sz w:val="20"/>
                <w:szCs w:val="20"/>
                <w:color w:val="auto"/>
              </w:rPr>
            </w:pPr>
            <w:r>
              <w:rPr>
                <w:rFonts w:ascii="Arial" w:cs="Arial" w:eastAsia="Arial" w:hAnsi="Arial"/>
                <w:sz w:val="14"/>
                <w:szCs w:val="14"/>
                <w:color w:val="auto"/>
              </w:rPr>
              <w:t>Exercise price</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14.43</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18.97</w:t>
            </w:r>
          </w:p>
        </w:tc>
        <w:tc>
          <w:tcPr>
            <w:tcW w:w="18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20.80</w:t>
            </w:r>
          </w:p>
        </w:tc>
        <w:tc>
          <w:tcPr>
            <w:tcW w:w="180" w:type="dxa"/>
            <w:vAlign w:val="bottom"/>
          </w:tcPr>
          <w:p>
            <w:pPr>
              <w:spacing w:after="0"/>
              <w:rPr>
                <w:sz w:val="14"/>
                <w:szCs w:val="14"/>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20.80</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15.12</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7.36</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16.88</w:t>
            </w:r>
          </w:p>
        </w:tc>
        <w:tc>
          <w:tcPr>
            <w:tcW w:w="16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16.42</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12.65</w:t>
            </w:r>
          </w:p>
        </w:tc>
        <w:tc>
          <w:tcPr>
            <w:tcW w:w="140" w:type="dxa"/>
            <w:vAlign w:val="bottom"/>
          </w:tcPr>
          <w:p>
            <w:pPr>
              <w:spacing w:after="0"/>
              <w:rPr>
                <w:sz w:val="14"/>
                <w:szCs w:val="14"/>
                <w:color w:val="auto"/>
              </w:rPr>
            </w:pPr>
          </w:p>
        </w:tc>
      </w:tr>
      <w:tr>
        <w:trPr>
          <w:trHeight w:val="162"/>
        </w:trPr>
        <w:tc>
          <w:tcPr>
            <w:tcW w:w="1900" w:type="dxa"/>
            <w:vAlign w:val="bottom"/>
            <w:shd w:val="clear" w:color="auto" w:fill="CFF0FC"/>
          </w:tcPr>
          <w:p>
            <w:pPr>
              <w:spacing w:after="0"/>
              <w:rPr>
                <w:sz w:val="20"/>
                <w:szCs w:val="20"/>
                <w:color w:val="auto"/>
              </w:rPr>
            </w:pPr>
            <w:r>
              <w:rPr>
                <w:rFonts w:ascii="Arial" w:cs="Arial" w:eastAsia="Arial" w:hAnsi="Arial"/>
                <w:sz w:val="14"/>
                <w:szCs w:val="14"/>
                <w:color w:val="auto"/>
              </w:rPr>
              <w:t>Expected volatility (%)</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80%</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85%</w:t>
            </w:r>
          </w:p>
        </w:tc>
      </w:tr>
      <w:tr>
        <w:trPr>
          <w:trHeight w:val="162"/>
        </w:trPr>
        <w:tc>
          <w:tcPr>
            <w:tcW w:w="1900" w:type="dxa"/>
            <w:vAlign w:val="bottom"/>
          </w:tcPr>
          <w:p>
            <w:pPr>
              <w:spacing w:after="0"/>
              <w:rPr>
                <w:sz w:val="20"/>
                <w:szCs w:val="20"/>
                <w:color w:val="auto"/>
              </w:rPr>
            </w:pPr>
            <w:r>
              <w:rPr>
                <w:rFonts w:ascii="Arial" w:cs="Arial" w:eastAsia="Arial" w:hAnsi="Arial"/>
                <w:sz w:val="14"/>
                <w:szCs w:val="14"/>
                <w:color w:val="auto"/>
              </w:rPr>
              <w:t>Expected life (years)</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4"/>
                <w:szCs w:val="14"/>
                <w:color w:val="auto"/>
              </w:rPr>
            </w:pPr>
          </w:p>
        </w:tc>
      </w:tr>
      <w:tr>
        <w:trPr>
          <w:trHeight w:val="162"/>
        </w:trPr>
        <w:tc>
          <w:tcPr>
            <w:tcW w:w="1900" w:type="dxa"/>
            <w:vAlign w:val="bottom"/>
            <w:shd w:val="clear" w:color="auto" w:fill="CFF0FC"/>
          </w:tcPr>
          <w:p>
            <w:pPr>
              <w:spacing w:after="0"/>
              <w:rPr>
                <w:sz w:val="20"/>
                <w:szCs w:val="20"/>
                <w:color w:val="auto"/>
              </w:rPr>
            </w:pPr>
            <w:r>
              <w:rPr>
                <w:rFonts w:ascii="Arial" w:cs="Arial" w:eastAsia="Arial" w:hAnsi="Arial"/>
                <w:sz w:val="14"/>
                <w:szCs w:val="14"/>
                <w:color w:val="auto"/>
              </w:rPr>
              <w:t>Risk-free interest rate (%)</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4.7%</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w:t>
            </w: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Expected volatility in 2024 and 2023, was based on the volatility of the Company and comparable peer group companies, while in prior periods expected volatility was based on an evaluation of the historical volatilities of comparable listed biotech-companies only. The expected life is based on Management’s best estimate of when the options will be exercised. The risk-free interest rate is based on the yield on US Government bonds depending on whether the exercise price is in euros or in US dollars. The expected dividend yield is zero considering the stage of the Company.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50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expenditures</w:t>
      </w:r>
    </w:p>
    <w:p>
      <w:pPr>
        <w:spacing w:after="0" w:line="113"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see Note 2.16 and Note 3 to our consolidated financial statements included elsewhere in this Annual Report.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88" w:lineRule="exact"/>
        <w:rPr>
          <w:sz w:val="20"/>
          <w:szCs w:val="20"/>
          <w:color w:val="auto"/>
        </w:rPr>
      </w:pPr>
    </w:p>
    <w:p>
      <w:pPr>
        <w:ind w:left="900" w:hanging="428"/>
        <w:spacing w:after="0"/>
        <w:tabs>
          <w:tab w:leader="none" w:pos="90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ind w:right="260" w:firstLine="458"/>
        <w:spacing w:after="0" w:line="259" w:lineRule="auto"/>
        <w:rPr>
          <w:sz w:val="20"/>
          <w:szCs w:val="20"/>
          <w:color w:val="auto"/>
        </w:rPr>
      </w:pPr>
      <w:r>
        <w:rPr>
          <w:rFonts w:ascii="Arial" w:cs="Arial" w:eastAsia="Arial" w:hAnsi="Arial"/>
          <w:sz w:val="16"/>
          <w:szCs w:val="16"/>
          <w:color w:val="auto"/>
        </w:rPr>
        <w:t>Since inception, we have incurred significant operating losses. We incurred losses of €134.2 million during the year ended December 31, 2024 and €100.9 million during the year ended December 31, 2023.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date, we have relied on the issuance of equity securities and pre-funded warrants to finance our operations and internal growth.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December 31, 2024, we have raised the following capital:</w:t>
      </w:r>
    </w:p>
    <w:p>
      <w:pPr>
        <w:spacing w:after="0" w:line="113" w:lineRule="exact"/>
        <w:rPr>
          <w:sz w:val="20"/>
          <w:szCs w:val="20"/>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4,850,000 Common shares raising €0.2 million;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5,242,850 Series A preferred shares raising €14.9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3,003,391 Series B-1 preferred shares raising €21.6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4,646,756 Series B-2 preferred shares raising €34.2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5,826,279 Series C preferred shares raising €67.2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9,511,075 ordinary shares raising €146.2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593,927 ordinary shares raising €9.3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6,951,340 ordinary shares raising €64.1 million (net of transaction costs);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11,125,000 ordinary shares and 1,375,000 pre-funded warrants raising €261.6 million (net of transaction costs).</w:t>
      </w:r>
    </w:p>
    <w:p>
      <w:pPr>
        <w:spacing w:after="0" w:line="234" w:lineRule="exact"/>
        <w:rPr>
          <w:sz w:val="20"/>
          <w:szCs w:val="20"/>
          <w:color w:val="auto"/>
        </w:rPr>
      </w:pPr>
    </w:p>
    <w:p>
      <w:pPr>
        <w:ind w:right="440" w:firstLine="458"/>
        <w:spacing w:after="0" w:line="266"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Series A preferred shares, Series B and Series C preferred shares were automatically converted to ordinary shares and 9,511,075 ordinary shares were issued. Together with the issuance of new ordinary shares, the par value of each ordinary share was increased from €0.01 to €0.12.</w:t>
      </w:r>
    </w:p>
    <w:p>
      <w:pPr>
        <w:spacing w:after="0" w:line="17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On March 1, 2022, we entered into a sales agreement (the "2022 Sales Agreement") with Leerink Partners LLC (formerly known as SVB Securities LLC), pursuant to which we may sell ordinary shares having an aggregate offering price of up to $75 million from time to time through Leerink Partners. On April 12, 2024, we terminated the 2022 Sales Agreement and entered into a new sales agreement with Leerink Partners, pursuant to which we may sell ordinary shares having an aggregate offering price of up to $175 million from time to time through Leerink Partners (the “2024 Sales Agreement”). In April 2024, we filed a Form F-3 ASR Registration Statement (the “F-3 ASR”) and prospectus with the Securities and Exchange Commission, allowing us to sell an unspecified amount of its securities. The F-3 ASR was supplemented by a prospectus supplement covering an at-the-market program providing for the sales from time to time of up to $175 million of its ordinary shares pursuant to the April 2024 Sales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2024, we have sold a total of 593,927 ordinary shares under the Sales Agreement generating total net proceeds of $9.8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(€9.3 million), after deducting $0.3 million (€0.3 million), which was payable to Leerink Partners, LLC as commission in respect of such sales. The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has not sold any securities under the April 2024 Sales Agreement.</w:t>
      </w:r>
    </w:p>
    <w:p>
      <w:pPr>
        <w:spacing w:after="0" w:line="205" w:lineRule="exact"/>
        <w:rPr>
          <w:sz w:val="20"/>
          <w:szCs w:val="20"/>
          <w:color w:val="auto"/>
        </w:rPr>
      </w:pPr>
    </w:p>
    <w:p>
      <w:pPr>
        <w:ind w:right="520" w:firstLine="458"/>
        <w:spacing w:after="0" w:line="286" w:lineRule="auto"/>
        <w:rPr>
          <w:sz w:val="20"/>
          <w:szCs w:val="20"/>
          <w:color w:val="auto"/>
        </w:rPr>
      </w:pPr>
      <w:r>
        <w:rPr>
          <w:rFonts w:ascii="Arial" w:cs="Arial" w:eastAsia="Arial" w:hAnsi="Arial"/>
          <w:sz w:val="16"/>
          <w:szCs w:val="16"/>
          <w:color w:val="auto"/>
        </w:rPr>
        <w:t>In June, 2023, we sold a total of 6,951,340 ordinary shares, par value €0.12 per share, in a private placement at a purchase price of $10.07 per ordinary share. The sale generated total proceeds of $70.0 million (€64.1 million).</w:t>
      </w:r>
    </w:p>
    <w:p>
      <w:pPr>
        <w:spacing w:after="0" w:line="156"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During December 2023, we entered into an underwriting agreement with Morgan Stanley &amp; Co. LLC and Leerink Partners LLC as underwriters, pursuant to which we agreed to issue and sell (i) 11,125,000 ordinary shares, par value €0.12 per share and (ii) pre-funded warrants to purchase up to 1,375,000 ordinary shares in an underwritten offering. The Offering closed on December 8, 2023, and we generated net proceeds of $282.0 million (€261.6 million), after deducting bank fees of $18.0 million (€16.7 million). In March 2024, the Company received a partial reimbursement for certain of its expenses in connection with the December 2023 offering which have been accounted for in share premium.</w:t>
      </w:r>
    </w:p>
    <w:p>
      <w:pPr>
        <w:spacing w:after="0" w:line="180" w:lineRule="exact"/>
        <w:rPr>
          <w:sz w:val="20"/>
          <w:szCs w:val="20"/>
          <w:color w:val="auto"/>
        </w:rPr>
      </w:pPr>
    </w:p>
    <w:p>
      <w:pPr>
        <w:ind w:right="300" w:firstLine="458"/>
        <w:spacing w:after="0" w:line="266" w:lineRule="auto"/>
        <w:rPr>
          <w:sz w:val="20"/>
          <w:szCs w:val="20"/>
          <w:color w:val="auto"/>
        </w:rPr>
      </w:pPr>
      <w:r>
        <w:rPr>
          <w:rFonts w:ascii="Arial" w:cs="Arial" w:eastAsia="Arial" w:hAnsi="Arial"/>
          <w:sz w:val="16"/>
          <w:szCs w:val="16"/>
          <w:color w:val="auto"/>
        </w:rPr>
        <w:t>As of December 31, 2024 we held cash and cash equivalents of €280.7 million. Of the cash on hand, €0.1 million relates to guarantees. We do not expect positive operating cash flows in the foreseeable future and remain dependent on additional financing to fund our research and development expenses, general and administrative expenses and financing costs. We believe that the available cash</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51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71"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70" w:lineRule="exact"/>
        <w:rPr>
          <w:sz w:val="20"/>
          <w:szCs w:val="20"/>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5" w:lineRule="exact"/>
        <w:rPr>
          <w:rFonts w:ascii="Times New Roman" w:cs="Times New Roman" w:eastAsia="Times New Roman" w:hAnsi="Times New Roman"/>
          <w:sz w:val="16"/>
          <w:szCs w:val="16"/>
          <w:color w:val="auto"/>
        </w:rPr>
      </w:pPr>
    </w:p>
    <w:p>
      <w:pPr>
        <w:ind w:left="900" w:right="80" w:hanging="428"/>
        <w:spacing w:after="0" w:line="285" w:lineRule="auto"/>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5" w:lineRule="exact"/>
        <w:rPr>
          <w:rFonts w:ascii="Times New Roman" w:cs="Times New Roman" w:eastAsia="Times New Roman" w:hAnsi="Times New Roman"/>
          <w:sz w:val="16"/>
          <w:szCs w:val="16"/>
          <w:color w:val="auto"/>
        </w:rPr>
      </w:pPr>
    </w:p>
    <w:p>
      <w:pPr>
        <w:ind w:left="900" w:right="600" w:hanging="428"/>
        <w:spacing w:after="0" w:line="285" w:lineRule="auto"/>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4" w:lineRule="exact"/>
        <w:rPr>
          <w:sz w:val="20"/>
          <w:szCs w:val="20"/>
          <w:color w:val="auto"/>
        </w:rPr>
      </w:pPr>
    </w:p>
    <w:p>
      <w:pPr>
        <w:ind w:right="360" w:firstLine="458"/>
        <w:spacing w:after="0" w:line="26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7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To the extent that we raise additional funds by issuing and selling equity or equity-linked securities, shareholders will experience dilution. Debt financing,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wars, regional unrest, pandemics and epidemics). If we are unable to raise additional funds when needed, we may be required to delay, reduce, or terminate some or all of our development programs and clinical trials. We may also be required to sell or license other technologies or our clinical product candidate that we would prefer to develop and commercialize ourselves.</w:t>
      </w:r>
    </w:p>
    <w:p>
      <w:pPr>
        <w:spacing w:after="0" w:line="182"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while we seek to minimize our exposure to third-party losses of our cash and cash equivalents, we hold our balances in a number of large financial institutions. However, these institutions are subject to risk of failure. For example, in March 2023, the Federal Deposit Insurance Corporation was appointed as receiver for Silicon Valley Bank ("SVB"). As of April 7, 2025, none of our cash and cash equivalents are held with SVB. All of our cash and cash equivalents are held with other large financial institutions, and we do not expect further developments with SVB to have a material impact on our cash and cash equivalents balance, expected results of operations, or financial performance for the foreseeable future. However, if there are issues in the wider financial system and if other financial institutions fail, our business and financial condition could be materially affected.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Cash Flows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for the years ended December 31, 2024 and December 31, 2023</w:t>
      </w:r>
    </w:p>
    <w:p>
      <w:pPr>
        <w:spacing w:after="0" w:line="192" w:lineRule="exact"/>
        <w:rPr>
          <w:sz w:val="20"/>
          <w:szCs w:val="20"/>
          <w:color w:val="auto"/>
        </w:rPr>
      </w:pPr>
    </w:p>
    <w:p>
      <w:pPr>
        <w:ind w:right="220" w:firstLine="274"/>
        <w:spacing w:after="0" w:line="266" w:lineRule="auto"/>
        <w:rPr>
          <w:sz w:val="20"/>
          <w:szCs w:val="20"/>
          <w:color w:val="auto"/>
        </w:rPr>
      </w:pPr>
      <w:r>
        <w:rPr>
          <w:rFonts w:ascii="Arial" w:cs="Arial" w:eastAsia="Arial" w:hAnsi="Arial"/>
          <w:sz w:val="16"/>
          <w:szCs w:val="16"/>
          <w:color w:val="auto"/>
        </w:rPr>
        <w:t>A discussion of our cash flows for the year ended December 31, 2023 as compared to the year ended December 31, 2022 can be found in the section entitled “Item 5. Operating and Financial Review and Prospects—B. Liquidity and Capital Resources—Cash Flows—Comparison of the years ended December 31, 2023 and 2022” in our annual report on form 20-F, filed with the SEC on April 10,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52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720" w:type="dxa"/>
            <w:vAlign w:val="bottom"/>
          </w:tcPr>
          <w:p>
            <w:pPr>
              <w:spacing w:after="0"/>
              <w:rPr>
                <w:sz w:val="13"/>
                <w:szCs w:val="13"/>
                <w:color w:val="auto"/>
              </w:rPr>
            </w:pPr>
          </w:p>
        </w:tc>
        <w:tc>
          <w:tcPr>
            <w:tcW w:w="306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6"/>
              </w:rPr>
              <w:t>For the year ended</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940" w:type="dxa"/>
            <w:vAlign w:val="bottom"/>
            <w:gridSpan w:val="3"/>
          </w:tcPr>
          <w:p>
            <w:pPr>
              <w:jc w:val="center"/>
              <w:ind w:left="884"/>
              <w:spacing w:after="0" w:line="139" w:lineRule="exact"/>
              <w:rPr>
                <w:sz w:val="20"/>
                <w:szCs w:val="20"/>
                <w:color w:val="auto"/>
              </w:rPr>
            </w:pPr>
            <w:r>
              <w:rPr>
                <w:rFonts w:ascii="Arial" w:cs="Arial" w:eastAsia="Arial" w:hAnsi="Arial"/>
                <w:sz w:val="13"/>
                <w:szCs w:val="13"/>
                <w:b w:val="1"/>
                <w:bCs w:val="1"/>
                <w:color w:val="auto"/>
                <w:w w:val="96"/>
              </w:rPr>
              <w:t>December 31,</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right"/>
              <w:ind w:right="620"/>
              <w:spacing w:after="0"/>
              <w:rPr>
                <w:sz w:val="20"/>
                <w:szCs w:val="20"/>
                <w:color w:val="auto"/>
              </w:rPr>
            </w:pPr>
            <w:r>
              <w:rPr>
                <w:rFonts w:ascii="Arial" w:cs="Arial" w:eastAsia="Arial" w:hAnsi="Arial"/>
                <w:sz w:val="13"/>
                <w:szCs w:val="13"/>
                <w:b w:val="1"/>
                <w:bCs w:val="1"/>
                <w:color w:val="auto"/>
              </w:rPr>
              <w:t>Change</w:t>
            </w:r>
          </w:p>
        </w:tc>
        <w:tc>
          <w:tcPr>
            <w:tcW w:w="52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360" w:type="dxa"/>
            <w:vAlign w:val="bottom"/>
            <w:tcBorders>
              <w:top w:val="single" w:sz="8" w:color="auto"/>
            </w:tcBorders>
          </w:tcPr>
          <w:p>
            <w:pPr>
              <w:jc w:val="right"/>
              <w:ind w:right="464"/>
              <w:spacing w:after="0" w:line="135" w:lineRule="exact"/>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41"/>
              <w:spacing w:after="0" w:line="135" w:lineRule="exact"/>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2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top w:val="single" w:sz="8" w:color="auto"/>
            </w:tcBorders>
          </w:tcPr>
          <w:p>
            <w:pPr>
              <w:jc w:val="right"/>
              <w:ind w:right="817"/>
              <w:spacing w:after="0" w:line="129" w:lineRule="exact"/>
              <w:rPr>
                <w:sz w:val="20"/>
                <w:szCs w:val="20"/>
                <w:color w:val="auto"/>
              </w:rPr>
            </w:pPr>
            <w:r>
              <w:rPr>
                <w:rFonts w:ascii="Arial" w:cs="Arial" w:eastAsia="Arial" w:hAnsi="Arial"/>
                <w:sz w:val="13"/>
                <w:szCs w:val="13"/>
                <w:b w:val="1"/>
                <w:bCs w:val="1"/>
                <w:color w:val="auto"/>
              </w:rPr>
              <w:t>(in €)</w:t>
            </w:r>
          </w:p>
        </w:tc>
        <w:tc>
          <w:tcPr>
            <w:tcW w:w="2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used in operating activities</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(120,130,191)</w:t>
            </w:r>
          </w:p>
        </w:tc>
        <w:tc>
          <w:tcPr>
            <w:tcW w:w="3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(93,049,093)</w:t>
            </w:r>
          </w:p>
        </w:tc>
        <w:tc>
          <w:tcPr>
            <w:tcW w:w="15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(27,081,098)</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(538,086)</w:t>
            </w:r>
          </w:p>
        </w:tc>
        <w:tc>
          <w:tcPr>
            <w:tcW w:w="3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(89,984)</w:t>
            </w:r>
          </w:p>
        </w:tc>
        <w:tc>
          <w:tcPr>
            <w:tcW w:w="1580" w:type="dxa"/>
            <w:vAlign w:val="bottom"/>
            <w:gridSpan w:val="3"/>
          </w:tcPr>
          <w:p>
            <w:pPr>
              <w:jc w:val="right"/>
              <w:ind w:right="180"/>
              <w:spacing w:after="0"/>
              <w:rPr>
                <w:sz w:val="20"/>
                <w:szCs w:val="20"/>
                <w:color w:val="auto"/>
              </w:rPr>
            </w:pPr>
            <w:r>
              <w:rPr>
                <w:rFonts w:ascii="Arial" w:cs="Arial" w:eastAsia="Arial" w:hAnsi="Arial"/>
                <w:sz w:val="16"/>
                <w:szCs w:val="16"/>
                <w:color w:val="auto"/>
              </w:rPr>
              <w:t>(448,102)</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provided by financing activities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2,676,555</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325,393,000</w:t>
            </w:r>
          </w:p>
        </w:tc>
        <w:tc>
          <w:tcPr>
            <w:tcW w:w="140" w:type="dxa"/>
            <w:vAlign w:val="bottom"/>
            <w:shd w:val="clear" w:color="auto" w:fill="CFF0FC"/>
          </w:tcPr>
          <w:p>
            <w:pPr>
              <w:spacing w:after="0"/>
              <w:rPr>
                <w:sz w:val="16"/>
                <w:szCs w:val="16"/>
                <w:color w:val="auto"/>
              </w:rPr>
            </w:pPr>
          </w:p>
        </w:tc>
        <w:tc>
          <w:tcPr>
            <w:tcW w:w="15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(322,716,445)</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(117,991,722)</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232,253,923</w:t>
            </w:r>
          </w:p>
        </w:tc>
        <w:tc>
          <w:tcPr>
            <w:tcW w:w="140" w:type="dxa"/>
            <w:vAlign w:val="bottom"/>
          </w:tcPr>
          <w:p>
            <w:pPr>
              <w:spacing w:after="0"/>
              <w:rPr>
                <w:sz w:val="16"/>
                <w:szCs w:val="16"/>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(350,245,645)</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(151)%</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391,231,637</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161,837,429</w:t>
            </w:r>
          </w:p>
        </w:tc>
        <w:tc>
          <w:tcPr>
            <w:tcW w:w="1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229,394,208</w:t>
            </w:r>
          </w:p>
        </w:tc>
        <w:tc>
          <w:tcPr>
            <w:tcW w:w="2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142%</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1360" w:type="dxa"/>
            <w:vAlign w:val="bottom"/>
          </w:tcPr>
          <w:p>
            <w:pPr>
              <w:jc w:val="right"/>
              <w:spacing w:after="0"/>
              <w:rPr>
                <w:sz w:val="20"/>
                <w:szCs w:val="20"/>
                <w:color w:val="auto"/>
              </w:rPr>
            </w:pPr>
            <w:r>
              <w:rPr>
                <w:rFonts w:ascii="Arial" w:cs="Arial" w:eastAsia="Arial" w:hAnsi="Arial"/>
                <w:sz w:val="16"/>
                <w:szCs w:val="16"/>
                <w:color w:val="auto"/>
              </w:rPr>
              <w:t>7,488,122</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(2,859,715)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10,347,837</w:t>
            </w:r>
          </w:p>
        </w:tc>
        <w:tc>
          <w:tcPr>
            <w:tcW w:w="2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280,728,037</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391,231,637</w:t>
            </w:r>
          </w:p>
        </w:tc>
        <w:tc>
          <w:tcPr>
            <w:tcW w:w="140" w:type="dxa"/>
            <w:vAlign w:val="bottom"/>
            <w:shd w:val="clear" w:color="auto" w:fill="CFF0FC"/>
          </w:tcPr>
          <w:p>
            <w:pPr>
              <w:spacing w:after="0"/>
              <w:rPr>
                <w:sz w:val="16"/>
                <w:szCs w:val="16"/>
                <w:color w:val="auto"/>
              </w:rPr>
            </w:pPr>
          </w:p>
        </w:tc>
        <w:tc>
          <w:tcPr>
            <w:tcW w:w="15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(110,503,600)</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4218305</wp:posOffset>
            </wp:positionH>
            <wp:positionV relativeFrom="paragraph">
              <wp:posOffset>-1040765</wp:posOffset>
            </wp:positionV>
            <wp:extent cx="102870"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5212715</wp:posOffset>
            </wp:positionH>
            <wp:positionV relativeFrom="paragraph">
              <wp:posOffset>-1040765</wp:posOffset>
            </wp:positionV>
            <wp:extent cx="111125"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128270"/>
                    </a:xfrm>
                    <a:prstGeom prst="rect">
                      <a:avLst/>
                    </a:prstGeom>
                    <a:noFill/>
                  </pic:spPr>
                </pic:pic>
              </a:graphicData>
            </a:graphic>
          </wp:anchor>
        </w:drawing>
      </w:r>
    </w:p>
    <w:p>
      <w:pPr>
        <w:spacing w:after="0" w:line="33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Net cash flows used in operating activities reflect our results for the period adjusted for, among other things, depreciation, unrealized foreign exchange results, share-based compensation arrangements, changes in working capital and accruals.</w:t>
      </w:r>
    </w:p>
    <w:p>
      <w:pPr>
        <w:spacing w:after="0" w:line="156" w:lineRule="exact"/>
        <w:rPr>
          <w:sz w:val="20"/>
          <w:szCs w:val="20"/>
          <w:color w:val="auto"/>
        </w:rPr>
      </w:pPr>
    </w:p>
    <w:p>
      <w:pPr>
        <w:ind w:right="380" w:firstLine="458"/>
        <w:spacing w:after="0" w:line="266" w:lineRule="auto"/>
        <w:rPr>
          <w:sz w:val="20"/>
          <w:szCs w:val="20"/>
          <w:color w:val="auto"/>
        </w:rPr>
      </w:pPr>
      <w:r>
        <w:rPr>
          <w:rFonts w:ascii="Arial" w:cs="Arial" w:eastAsia="Arial" w:hAnsi="Arial"/>
          <w:sz w:val="16"/>
          <w:szCs w:val="16"/>
          <w:color w:val="auto"/>
        </w:rPr>
        <w:t>Net cash flows used in operating activities increased by €27.1 million or 29%, from €93.0 million for the year ended December 31, 2023 to €120.1 million for the year ended December 31, 2024. The increase is primarily due to the increase in research and development expenses, other operating expenses and the growth of our organization.</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Net cash flows used in investing activities increased by €0.4 million or 498%, from €0.1 million for the year ended December 31, 2023 to €0.5 million for the year ended December 31, 2024. The increase is due to additional investment in property, plant and equipment to support the growth of the company.</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Net cash flows provided by financing activities decreased by €322.7 million from €325.4 million for the year ended December 31, 2023 to €2.7 million for the year ended December 31, 2024. Net cash provided by financing activities in the year ended December 31, 2024 consisted primarily of the gross proceeds related to the pre-funded warrants that were exercised in January 2024 that resulted in the issuance of 1,375,000 ordinary shares.</w:t>
      </w:r>
    </w:p>
    <w:p>
      <w:pPr>
        <w:spacing w:after="0" w:line="63"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The net cash provided by financing activities in the year ended December 31, 2023 consisted primarily of the receipt of €342.9 million received from the sale of ordinary shares and pre-funded warrants, offset by transaction costs of €17.3 million and the payment of principal portion of lease liabilities of €0.2 million.</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Disclosure of contractual obligations</w:t>
      </w:r>
    </w:p>
    <w:p>
      <w:pPr>
        <w:spacing w:after="0" w:line="300" w:lineRule="exact"/>
        <w:rPr>
          <w:sz w:val="20"/>
          <w:szCs w:val="20"/>
          <w:color w:val="auto"/>
        </w:rPr>
      </w:pPr>
    </w:p>
    <w:p>
      <w:pPr>
        <w:ind w:right="440" w:firstLine="458"/>
        <w:spacing w:after="0" w:line="266" w:lineRule="auto"/>
        <w:rPr>
          <w:sz w:val="20"/>
          <w:szCs w:val="20"/>
          <w:color w:val="auto"/>
        </w:rPr>
      </w:pPr>
      <w:r>
        <w:rPr>
          <w:rFonts w:ascii="Arial" w:cs="Arial" w:eastAsia="Arial" w:hAnsi="Arial"/>
          <w:sz w:val="16"/>
          <w:szCs w:val="16"/>
          <w:color w:val="auto"/>
        </w:rPr>
        <w:t>The Group has entered into research and development commitments amounting to a total of €109.9 million as of December 31, 2024 (2023: €49 million). The amount for research and development commitments does not include potential milestone fees, sublicense fees, royalty fees, licensing maintenance fees, and reimbursement of patent maintenance costs that we may be required to pay under the BRAIN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-276225</wp:posOffset>
            </wp:positionV>
            <wp:extent cx="285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32" w:lineRule="exact"/>
        <w:rPr>
          <w:sz w:val="20"/>
          <w:szCs w:val="20"/>
          <w:color w:val="auto"/>
        </w:rPr>
      </w:pPr>
    </w:p>
    <w:p>
      <w:pPr>
        <w:jc w:val="both"/>
        <w:ind w:right="40" w:firstLine="458"/>
        <w:spacing w:after="0" w:line="253" w:lineRule="auto"/>
        <w:rPr>
          <w:sz w:val="20"/>
          <w:szCs w:val="20"/>
          <w:color w:val="auto"/>
        </w:rPr>
      </w:pPr>
      <w:r>
        <w:rPr>
          <w:rFonts w:ascii="Arial" w:cs="Arial" w:eastAsia="Arial" w:hAnsi="Arial"/>
          <w:sz w:val="16"/>
          <w:szCs w:val="16"/>
          <w:color w:val="auto"/>
        </w:rPr>
        <w:t>Under the BRAIN License, up to €9.0 million in aggregate potential milestone payments remain outstanding. In addition, we will be required to pay low to medium single-digit tiered royalties on direct or indirect net sales of licensed products. The royalties that we are required to pay under this agreement may be reduced on a country-by-country and product-by-product basis if sales of a generic version of a product account for 1% or more of the relevant market.</w:t>
      </w:r>
    </w:p>
    <w:p>
      <w:pPr>
        <w:spacing w:after="0" w:line="1" w:lineRule="exact"/>
        <w:rPr>
          <w:sz w:val="20"/>
          <w:szCs w:val="20"/>
          <w:color w:val="auto"/>
        </w:rPr>
      </w:pPr>
    </w:p>
    <w:p>
      <w:pPr>
        <w:jc w:val="both"/>
        <w:ind w:right="340"/>
        <w:spacing w:after="0" w:line="256" w:lineRule="auto"/>
        <w:rPr>
          <w:sz w:val="20"/>
          <w:szCs w:val="20"/>
          <w:color w:val="auto"/>
        </w:rPr>
      </w:pPr>
      <w:r>
        <w:rPr>
          <w:rFonts w:ascii="Arial" w:cs="Arial" w:eastAsia="Arial" w:hAnsi="Arial"/>
          <w:sz w:val="16"/>
          <w:szCs w:val="16"/>
          <w:color w:val="auto"/>
        </w:rPr>
        <w:t>We have not included such potential obligations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“ITEM 4. INFORMATION ON THE COMPANY -- B. Business Overview-License Agreement.”</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contracts</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commitments from service contracts mainly result from contracts with nonclinical and clinical CROs and CDMOs.</w:t>
      </w:r>
    </w:p>
    <w:p>
      <w:pPr>
        <w:spacing w:after="0" w:line="200" w:lineRule="exact"/>
        <w:rPr>
          <w:sz w:val="20"/>
          <w:szCs w:val="20"/>
          <w:color w:val="auto"/>
        </w:rPr>
      </w:pPr>
    </w:p>
    <w:p>
      <w:pPr>
        <w:spacing w:after="0" w:line="224" w:lineRule="exact"/>
        <w:rPr>
          <w:sz w:val="20"/>
          <w:szCs w:val="20"/>
          <w:color w:val="auto"/>
        </w:rPr>
      </w:pPr>
    </w:p>
    <w:p>
      <w:pPr>
        <w:ind w:left="1020" w:hanging="548"/>
        <w:spacing w:after="0"/>
        <w:tabs>
          <w:tab w:leader="none" w:pos="102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 etc.</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53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4. INFORMATION ON THE COMPANY——B. Business Overview—Intellectual Property.”</w:t>
      </w:r>
    </w:p>
    <w:p>
      <w:pPr>
        <w:spacing w:after="0" w:line="200" w:lineRule="exact"/>
        <w:rPr>
          <w:sz w:val="20"/>
          <w:szCs w:val="20"/>
          <w:color w:val="auto"/>
        </w:rPr>
      </w:pPr>
    </w:p>
    <w:p>
      <w:pPr>
        <w:spacing w:after="0" w:line="224" w:lineRule="exact"/>
        <w:rPr>
          <w:sz w:val="20"/>
          <w:szCs w:val="20"/>
          <w:color w:val="auto"/>
        </w:rPr>
      </w:pPr>
    </w:p>
    <w:p>
      <w:pPr>
        <w:ind w:left="1020" w:hanging="548"/>
        <w:spacing w:after="0"/>
        <w:tabs>
          <w:tab w:leader="none" w:pos="102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trend information, see “ITEM 5. OPERATING AND FINANCIAL REVIEW AND PROSPECTS.”</w:t>
      </w:r>
    </w:p>
    <w:p>
      <w:pPr>
        <w:spacing w:after="0" w:line="200" w:lineRule="exact"/>
        <w:rPr>
          <w:sz w:val="20"/>
          <w:szCs w:val="20"/>
          <w:color w:val="auto"/>
        </w:rPr>
      </w:pPr>
    </w:p>
    <w:p>
      <w:pPr>
        <w:spacing w:after="0" w:line="210" w:lineRule="exact"/>
        <w:rPr>
          <w:sz w:val="20"/>
          <w:szCs w:val="20"/>
          <w:color w:val="auto"/>
        </w:rPr>
      </w:pPr>
    </w:p>
    <w:p>
      <w:pPr>
        <w:ind w:left="1020" w:hanging="548"/>
        <w:spacing w:after="0"/>
        <w:tabs>
          <w:tab w:leader="none" w:pos="102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estimates</w:t>
      </w:r>
    </w:p>
    <w:p>
      <w:pPr>
        <w:spacing w:after="0" w:line="30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Our consolidated financial statements are prepared in conformity with IFRS, as issued by the IASB. In preparing our consolidated financial statements, we make judgements, estimates and assumptions about the application of our accounting policies which affect the reported amounts of assets, liabilities, revenue and expenses. Our critical accounting judgements and sources of estimation uncertainty are described in Note 2.19 to our consolidated financial statements, which are included elsewhere in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Material subsequent events</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See Note 23 (Events after the reporting period) to the consolidated financial statements included in chapter 9 of this report (the "Consolidated Financial Statements") for an overview of events which do not need to be discussed in the Company's statutory annual accounts and which might influence the Company's outlook. There are no other events which might influence the Company's outlook and which are not discussed in the statutory annual accounts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54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Risk factors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3.1 Summary Risk Factors</w:t>
      </w:r>
    </w:p>
    <w:p>
      <w:pPr>
        <w:spacing w:after="0" w:line="102" w:lineRule="exact"/>
        <w:rPr>
          <w:sz w:val="20"/>
          <w:szCs w:val="20"/>
          <w:color w:val="auto"/>
        </w:rPr>
      </w:pPr>
    </w:p>
    <w:p>
      <w:pPr>
        <w:ind w:right="120" w:firstLine="458"/>
        <w:spacing w:after="0" w:line="236" w:lineRule="auto"/>
        <w:rPr>
          <w:sz w:val="20"/>
          <w:szCs w:val="20"/>
          <w:color w:val="auto"/>
        </w:rPr>
      </w:pPr>
      <w:r>
        <w:rPr>
          <w:rFonts w:ascii="Times New Roman" w:cs="Times New Roman" w:eastAsia="Times New Roman" w:hAnsi="Times New Roman"/>
          <w:sz w:val="20"/>
          <w:szCs w:val="20"/>
          <w:color w:val="auto"/>
        </w:rPr>
        <w:t>T</w:t>
      </w:r>
      <w:r>
        <w:rPr>
          <w:rFonts w:ascii="Arial" w:cs="Arial" w:eastAsia="Arial" w:hAnsi="Arial"/>
          <w:sz w:val="16"/>
          <w:szCs w:val="16"/>
          <w:color w:val="auto"/>
        </w:rPr>
        <w:t>he principal risks and uncertainties which the Company faces include the risks and uncertainties summarized in this chapter 3.1. See chapter 3.2 of</w:t>
      </w:r>
      <w:r>
        <w:rPr>
          <w:rFonts w:ascii="Times New Roman" w:cs="Times New Roman" w:eastAsia="Times New Roman" w:hAnsi="Times New Roman"/>
          <w:sz w:val="20"/>
          <w:szCs w:val="20"/>
          <w:color w:val="auto"/>
        </w:rPr>
        <w:t xml:space="preserve"> </w:t>
      </w:r>
      <w:r>
        <w:rPr>
          <w:rFonts w:ascii="Arial" w:cs="Arial" w:eastAsia="Arial" w:hAnsi="Arial"/>
          <w:sz w:val="16"/>
          <w:szCs w:val="16"/>
          <w:color w:val="auto"/>
        </w:rPr>
        <w:t>this report for additional detail and additional risks and uncertainties which the Company faces.</w:t>
      </w:r>
    </w:p>
    <w:p>
      <w:pPr>
        <w:spacing w:after="0" w:line="83" w:lineRule="exact"/>
        <w:rPr>
          <w:sz w:val="20"/>
          <w:szCs w:val="20"/>
          <w:color w:val="auto"/>
        </w:rPr>
      </w:pPr>
    </w:p>
    <w:p>
      <w:pPr>
        <w:ind w:left="900" w:right="60" w:hanging="428"/>
        <w:spacing w:after="0" w:line="266"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62" w:lineRule="exact"/>
        <w:rPr>
          <w:rFonts w:ascii="Times New Roman" w:cs="Times New Roman" w:eastAsia="Times New Roman" w:hAnsi="Times New Roman"/>
          <w:sz w:val="16"/>
          <w:szCs w:val="16"/>
          <w:color w:val="auto"/>
        </w:rPr>
      </w:pPr>
    </w:p>
    <w:p>
      <w:pPr>
        <w:ind w:left="900" w:right="380" w:hanging="428"/>
        <w:spacing w:after="0" w:line="285"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48" w:lineRule="exact"/>
        <w:rPr>
          <w:rFonts w:ascii="Times New Roman" w:cs="Times New Roman" w:eastAsia="Times New Roman" w:hAnsi="Times New Roman"/>
          <w:sz w:val="16"/>
          <w:szCs w:val="16"/>
          <w:color w:val="auto"/>
        </w:rPr>
      </w:pPr>
    </w:p>
    <w:p>
      <w:pPr>
        <w:ind w:left="900" w:right="380" w:hanging="428"/>
        <w:spacing w:after="0" w:line="285"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and operations may be adversely affected by a variety of events outside our control, including, but not limited to, outbreaks of infectious diseases and geopolitical instability such as the conflict between Russia and Ukraine.</w:t>
      </w:r>
    </w:p>
    <w:p>
      <w:pPr>
        <w:spacing w:after="0" w:line="48" w:lineRule="exact"/>
        <w:rPr>
          <w:rFonts w:ascii="Times New Roman" w:cs="Times New Roman" w:eastAsia="Times New Roman" w:hAnsi="Times New Roman"/>
          <w:sz w:val="16"/>
          <w:szCs w:val="16"/>
          <w:color w:val="auto"/>
        </w:rPr>
      </w:pPr>
    </w:p>
    <w:p>
      <w:pPr>
        <w:ind w:left="900" w:right="20" w:hanging="428"/>
        <w:spacing w:after="0" w:line="252"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the success of our product candidates: (i) extended-release (“XR”) tablet formulation of deucrictibant (previously referred to as PHVS719) and (ii) immediate-release (“IR”) capsule formulation of deucrictibant (previously referred to as PHVS416), which are in late-stage development. We have released topline data from our RAPIDe-1 study demonstrating efficacy in our Phase 2 clinical trial for treatment of HAE attacks on demand using deucrictibant IR and topline data from our CHAPTER-1 study demonstrating efficacy in our Phase 2 clinical trial of deucrictibant XR of HAE attacks.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73" w:lineRule="exact"/>
        <w:rPr>
          <w:rFonts w:ascii="Times New Roman" w:cs="Times New Roman" w:eastAsia="Times New Roman" w:hAnsi="Times New Roman"/>
          <w:sz w:val="16"/>
          <w:szCs w:val="16"/>
          <w:color w:val="auto"/>
        </w:rPr>
      </w:pPr>
    </w:p>
    <w:p>
      <w:pPr>
        <w:ind w:left="900" w:right="140" w:hanging="428"/>
        <w:spacing w:after="0" w:line="253"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setbacks in our clinical trials, including delays in commencing, conducting or completing our clinical trials. Moreover,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7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may not uncover all possible adverse effects that patients may experience.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There can be no assurance that we will be able to obtain or, if obtained, maintain orphan drug status.</w:t>
      </w:r>
    </w:p>
    <w:p>
      <w:pPr>
        <w:spacing w:after="0" w:line="125" w:lineRule="exact"/>
        <w:rPr>
          <w:rFonts w:ascii="Times New Roman" w:cs="Times New Roman" w:eastAsia="Times New Roman" w:hAnsi="Times New Roman"/>
          <w:sz w:val="16"/>
          <w:szCs w:val="16"/>
          <w:color w:val="auto"/>
        </w:rPr>
      </w:pPr>
    </w:p>
    <w:p>
      <w:pPr>
        <w:jc w:val="both"/>
        <w:ind w:left="900" w:right="280" w:hanging="428"/>
        <w:spacing w:after="0" w:line="266"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maintain effective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62" w:lineRule="exact"/>
        <w:rPr>
          <w:rFonts w:ascii="Times New Roman" w:cs="Times New Roman" w:eastAsia="Times New Roman" w:hAnsi="Times New Roman"/>
          <w:sz w:val="16"/>
          <w:szCs w:val="16"/>
          <w:color w:val="auto"/>
        </w:rPr>
      </w:pPr>
    </w:p>
    <w:p>
      <w:pPr>
        <w:ind w:left="900" w:right="400" w:hanging="428"/>
        <w:spacing w:after="0" w:line="285"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opportunities for our product candidates may also be smaller than currently anticipated, lowering our potential revenue.</w:t>
      </w:r>
    </w:p>
    <w:p>
      <w:pPr>
        <w:spacing w:after="0" w:line="125" w:lineRule="exact"/>
        <w:rPr>
          <w:rFonts w:ascii="Times New Roman" w:cs="Times New Roman" w:eastAsia="Times New Roman" w:hAnsi="Times New Roman"/>
          <w:sz w:val="16"/>
          <w:szCs w:val="16"/>
          <w:color w:val="auto"/>
        </w:rPr>
      </w:pPr>
    </w:p>
    <w:p>
      <w:pPr>
        <w:ind w:left="900" w:right="500" w:hanging="428"/>
        <w:spacing w:after="0" w:line="266"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62" w:lineRule="exact"/>
        <w:rPr>
          <w:rFonts w:ascii="Times New Roman" w:cs="Times New Roman" w:eastAsia="Times New Roman" w:hAnsi="Times New Roman"/>
          <w:sz w:val="16"/>
          <w:szCs w:val="16"/>
          <w:color w:val="auto"/>
        </w:rPr>
      </w:pPr>
    </w:p>
    <w:p>
      <w:pPr>
        <w:ind w:left="900" w:right="220" w:hanging="428"/>
        <w:spacing w:after="0" w:line="285"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Governments and/or pricing authorities, especially in the European Union, often impose strict price and access controls, which may adversely affect our future profitability.</w:t>
      </w:r>
    </w:p>
    <w:p>
      <w:pPr>
        <w:spacing w:after="0" w:line="48" w:lineRule="exact"/>
        <w:rPr>
          <w:rFonts w:ascii="Times New Roman" w:cs="Times New Roman" w:eastAsia="Times New Roman" w:hAnsi="Times New Roman"/>
          <w:sz w:val="16"/>
          <w:szCs w:val="16"/>
          <w:color w:val="auto"/>
        </w:rPr>
      </w:pPr>
    </w:p>
    <w:p>
      <w:pPr>
        <w:ind w:left="900" w:right="240" w:hanging="428"/>
        <w:spacing w:after="0" w:line="285"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48" w:lineRule="exact"/>
        <w:rPr>
          <w:rFonts w:ascii="Times New Roman" w:cs="Times New Roman" w:eastAsia="Times New Roman" w:hAnsi="Times New Roman"/>
          <w:sz w:val="16"/>
          <w:szCs w:val="16"/>
          <w:color w:val="auto"/>
        </w:rPr>
      </w:pPr>
    </w:p>
    <w:p>
      <w:pPr>
        <w:ind w:left="900" w:right="1160" w:hanging="428"/>
        <w:spacing w:after="0" w:line="285"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48" w:lineRule="exact"/>
        <w:rPr>
          <w:rFonts w:ascii="Times New Roman" w:cs="Times New Roman" w:eastAsia="Times New Roman" w:hAnsi="Times New Roman"/>
          <w:sz w:val="16"/>
          <w:szCs w:val="16"/>
          <w:color w:val="auto"/>
        </w:rPr>
      </w:pPr>
    </w:p>
    <w:p>
      <w:pPr>
        <w:ind w:left="900" w:right="80" w:hanging="428"/>
        <w:spacing w:after="0" w:line="266"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55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900" w:right="700" w:hanging="428"/>
        <w:spacing w:after="0" w:line="285"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48" w:lineRule="exact"/>
        <w:rPr>
          <w:rFonts w:ascii="Times New Roman" w:cs="Times New Roman" w:eastAsia="Times New Roman" w:hAnsi="Times New Roman"/>
          <w:sz w:val="16"/>
          <w:szCs w:val="16"/>
          <w:color w:val="auto"/>
        </w:rPr>
      </w:pPr>
    </w:p>
    <w:p>
      <w:pPr>
        <w:ind w:left="900" w:right="160" w:hanging="428"/>
        <w:spacing w:after="0" w:line="266"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62" w:lineRule="exact"/>
        <w:rPr>
          <w:rFonts w:ascii="Times New Roman" w:cs="Times New Roman" w:eastAsia="Times New Roman" w:hAnsi="Times New Roman"/>
          <w:sz w:val="16"/>
          <w:szCs w:val="16"/>
          <w:color w:val="auto"/>
        </w:rPr>
      </w:pPr>
    </w:p>
    <w:p>
      <w:pPr>
        <w:ind w:left="900" w:right="60" w:hanging="428"/>
        <w:spacing w:after="0" w:line="256"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 Our competitors may seek or may have already obtained patents that will limit, interfere with or eliminate our ability to make, use, sell, import or otherwise exploit our product candidates, processes or other technologies.</w:t>
      </w:r>
    </w:p>
    <w:p>
      <w:pPr>
        <w:spacing w:after="0" w:line="70" w:lineRule="exact"/>
        <w:rPr>
          <w:rFonts w:ascii="Times New Roman" w:cs="Times New Roman" w:eastAsia="Times New Roman" w:hAnsi="Times New Roman"/>
          <w:sz w:val="16"/>
          <w:szCs w:val="16"/>
          <w:color w:val="auto"/>
        </w:rPr>
      </w:pPr>
    </w:p>
    <w:p>
      <w:pPr>
        <w:ind w:left="900" w:right="80" w:hanging="428"/>
        <w:spacing w:after="0" w:line="266"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make required payments under the terms of the agreement with BRAIN Biotech AG, or BRAIN (as successor in interest to AnalytiCon Discovery GmbH), pursuant to which we acquired certain of our core intellectual property, BRAIN may exercise remedies that would materially and adversely affect our business and results of operations.</w:t>
      </w:r>
    </w:p>
    <w:p>
      <w:pPr>
        <w:spacing w:after="0" w:line="6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ordinary shares is likely to be highly volatile.</w:t>
      </w:r>
    </w:p>
    <w:p>
      <w:pPr>
        <w:spacing w:after="0" w:line="125" w:lineRule="exact"/>
        <w:rPr>
          <w:rFonts w:ascii="Times New Roman" w:cs="Times New Roman" w:eastAsia="Times New Roman" w:hAnsi="Times New Roman"/>
          <w:sz w:val="16"/>
          <w:szCs w:val="16"/>
          <w:color w:val="auto"/>
        </w:rPr>
      </w:pPr>
    </w:p>
    <w:p>
      <w:pPr>
        <w:ind w:left="900" w:right="120" w:hanging="428"/>
        <w:spacing w:after="0" w:line="285"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securities and, consequently, your ability to achieve a return on your investment will depend on appreciation in the price of our ordinary shares.</w:t>
      </w:r>
    </w:p>
    <w:p>
      <w:pPr>
        <w:spacing w:after="0" w:line="48" w:lineRule="exact"/>
        <w:rPr>
          <w:rFonts w:ascii="Times New Roman" w:cs="Times New Roman" w:eastAsia="Times New Roman" w:hAnsi="Times New Roman"/>
          <w:sz w:val="16"/>
          <w:szCs w:val="16"/>
          <w:color w:val="auto"/>
        </w:rPr>
      </w:pPr>
    </w:p>
    <w:p>
      <w:pPr>
        <w:ind w:left="900" w:right="400" w:hanging="428"/>
        <w:spacing w:after="0" w:line="285"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We may be a passive foreign investment company, or a PFIC, which could result in adverse U.S. federal income tax consequences to U.S. investors.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3.2 Risk factors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Financial Position</w:t>
      </w:r>
    </w:p>
    <w:p>
      <w:pPr>
        <w:spacing w:after="0" w:line="221" w:lineRule="exact"/>
        <w:rPr>
          <w:sz w:val="20"/>
          <w:szCs w:val="20"/>
          <w:color w:val="auto"/>
        </w:rPr>
      </w:pPr>
    </w:p>
    <w:p>
      <w:pPr>
        <w:ind w:right="400" w:firstLine="458"/>
        <w:spacing w:after="0" w:line="270" w:lineRule="auto"/>
        <w:rPr>
          <w:sz w:val="20"/>
          <w:szCs w:val="20"/>
          <w:color w:val="auto"/>
        </w:rPr>
      </w:pPr>
      <w:r>
        <w:rPr>
          <w:rFonts w:ascii="Arial" w:cs="Arial" w:eastAsia="Arial" w:hAnsi="Arial"/>
          <w:sz w:val="16"/>
          <w:szCs w:val="16"/>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160"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We expect to continue to incur significant expenses and increasing operating losses for the foreseeable future. We anticipate that our expenses will increase substantially if and as we:</w:t>
      </w:r>
    </w:p>
    <w:p>
      <w:pPr>
        <w:spacing w:after="0" w:line="72" w:lineRule="exact"/>
        <w:rPr>
          <w:sz w:val="20"/>
          <w:szCs w:val="20"/>
          <w:color w:val="auto"/>
        </w:rPr>
      </w:pPr>
    </w:p>
    <w:p>
      <w:pPr>
        <w:ind w:left="900" w:hanging="428"/>
        <w:spacing w:after="0"/>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continue clinical development of our current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seek to identify additional product candidates and initiate clinical trials for such additional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acquire or in-license other products and technologies or enter into collaboration arrangements with regards to product discovery;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seek marketing approvals for our product candidates that successfully complete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sales, commercialization and distribution infrastructure to commercialize any products for which we may obtain marketing approval;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maintain, expand and protect our intellectual property portfolio;</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hire additional personnel;</w:t>
      </w:r>
    </w:p>
    <w:p>
      <w:pPr>
        <w:spacing w:after="0" w:line="125"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planned future commercialization efforts; and</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continue to incur increased costs as a result of operating as a public company.</w:t>
      </w:r>
    </w:p>
    <w:p>
      <w:pPr>
        <w:spacing w:after="0" w:line="234"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nonclinical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56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ind w:left="460" w:right="240"/>
        <w:spacing w:after="0" w:line="270" w:lineRule="auto"/>
        <w:rPr>
          <w:sz w:val="20"/>
          <w:szCs w:val="20"/>
          <w:color w:val="auto"/>
        </w:rPr>
      </w:pPr>
      <w:r>
        <w:rPr>
          <w:rFonts w:ascii="Arial" w:cs="Arial" w:eastAsia="Arial" w:hAnsi="Arial"/>
          <w:sz w:val="16"/>
          <w:szCs w:val="16"/>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160" w:lineRule="exact"/>
        <w:rPr>
          <w:sz w:val="20"/>
          <w:szCs w:val="20"/>
          <w:color w:val="auto"/>
        </w:rPr>
      </w:pPr>
    </w:p>
    <w:p>
      <w:pPr>
        <w:ind w:right="100" w:firstLine="458"/>
        <w:spacing w:after="0" w:line="249" w:lineRule="auto"/>
        <w:rPr>
          <w:sz w:val="20"/>
          <w:szCs w:val="20"/>
          <w:color w:val="auto"/>
        </w:rPr>
      </w:pPr>
      <w:r>
        <w:rPr>
          <w:rFonts w:ascii="Arial" w:cs="Arial" w:eastAsia="Arial" w:hAnsi="Arial"/>
          <w:sz w:val="16"/>
          <w:szCs w:val="16"/>
          <w:color w:val="auto"/>
        </w:rPr>
        <w:t>We expect our expenses to increase in parallel with our ongoing activities, particularly as we continue our discovery and nonclinical development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nonclinical studies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382"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237" w:lineRule="exact"/>
        <w:rPr>
          <w:sz w:val="20"/>
          <w:szCs w:val="20"/>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5" w:lineRule="exact"/>
        <w:rPr>
          <w:rFonts w:ascii="Times New Roman" w:cs="Times New Roman" w:eastAsia="Times New Roman" w:hAnsi="Times New Roman"/>
          <w:sz w:val="16"/>
          <w:szCs w:val="16"/>
          <w:color w:val="auto"/>
        </w:rPr>
      </w:pPr>
    </w:p>
    <w:p>
      <w:pPr>
        <w:ind w:left="900" w:right="440" w:hanging="428"/>
        <w:spacing w:after="0" w:line="285"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Contract Research Organizations ("CROs") that are assisting with our sponsored clinical trials, and other research and development activities;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5" w:lineRule="exact"/>
        <w:rPr>
          <w:rFonts w:ascii="Times New Roman" w:cs="Times New Roman" w:eastAsia="Times New Roman" w:hAnsi="Times New Roman"/>
          <w:sz w:val="16"/>
          <w:szCs w:val="16"/>
          <w:color w:val="auto"/>
        </w:rPr>
      </w:pPr>
    </w:p>
    <w:p>
      <w:pPr>
        <w:ind w:left="900" w:right="600" w:hanging="428"/>
        <w:spacing w:after="0" w:line="285"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4"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or other factors, could adversely impact our ability to access capital as and when needed. If we are unable to obtain sufficient funding in a timely manner or on commercially acceptable terms, we may have 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191"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 to our product candidates or technologies.</w:t>
      </w:r>
    </w:p>
    <w:p>
      <w:pPr>
        <w:spacing w:after="0" w:line="141"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We have and may continue to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57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could negatively affect our financial condition.</w:t>
      </w:r>
    </w:p>
    <w:p>
      <w:pPr>
        <w:spacing w:after="0" w:line="219" w:lineRule="exact"/>
        <w:rPr>
          <w:sz w:val="20"/>
          <w:szCs w:val="20"/>
          <w:color w:val="auto"/>
        </w:rPr>
      </w:pPr>
    </w:p>
    <w:p>
      <w:pPr>
        <w:ind w:right="20" w:firstLine="458"/>
        <w:spacing w:after="0" w:line="255" w:lineRule="auto"/>
        <w:rPr>
          <w:sz w:val="20"/>
          <w:szCs w:val="20"/>
          <w:color w:val="auto"/>
        </w:rPr>
      </w:pPr>
      <w:r>
        <w:rPr>
          <w:rFonts w:ascii="Arial" w:cs="Arial" w:eastAsia="Arial" w:hAnsi="Arial"/>
          <w:sz w:val="16"/>
          <w:szCs w:val="16"/>
          <w:color w:val="auto"/>
        </w:rPr>
        <w:t>Our consolidated financial statements are presented in euros. We mainly operate via our Dutch and Swiss entities, but we also conduct business in the United States and the United Kingdom. Therefore, we have expenses denominated in U.S. dollars, Swiss Francs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the euro and the Swiss franc and the British pound sterling, which may have a significant impact on our reported results of operations and cash flows from period to period.</w:t>
      </w:r>
    </w:p>
    <w:p>
      <w:pPr>
        <w:spacing w:after="0" w:line="375" w:lineRule="exact"/>
        <w:rPr>
          <w:sz w:val="20"/>
          <w:szCs w:val="20"/>
          <w:color w:val="auto"/>
        </w:rPr>
      </w:pPr>
    </w:p>
    <w:p>
      <w:pPr>
        <w:jc w:val="both"/>
        <w:ind w:left="460" w:right="520"/>
        <w:spacing w:after="0" w:line="270" w:lineRule="auto"/>
        <w:rPr>
          <w:sz w:val="20"/>
          <w:szCs w:val="20"/>
          <w:color w:val="auto"/>
        </w:rPr>
      </w:pPr>
      <w:r>
        <w:rPr>
          <w:rFonts w:ascii="Arial" w:cs="Arial" w:eastAsia="Arial" w:hAnsi="Arial"/>
          <w:sz w:val="16"/>
          <w:szCs w:val="16"/>
          <w:b w:val="1"/>
          <w:bCs w:val="1"/>
          <w:i w:val="1"/>
          <w:iCs w:val="1"/>
          <w:u w:val="single" w:color="auto"/>
          <w:color w:val="498205"/>
        </w:rPr>
        <w:t>I</w:t>
      </w:r>
      <w:r>
        <w:rPr>
          <w:rFonts w:ascii="Arial" w:cs="Arial" w:eastAsia="Arial" w:hAnsi="Arial"/>
          <w:sz w:val="16"/>
          <w:szCs w:val="16"/>
          <w:b w:val="1"/>
          <w:bCs w:val="1"/>
          <w:i w:val="1"/>
          <w:iCs w:val="1"/>
          <w:color w:val="000000"/>
        </w:rPr>
        <w:t>f we fail to maintain effective internal control over financial reporting, we may not be able to accurately report our financial results or</w:t>
      </w:r>
      <w:r>
        <w:rPr>
          <w:rFonts w:ascii="Arial" w:cs="Arial" w:eastAsia="Arial" w:hAnsi="Arial"/>
          <w:sz w:val="16"/>
          <w:szCs w:val="16"/>
          <w:b w:val="1"/>
          <w:bCs w:val="1"/>
          <w:i w:val="1"/>
          <w:iCs w:val="1"/>
          <w:color w:val="498205"/>
        </w:rPr>
        <w:t xml:space="preserve"> </w:t>
      </w:r>
      <w:r>
        <w:rPr>
          <w:rFonts w:ascii="Arial" w:cs="Arial" w:eastAsia="Arial" w:hAnsi="Arial"/>
          <w:sz w:val="16"/>
          <w:szCs w:val="16"/>
          <w:b w:val="1"/>
          <w:bCs w:val="1"/>
          <w:i w:val="1"/>
          <w:iCs w:val="1"/>
          <w:color w:val="000000"/>
        </w:rPr>
        <w:t>prevent fraud, and as a result, shareholders could lose confidence in our financial and other public reporting, which would harm our business and the trading price of our ordinary shares.</w:t>
      </w:r>
    </w:p>
    <w:p>
      <w:pPr>
        <w:spacing w:after="0" w:line="160"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Section 404 of the Sarbanes-Oxley Act requires management of public companies to develop and implement internal control over financial reporting and to evaluate the effectiveness thereof. If we identify one or more material weaknesses in our internal control over financial reporting, we will not be able to assert that our internal controls and procedures are effective.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annual financial statements through December 31, 2023, we identified material weaknesses in the design of our internal control over financial reporting, which our management concluded to have been remediated as of December 31, 2024.</w:t>
      </w:r>
    </w:p>
    <w:p>
      <w:pPr>
        <w:spacing w:after="0" w:line="183" w:lineRule="exact"/>
        <w:rPr>
          <w:sz w:val="20"/>
          <w:szCs w:val="20"/>
          <w:color w:val="auto"/>
        </w:rPr>
      </w:pPr>
    </w:p>
    <w:p>
      <w:pPr>
        <w:jc w:val="both"/>
        <w:ind w:right="240" w:firstLine="458"/>
        <w:spacing w:after="0" w:line="266" w:lineRule="auto"/>
        <w:rPr>
          <w:sz w:val="20"/>
          <w:szCs w:val="20"/>
          <w:color w:val="auto"/>
        </w:rPr>
      </w:pPr>
      <w:r>
        <w:rPr>
          <w:rFonts w:ascii="Arial" w:cs="Arial" w:eastAsia="Arial" w:hAnsi="Arial"/>
          <w:sz w:val="16"/>
          <w:szCs w:val="16"/>
          <w:color w:val="auto"/>
        </w:rPr>
        <w:t>We cannot assure you that material weaknesses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7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Our management is required to assess the effectiveness of our internal controls over financial reporting on an annual basis pursuant to SOX 404(a). Now that we are no longer an “emerging growth company,”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and require us to incur the expense of remediation. Investors may lose confidence in the accuracy and completeness of our financial reports, which could cause the market price of our ordinary shares to decline and also restrict our future access to the capital markets.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could be also subject to sanctions or investigations by Nasdaq, the SEC or other regulatory authorities.</w:t>
      </w:r>
    </w:p>
    <w:p>
      <w:pPr>
        <w:spacing w:after="0" w:line="223" w:lineRule="exact"/>
        <w:rPr>
          <w:sz w:val="20"/>
          <w:szCs w:val="20"/>
          <w:color w:val="auto"/>
        </w:rPr>
      </w:pPr>
    </w:p>
    <w:p>
      <w:pPr>
        <w:ind w:left="460" w:right="600"/>
        <w:spacing w:after="0" w:line="294" w:lineRule="auto"/>
        <w:rPr>
          <w:sz w:val="20"/>
          <w:szCs w:val="20"/>
          <w:color w:val="auto"/>
        </w:rPr>
      </w:pPr>
      <w:r>
        <w:rPr>
          <w:rFonts w:ascii="Arial" w:cs="Arial" w:eastAsia="Arial" w:hAnsi="Arial"/>
          <w:sz w:val="16"/>
          <w:szCs w:val="16"/>
          <w:b w:val="1"/>
          <w:bCs w:val="1"/>
          <w:i w:val="1"/>
          <w:iCs w:val="1"/>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141"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We operate in different jurisdictions with highly complex and varied tax regimes. Changes in tax rules, new or revised legislation or the outcome of tax assessments and audits could have a material adverse effect on our results.</w:t>
      </w:r>
    </w:p>
    <w:p>
      <w:pPr>
        <w:spacing w:after="0" w:line="156" w:lineRule="exact"/>
        <w:rPr>
          <w:sz w:val="20"/>
          <w:szCs w:val="20"/>
          <w:color w:val="auto"/>
        </w:rPr>
      </w:pPr>
    </w:p>
    <w:p>
      <w:pPr>
        <w:ind w:right="240" w:firstLine="458"/>
        <w:spacing w:after="0" w:line="253" w:lineRule="auto"/>
        <w:rPr>
          <w:sz w:val="20"/>
          <w:szCs w:val="20"/>
          <w:color w:val="auto"/>
        </w:rPr>
      </w:pPr>
      <w:r>
        <w:rPr>
          <w:rFonts w:ascii="Arial" w:cs="Arial" w:eastAsia="Arial" w:hAnsi="Arial"/>
          <w:sz w:val="16"/>
          <w:szCs w:val="16"/>
          <w:color w:val="auto"/>
        </w:rPr>
        <w:t>We are subject to taxation in the Netherlands, Switzerland, the United States, and other jurisdictions. Our future effective income tax rate may be variable and depend on changes in the level of operating results within various local jurisdictions and changes in the applicable taxation rates of these jurisdictions.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G20 Inclusive Framework and the two-pillar solution to address the tax challenges arising from the digitalization of the economy) or successfully challenge the manner in which our income taxes are currently recognized or calculated or the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58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transfer pricing policies employed by us (including policies set forth in any advance pricing agreements entered into with any taxing authorities), our income tax expense could increase, which would adversely impact our cash flow and profitability.</w:t>
      </w:r>
    </w:p>
    <w:p>
      <w:pPr>
        <w:spacing w:after="0" w:line="156"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tax benefits or benefits from net operating losses accumulated in prior years in some jurisdictions may not be available in the future due to changes in the local jurisdictions or credits on net operating losses no longer available due to either full utilization or expiration of the statute of limitations in such jurisdictions. As a result, our future effective tax rate could increase and/or our benefits from carrying forward net operating losses could affect our deferred tax assets in certain countries in the coming years. The ultimate realization of deferred tax assets is dependent upon, among other things, our ability to generate future taxable income that is sufficient to utilize in certain jurisdictions loss carry-forwards or tax credits before their expiration or our ability to implement prudent and feasible tax optimization strategies.</w:t>
      </w:r>
    </w:p>
    <w:p>
      <w:pPr>
        <w:spacing w:after="0" w:line="182" w:lineRule="exact"/>
        <w:rPr>
          <w:sz w:val="20"/>
          <w:szCs w:val="20"/>
          <w:color w:val="auto"/>
        </w:rPr>
      </w:pPr>
    </w:p>
    <w:p>
      <w:pPr>
        <w:jc w:val="both"/>
        <w:ind w:right="100" w:firstLine="458"/>
        <w:spacing w:after="0" w:line="266" w:lineRule="auto"/>
        <w:rPr>
          <w:sz w:val="20"/>
          <w:szCs w:val="20"/>
          <w:color w:val="auto"/>
        </w:rPr>
      </w:pPr>
      <w:r>
        <w:rPr>
          <w:rFonts w:ascii="Arial" w:cs="Arial" w:eastAsia="Arial" w:hAnsi="Arial"/>
          <w:sz w:val="16"/>
          <w:szCs w:val="16"/>
          <w:color w:val="auto"/>
        </w:rPr>
        <w:t>Furthermore, in many of the jurisdictions in which we operate,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171" w:lineRule="exact"/>
        <w:rPr>
          <w:sz w:val="20"/>
          <w:szCs w:val="20"/>
          <w:color w:val="auto"/>
        </w:rPr>
      </w:pPr>
    </w:p>
    <w:p>
      <w:pPr>
        <w:ind w:right="300" w:firstLine="458"/>
        <w:spacing w:after="0" w:line="259" w:lineRule="auto"/>
        <w:rPr>
          <w:sz w:val="20"/>
          <w:szCs w:val="20"/>
          <w:color w:val="auto"/>
        </w:rPr>
      </w:pPr>
      <w:r>
        <w:rPr>
          <w:rFonts w:ascii="Arial" w:cs="Arial" w:eastAsia="Arial" w:hAnsi="Arial"/>
          <w:sz w:val="16"/>
          <w:szCs w:val="16"/>
          <w:color w:val="auto"/>
        </w:rPr>
        <w:t>On December 20, 2021, the OECD published the Global Anti-Base Erosion Model Rules (the "GloBE Rules</w:t>
      </w:r>
      <w:r>
        <w:rPr>
          <w:rFonts w:ascii="Arial" w:cs="Arial" w:eastAsia="Arial" w:hAnsi="Arial"/>
          <w:sz w:val="16"/>
          <w:szCs w:val="16"/>
          <w:b w:val="1"/>
          <w:bCs w:val="1"/>
          <w:color w:val="auto"/>
        </w:rPr>
        <w:t>"</w:t>
      </w:r>
      <w:r>
        <w:rPr>
          <w:rFonts w:ascii="Arial" w:cs="Arial" w:eastAsia="Arial" w:hAnsi="Arial"/>
          <w:sz w:val="16"/>
          <w:szCs w:val="16"/>
          <w:color w:val="auto"/>
        </w:rPr>
        <w:t>), also known as Pillar II. The GloBE Rules aim to impose a global minimum tax of 15% on multinational enterprises with a revenue in excess of €750 million. On December 22, 2021, the European Commission published a legislative proposal for Pillar II (the "EU Pillar II Directive</w:t>
      </w:r>
      <w:r>
        <w:rPr>
          <w:rFonts w:ascii="Arial" w:cs="Arial" w:eastAsia="Arial" w:hAnsi="Arial"/>
          <w:sz w:val="16"/>
          <w:szCs w:val="16"/>
          <w:b w:val="1"/>
          <w:bCs w:val="1"/>
          <w:color w:val="auto"/>
        </w:rPr>
        <w:t>"</w:t>
      </w:r>
      <w:r>
        <w:rPr>
          <w:rFonts w:ascii="Arial" w:cs="Arial" w:eastAsia="Arial" w:hAnsi="Arial"/>
          <w:sz w:val="16"/>
          <w:szCs w:val="16"/>
          <w:color w:val="auto"/>
        </w:rPr>
        <w:t>). The EU Pillar II Directive is largely aligned with the GloBE Rules. Some deviations were introduced to ensure compliance with EU treaties.</w:t>
      </w:r>
    </w:p>
    <w:p>
      <w:pPr>
        <w:spacing w:after="0" w:line="178"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 xml:space="preserve">On December 15, 2022, the Council of the European Union formally adopted the EU Pillar II Directive. The EU Pillar II Directive aims at consistently implementing among all 27 member states the GloBE Rules. EU Member States had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 transpose the EU Pillar II Directive into their national laws and will have to apply the Pillar II measures in respect of the fiscal years beginning on or after December 31, 2023. The Netherlands have transposed the EU Pillar II Directive into its national legislation with effect from December 31, 2023, pursuant to the Dutch Minimum Tax Act 2024 (Wet minimumbelasting 2024).</w:t>
      </w:r>
    </w:p>
    <w:p>
      <w:pPr>
        <w:spacing w:after="0" w:line="180"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We do not yet meet the revenue threshold for Pillar II of €750 million but (i) should this threshold be reduced or (ii) should our revenue increase, then the application of Pillar II could have a material adverse effect on our business, financial position and results of operations. We will continue to monitor the impact of Pillar II going forward.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the Development and Clinical Testing of Our Product Candidates</w:t>
      </w:r>
    </w:p>
    <w:p>
      <w:pPr>
        <w:spacing w:after="0" w:line="221" w:lineRule="exact"/>
        <w:rPr>
          <w:sz w:val="20"/>
          <w:szCs w:val="20"/>
          <w:color w:val="auto"/>
        </w:rPr>
      </w:pPr>
    </w:p>
    <w:p>
      <w:pPr>
        <w:ind w:left="460" w:right="100"/>
        <w:spacing w:after="0" w:line="254" w:lineRule="auto"/>
        <w:rPr>
          <w:sz w:val="20"/>
          <w:szCs w:val="20"/>
          <w:color w:val="auto"/>
        </w:rPr>
      </w:pPr>
      <w:r>
        <w:rPr>
          <w:rFonts w:ascii="Arial" w:cs="Arial" w:eastAsia="Arial" w:hAnsi="Arial"/>
          <w:sz w:val="16"/>
          <w:szCs w:val="16"/>
          <w:b w:val="1"/>
          <w:bCs w:val="1"/>
          <w:i w:val="1"/>
          <w:iCs w:val="1"/>
          <w:color w:val="auto"/>
        </w:rPr>
        <w:t>We have experienced, and may continue to experience, setbacks in our clinical trials, including as a result of the clinical holds which were lifted in June 2023 and January 2024. Moreover,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174" w:lineRule="exact"/>
        <w:rPr>
          <w:sz w:val="20"/>
          <w:szCs w:val="20"/>
          <w:color w:val="auto"/>
        </w:rPr>
      </w:pPr>
    </w:p>
    <w:p>
      <w:pPr>
        <w:ind w:right="40" w:firstLine="458"/>
        <w:spacing w:after="0" w:line="248" w:lineRule="auto"/>
        <w:rPr>
          <w:sz w:val="20"/>
          <w:szCs w:val="20"/>
          <w:color w:val="auto"/>
        </w:rPr>
      </w:pPr>
      <w:r>
        <w:rPr>
          <w:rFonts w:ascii="Arial" w:cs="Arial" w:eastAsia="Arial" w:hAnsi="Arial"/>
          <w:sz w:val="16"/>
          <w:szCs w:val="16"/>
          <w:color w:val="auto"/>
        </w:rPr>
        <w:t>Clinical trials are expensive and complex. Each trial can take many years to complete and have uncertain outcomes. Failure of a product can occur at any stage of the testing, including later phases of clinical trials despite having progressed through preclinical and nonclinical studies and early phase clinical trials, for a variety of reasons, such as changes in formulation of the product, differences in patient populations, changes in trial and manufacturing protocols and complexities of larger, multi-center trials, among others. The results from nonclinical studies or early phase clinical trials of a product candidate may not predict the results that will be obtained in later phase clinical trials of the product candidate. For example,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For instance, in August 2022, we announced that the FDA has placed clinical holds on our clinical trials of deucrictibant in the U.S. under two Investigational New Drug, or IND, applications for the treatment of HAE (on-demand and prophylactic) based on its review of nonclinical data. The clinical hold letters stated that the nonclinical observations were unlikely due to B2 receptor antagonism, the primary mechanism of action of our compound. However, the FDA requested that we conduct an additional long-term rodent toxicology study and update the investigator’s brochure.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 While the clinical hold was lifted,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95" w:lineRule="exact"/>
        <w:rPr>
          <w:sz w:val="20"/>
          <w:szCs w:val="20"/>
          <w:color w:val="auto"/>
        </w:rPr>
      </w:pPr>
    </w:p>
    <w:p>
      <w:pPr>
        <w:ind w:right="420" w:firstLine="458"/>
        <w:spacing w:after="0" w:line="286" w:lineRule="auto"/>
        <w:rPr>
          <w:sz w:val="20"/>
          <w:szCs w:val="20"/>
          <w:color w:val="auto"/>
        </w:rPr>
      </w:pPr>
      <w:r>
        <w:rPr>
          <w:rFonts w:ascii="Arial" w:cs="Arial" w:eastAsia="Arial" w:hAnsi="Arial"/>
          <w:sz w:val="16"/>
          <w:szCs w:val="16"/>
          <w:color w:val="auto"/>
        </w:rPr>
        <w:t>Even if clinical trials are successful, before granting approval to any product candidate, regulatory authorities can request additional clinical trials, including with larger patient numbers, find deficiencies in the manufacturing processes or facilities upon which we rely and</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59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change their approval policies or regulations or their prior guidance to us during clinical development in a manner that renders our clinical data insufficient for approval. We have, and may continue to experience numerous setbacks during, or as a result of, the clinical trial process that could delay or prevent the commencement, conduct and completion of clinical trials or the commercialization of our current and any future programs, such as:</w:t>
      </w:r>
    </w:p>
    <w:p>
      <w:pPr>
        <w:spacing w:after="0" w:line="252" w:lineRule="exact"/>
        <w:rPr>
          <w:sz w:val="20"/>
          <w:szCs w:val="20"/>
          <w:color w:val="auto"/>
        </w:rPr>
      </w:pPr>
    </w:p>
    <w:p>
      <w:pPr>
        <w:ind w:left="1020" w:right="340" w:hanging="503"/>
        <w:spacing w:after="0" w:line="266"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 consensus with regulatory agencies on the design or implementation of our clinical trials, including with respect to our strategy for sharing Phase 1 and Phase 2 data between IR and XR programs and designs for improving the efficiency of our clinical development path;</w:t>
      </w:r>
    </w:p>
    <w:p>
      <w:pPr>
        <w:spacing w:after="0" w:line="62"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obtaining regulatory approval or ethics committee approval to commence a clinical trial;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CROs to adequately supervise investigators;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recruit sufficient investigators or recruit and enroll sufficient subjects for our clinical trials in a timely manner or at all, including due to</w:t>
      </w:r>
    </w:p>
    <w:p>
      <w:pPr>
        <w:spacing w:after="0" w:line="20"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(i) pandemics and (ii) geopolitical tensions;</w:t>
      </w:r>
    </w:p>
    <w:p>
      <w:pPr>
        <w:spacing w:after="0" w:line="97"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delay or failure in having subjects complete a trial or return for post-treatment follow-up, including due to (i) pandemics and (ii) geopolitical tensions;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obtain and maintain the required institutional review board, or IRB, or ethics committee approval at each clinical trial site;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clinical sites or investigators deviating from trial protocol or dropping out of a trial;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lack of adequate funding to continue a clinical trial;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w:t>
      </w:r>
    </w:p>
    <w:p>
      <w:pPr>
        <w:spacing w:after="0" w:line="125"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48" w:lineRule="exact"/>
        <w:rPr>
          <w:rFonts w:ascii="Times New Roman" w:cs="Times New Roman" w:eastAsia="Times New Roman" w:hAnsi="Times New Roman"/>
          <w:sz w:val="16"/>
          <w:szCs w:val="16"/>
          <w:color w:val="auto"/>
        </w:rPr>
      </w:pPr>
    </w:p>
    <w:p>
      <w:pPr>
        <w:ind w:left="1020" w:right="480" w:hanging="503"/>
        <w:spacing w:after="0" w:line="285"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372" w:lineRule="exact"/>
        <w:rPr>
          <w:sz w:val="20"/>
          <w:szCs w:val="20"/>
          <w:color w:val="auto"/>
        </w:rPr>
      </w:pPr>
    </w:p>
    <w:p>
      <w:pPr>
        <w:ind w:right="420" w:firstLine="458"/>
        <w:spacing w:after="0" w:line="286" w:lineRule="auto"/>
        <w:rPr>
          <w:sz w:val="20"/>
          <w:szCs w:val="20"/>
          <w:color w:val="auto"/>
        </w:rPr>
      </w:pPr>
      <w:r>
        <w:rPr>
          <w:rFonts w:ascii="Arial" w:cs="Arial" w:eastAsia="Arial" w:hAnsi="Arial"/>
          <w:sz w:val="16"/>
          <w:szCs w:val="16"/>
          <w:color w:val="auto"/>
        </w:rPr>
        <w:t>Before commencing clinical trials, we are required to apply to country-level regulators before opening sites in their countries. If we are not able to timely receive their approval or enroll patients at sites in other countries, we may not be able to complete clinical trials on our anticipated timelines.</w:t>
      </w:r>
    </w:p>
    <w:p>
      <w:pPr>
        <w:spacing w:after="0" w:line="156"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Moreover, principal investigators for our clinical trials may serve as scientific advisers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1"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If we suffer any material delays, negative results or other setbacks in our clinical trials or nonclinical studies or if any of our clinical trials are put on clinical hold or terminated, we may incur increased costs or be unable to continue development of deucrictibant, including our product candidates IR and XR, which could have a material adverse effect on our business, financial condition, results of operations and prospects.</w:t>
      </w:r>
    </w:p>
    <w:p>
      <w:pPr>
        <w:spacing w:after="0" w:line="173" w:lineRule="exact"/>
        <w:rPr>
          <w:sz w:val="20"/>
          <w:szCs w:val="20"/>
          <w:color w:val="auto"/>
        </w:rPr>
      </w:pPr>
    </w:p>
    <w:p>
      <w:pPr>
        <w:ind w:left="520" w:right="100"/>
        <w:spacing w:after="0" w:line="253" w:lineRule="auto"/>
        <w:rPr>
          <w:sz w:val="20"/>
          <w:szCs w:val="20"/>
          <w:color w:val="auto"/>
        </w:rPr>
      </w:pPr>
      <w:r>
        <w:rPr>
          <w:rFonts w:ascii="Arial" w:cs="Arial" w:eastAsia="Arial" w:hAnsi="Arial"/>
          <w:sz w:val="16"/>
          <w:szCs w:val="16"/>
          <w:b w:val="1"/>
          <w:bCs w:val="1"/>
          <w:i w:val="1"/>
          <w:iCs w:val="1"/>
          <w:color w:val="auto"/>
        </w:rPr>
        <w:t>We are heavily dependent on the success of our product candidates deucrictibant IR and deucrictibant XR, which are in late-stage development. We have released topline data from our RAPIDe-1 study demonstrating efficacy in our Phase 2 clinical trial for treatment of HAE attacks on demand using deucrictibant immediate-release (IR) and topline data from our CHAPTER-1 study demonstrating efficacy in our Phase 2 clinical trial of deucrictibant for the prophylactic treatment of HAE attacks.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296" w:lineRule="exact"/>
        <w:rPr>
          <w:sz w:val="20"/>
          <w:szCs w:val="20"/>
          <w:color w:val="auto"/>
        </w:rPr>
      </w:pPr>
    </w:p>
    <w:p>
      <w:pPr>
        <w:ind w:right="100" w:firstLine="464"/>
        <w:spacing w:after="0" w:line="284" w:lineRule="auto"/>
        <w:rPr>
          <w:sz w:val="20"/>
          <w:szCs w:val="20"/>
          <w:color w:val="auto"/>
        </w:rPr>
      </w:pPr>
      <w:r>
        <w:rPr>
          <w:rFonts w:ascii="Arial" w:cs="Arial" w:eastAsia="Arial" w:hAnsi="Arial"/>
          <w:sz w:val="16"/>
          <w:szCs w:val="16"/>
          <w:color w:val="auto"/>
        </w:rPr>
        <w:t>We do not have any drugs that have received regulatory approval and may never be able to develop marketable products. We expect that a substantial portion of our efforts and expenses for the foreseeable future will be devoted to the clinical development of our product candidates, deucrictibant IR and deucrictibant XR, and as a result, our business currently depends heavily on the successful development,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60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regulatory approval and commercialization of these product candidates. To date we have data from preclinical studies, Phase 1 clinical trials in healthy volunteers, and Phase 2 trials in people living with HAE of deucrictibant in both treatment and prophylaxis of HAE attacks. However, we have not conducted a head-to-head comparison of icatibant or any other drug candidate to deucrictibant in a clinical trial. We have compared the published data for icatibant to data from our Phase 1 clinical trial of deucrictibant and Phase 2 trial of IR (RAPIDe-1). Accordingly, the value of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Future clinical trials may not confirm our analyses to date. The development of IR and XR has been and will continue to be a time-consuming and costly process and may leave us with insufficient resources to advance other programs and product candidates. We cannot be certain that any deucrictibant-containing product candidate, including IR and XR, will receive regulatory approval or be successfully commercialized, even if we receive regulatory approval.</w:t>
      </w:r>
    </w:p>
    <w:p>
      <w:pPr>
        <w:spacing w:after="0" w:line="374"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The research, testing, manufacturing, safety, efficacy, labeling, approval, sale, advertising promotion, commercialization and distribution of our product candidates are, and will remain, subject to comprehensive regulation by the FDA in the United States, the European Union and the European Medicines Agency or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We have not submitted any marketing authorization applications for any of our product candidates. NDAs and MAs must include extensive nonclinical and clinical data and supporting information to establish the drug candidate’s safety and effectiveness for each desired indication. The nonclinical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nonclinical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IR and XR or any other product candidate in the United States, Europe or other jurisdictions will prevent us from commercializing and marketing these products in such jurisdictions.</w:t>
      </w:r>
    </w:p>
    <w:p>
      <w:pPr>
        <w:spacing w:after="0" w:line="19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185" w:lineRule="exact"/>
        <w:rPr>
          <w:sz w:val="20"/>
          <w:szCs w:val="20"/>
          <w:color w:val="auto"/>
        </w:rPr>
      </w:pPr>
    </w:p>
    <w:p>
      <w:pPr>
        <w:ind w:left="520" w:right="240"/>
        <w:spacing w:after="0" w:line="270" w:lineRule="auto"/>
        <w:rPr>
          <w:sz w:val="20"/>
          <w:szCs w:val="20"/>
          <w:color w:val="auto"/>
        </w:rPr>
      </w:pPr>
      <w:r>
        <w:rPr>
          <w:rFonts w:ascii="Arial" w:cs="Arial" w:eastAsia="Arial" w:hAnsi="Arial"/>
          <w:sz w:val="16"/>
          <w:szCs w:val="16"/>
          <w:b w:val="1"/>
          <w:bCs w:val="1"/>
          <w:i w:val="1"/>
          <w:iCs w:val="1"/>
          <w:color w:val="auto"/>
        </w:rPr>
        <w:t>Our business and operations, including ongoing and planned clinical trials, may be adversely affected by a variety of events outside our control, including pandemics, epidemics or outbreaks of infectious diseases, and geopolitical instability, such as the conflict between Russia and Ukraine.</w:t>
      </w:r>
    </w:p>
    <w:p>
      <w:pPr>
        <w:spacing w:after="0" w:line="16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The spread of variants of infectious diseases may interrupt, or delay, our clinical trial activities, regulatory reviews, manufacturing activities and supply chain. Infectious disease pandemics may delay enrollment in our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In addition, even with our distributed operations, employee vaccinations and our observation of social distancing measures, there remains the possibility that key personnel may become ill or are otherwise unable to work, which could affect our operations.</w:t>
      </w:r>
    </w:p>
    <w:p>
      <w:pPr>
        <w:spacing w:after="0" w:line="183"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Moreover, unforeseen global events, such as the armed conflict between Russia and Ukraine could adversely impact our business and operations. The invasion of Ukraine and the retaliatory measures that have been taken, or could be taken in the future, by the United States, NATO, and other countries have created global security concerns that could result in regional conflicts and also adversely affect our ability to conduct ongoing and future clinical trials of our product candidates. For example, our studies include a significant number of patients in Germany, Poland and Bulgaria, and we have a patient in Israel. A further escalation of the conflict in Ukraine and the Middle East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61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which may require us to identify alternative trial sites. Any of the foregoing could impede the execution of our clinical development plans, which could materially harm our business.</w:t>
      </w:r>
    </w:p>
    <w:p>
      <w:pPr>
        <w:spacing w:after="0" w:line="158" w:lineRule="exact"/>
        <w:rPr>
          <w:sz w:val="20"/>
          <w:szCs w:val="20"/>
          <w:color w:val="auto"/>
        </w:rPr>
      </w:pPr>
    </w:p>
    <w:p>
      <w:pPr>
        <w:ind w:left="460" w:right="100"/>
        <w:spacing w:after="0" w:line="262" w:lineRule="auto"/>
        <w:rPr>
          <w:sz w:val="20"/>
          <w:szCs w:val="20"/>
          <w:color w:val="auto"/>
        </w:rPr>
      </w:pPr>
      <w:r>
        <w:rPr>
          <w:rFonts w:ascii="Arial" w:cs="Arial" w:eastAsia="Arial" w:hAnsi="Arial"/>
          <w:sz w:val="16"/>
          <w:szCs w:val="16"/>
          <w:b w:val="1"/>
          <w:bCs w:val="1"/>
          <w:i w:val="1"/>
          <w:iCs w:val="1"/>
          <w:color w:val="auto"/>
        </w:rPr>
        <w:t>Disruptions at the FDA, European Medical Agency or EMA and other government agencies, including as a result of the new administration,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67"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The ability of the FDA, EMA and other comparable government agencies to review and clear or approve new products can be affected by a variety of factors, including government budget and funding levels, statutory, regulatory, and policy changes including policy changes coming from the new administration,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If a prolonged government shutdown occurs, or 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design and develop an extended-release formulation.</w:t>
      </w:r>
    </w:p>
    <w:p>
      <w:pPr>
        <w:spacing w:after="0" w:line="219"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Our current strategy includes developing an extended-release formulation for the deucrictibant prophylactic indication (XR). To date, we have studied prospective extended-release formulation only in clinical studies in healthy volunteers. We are planning to conduct multiple dose study to assess the PK and safety of the final extended-release formulation. In future multiple dose studies, either in healthy volunteers or in HAE clinical studies, we may not observe the desired PK profile with the current or any extended-release formulation.</w:t>
      </w:r>
    </w:p>
    <w:p>
      <w:pPr>
        <w:spacing w:after="0" w:line="17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have filed patent applications covering the specific formulation developed, as well as its use for the treatment of HAE.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extended-release formulations and there can be no assurance that we would be able to obtain rights to such patents on attractive financial terms, if at all.</w:t>
      </w:r>
    </w:p>
    <w:p>
      <w:pPr>
        <w:spacing w:after="0" w:line="184"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114" w:lineRule="exact"/>
        <w:rPr>
          <w:sz w:val="20"/>
          <w:szCs w:val="20"/>
          <w:color w:val="auto"/>
        </w:rPr>
      </w:pPr>
    </w:p>
    <w:p>
      <w:pPr>
        <w:ind w:firstLine="464"/>
        <w:spacing w:after="0" w:line="252"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demonstrate safety and efficacy. We are currently entering late-stage clinical trials: we have completed Phase 2 trials in the on-demand and prophylactic settings which have provided critical data for dose selection for late phase clinical trials.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264" w:lineRule="exact"/>
        <w:rPr>
          <w:sz w:val="20"/>
          <w:szCs w:val="20"/>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the eligibility criteria for the study in question;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the perceived risks and benefits of the product candidate under study;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the efforts to facilitate timely enrollment in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the availability of existing or experimental treatments affecting our ability to recruit patients;</w:t>
      </w:r>
    </w:p>
    <w:p>
      <w:pPr>
        <w:spacing w:after="0" w:line="125" w:lineRule="exact"/>
        <w:rPr>
          <w:rFonts w:ascii="Times New Roman" w:cs="Times New Roman" w:eastAsia="Times New Roman" w:hAnsi="Times New Roman"/>
          <w:sz w:val="16"/>
          <w:szCs w:val="16"/>
          <w:color w:val="auto"/>
        </w:rPr>
      </w:pPr>
    </w:p>
    <w:p>
      <w:pPr>
        <w:ind w:left="900" w:right="380" w:hanging="428"/>
        <w:spacing w:after="0" w:line="285" w:lineRule="auto"/>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identify and maintain a sufficient number of trial sites, many of which may already be engaged in other clinical trial programs, including some that may be for the same disease indication;</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the patient referral practices of physicians;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any delays and difficulties in enrollment due to the spread of an infectious disease;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ambiguous or negative interim results of our clinical trials, or results that are inconsistent with earlier results;</w:t>
      </w:r>
    </w:p>
    <w:p>
      <w:pPr>
        <w:spacing w:after="0" w:line="125" w:lineRule="exact"/>
        <w:rPr>
          <w:rFonts w:ascii="Times New Roman" w:cs="Times New Roman" w:eastAsia="Times New Roman" w:hAnsi="Times New Roman"/>
          <w:sz w:val="16"/>
          <w:szCs w:val="16"/>
          <w:color w:val="auto"/>
        </w:rPr>
      </w:pPr>
    </w:p>
    <w:p>
      <w:pPr>
        <w:ind w:left="900" w:right="500" w:hanging="428"/>
        <w:spacing w:after="0" w:line="266" w:lineRule="auto"/>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feedback from the FDA, EMA and any comparable foreign regulatory authority, data safety monitoring boards, or a comparable foreign regulatory authority, or results from earlier stage or concurrent nonclinical studies and clinical trials, that might require modifications to the protocol;</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62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900" w:right="40" w:hanging="428"/>
        <w:spacing w:after="0" w:line="285" w:lineRule="auto"/>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decisions by the FDA, EMA and any comparable foreign regulatory authority, or recommendations by data safety monitoring boards, to suspend or terminate clinical trials at any time for safety issues or for any other reason; and</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unacceptable risk-benefit profile, perceived or actual, or unforeseen safety issues or adverse effects.</w:t>
      </w:r>
    </w:p>
    <w:p>
      <w:pPr>
        <w:spacing w:after="0" w:line="234"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Clinical trials of our product candidates may not uncover all possible adverse effects that patients may experience.</w:t>
      </w:r>
    </w:p>
    <w:p>
      <w:pPr>
        <w:spacing w:after="0" w:line="219"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the duration of exposure to the product candidate, and by inclusion and exclusion criteria to a restricted composition of the overall patient population. As a result of such limitations, we cannot be sure that all side effects of our product 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85"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events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182"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160"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nonclinical (animal) studies, they may not prove to be safe or effective in subsequent clinical trials. For example, the results of animal studies may not accurately predict human experience. Likewise, early clinical trials may not be predictive of eventual safety or effectiveness results in larger-scale pivotal clinical trials. In this Annual Report we discuss the potency of deucrictibant as shown in preclinical, Phase 1 clinical trials, and Phase 2 clinical trials (RAPIDe-1 and CHAPTER-1). Potency as used in this Annual Report refers to the amount of drug required to produce a pharmacological effect of given intensity and is not a measure of therapeutic efficacy. We have released topline data from our RAPIDe-1 study demonstrating efficacy in our Phase 2 clinical trial for treatment of HAE attacks on demand using deucrictibant immediate-release (IR) and topline data from our CHAPTER-1 study demonstrating efficacy in our Phase 2 clinical trial of deucrictibant for the prophylactic treatment of HAE attacks. The results of preclinical studies and early and mid-stage clinical trials, as well as data from interim analysis of ongoing clinical trials, may not be predictive of the results of ongoing or future clinical trials.</w:t>
      </w:r>
    </w:p>
    <w:p>
      <w:pPr>
        <w:spacing w:after="0" w:line="189"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nonclinical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18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in pre- and nonclinical animals before initiating clinical trials involving humans. Pre- and nonclinical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63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Regulatory Approval of Our Clinical Development Programs and Our Product Candidates</w:t>
      </w:r>
    </w:p>
    <w:p>
      <w:pPr>
        <w:spacing w:after="0" w:line="221"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141" w:lineRule="exact"/>
        <w:rPr>
          <w:sz w:val="20"/>
          <w:szCs w:val="20"/>
          <w:color w:val="auto"/>
        </w:rPr>
      </w:pPr>
    </w:p>
    <w:p>
      <w:pPr>
        <w:ind w:right="520" w:firstLine="458"/>
        <w:spacing w:after="0" w:line="266"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or market our product candidates.</w:t>
      </w:r>
    </w:p>
    <w:p>
      <w:pPr>
        <w:spacing w:after="0" w:line="171" w:lineRule="exact"/>
        <w:rPr>
          <w:sz w:val="20"/>
          <w:szCs w:val="20"/>
          <w:color w:val="auto"/>
        </w:rPr>
      </w:pPr>
    </w:p>
    <w:p>
      <w:pPr>
        <w:ind w:right="20" w:firstLine="503"/>
        <w:spacing w:after="0" w:line="250" w:lineRule="auto"/>
        <w:rPr>
          <w:sz w:val="20"/>
          <w:szCs w:val="20"/>
          <w:color w:val="auto"/>
        </w:rPr>
      </w:pPr>
      <w:r>
        <w:rPr>
          <w:rFonts w:ascii="Arial" w:cs="Arial" w:eastAsia="Arial" w:hAnsi="Arial"/>
          <w:sz w:val="16"/>
          <w:szCs w:val="16"/>
          <w:color w:val="auto"/>
        </w:rPr>
        <w:t xml:space="preserve">Since the 1990s, many companies have tried but failed to discover oral B2 antagonists, as the bradykinin B2 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IR and XR. As discussed under “—Risks Related to the Development and Clinical Testing of Our Product Candidates—We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 </w:t>
      </w:r>
      <w:r>
        <w:rPr>
          <w:rFonts w:ascii="Arial" w:cs="Arial" w:eastAsia="Arial" w:hAnsi="Arial"/>
          <w:sz w:val="16"/>
          <w:szCs w:val="16"/>
          <w:i w:val="1"/>
          <w:iCs w:val="1"/>
          <w:color w:val="auto"/>
        </w:rPr>
        <w:t>s</w:t>
      </w:r>
      <w:r>
        <w:rPr>
          <w:rFonts w:ascii="Arial" w:cs="Arial" w:eastAsia="Arial" w:hAnsi="Arial"/>
          <w:sz w:val="16"/>
          <w:szCs w:val="16"/>
          <w:color w:val="auto"/>
        </w:rPr>
        <w:t>,” we or our partners may experience any number of unfavorable outcomes during or as a result of nonclinical studies and clinical trials which could delay or prevent regulatory approval of our product candidates, or negatively impact our management’s credibility, our value and our operating results.</w:t>
      </w:r>
    </w:p>
    <w:p>
      <w:pPr>
        <w:spacing w:after="0" w:line="189"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We may invest substantial time and resources in preclinical and nonclinical studies, clinical trials, manufacturing and the preparation and submission of various regulatory applications without any assurance that we will obtain regulatory approval or recoup our investment. The FDA and other regulatory authorities exercise substantial discretion with respect to the development and approval of drug product candidates. The number, size and design of nonclinical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74" w:lineRule="exact"/>
        <w:rPr>
          <w:sz w:val="20"/>
          <w:szCs w:val="20"/>
          <w:color w:val="auto"/>
        </w:rPr>
      </w:pPr>
    </w:p>
    <w:p>
      <w:pPr>
        <w:ind w:left="900" w:hanging="428"/>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related issues or concerns;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product candidate’s safety or efficacy;</w:t>
      </w:r>
    </w:p>
    <w:p>
      <w:pPr>
        <w:spacing w:after="0" w:line="125" w:lineRule="exact"/>
        <w:rPr>
          <w:rFonts w:ascii="Times New Roman" w:cs="Times New Roman" w:eastAsia="Times New Roman" w:hAnsi="Times New Roman"/>
          <w:sz w:val="16"/>
          <w:szCs w:val="16"/>
          <w:color w:val="auto"/>
        </w:rPr>
      </w:pPr>
    </w:p>
    <w:p>
      <w:pPr>
        <w:ind w:left="900" w:right="480" w:hanging="428"/>
        <w:spacing w:after="0" w:line="285"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design, control or conduct of nonclinical studies and clinical trials including the use of placebo or active controls in blinded studies;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negative or ambiguous results of any nonclinical study or clinical trial;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sufficiency of clinical trial results;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of more advanced clinical results to confirm positive results from preclinical studies or earlier clinical trials;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the development or observation of unexpected safety issues, adverse events or adverse side effects.</w:t>
      </w:r>
    </w:p>
    <w:p>
      <w:pPr>
        <w:spacing w:after="0" w:line="234"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Should any of these or other factors affecting our development programs or product candidates occur, regulatory approval of our product candidates could be denied, delayed or have conditions placed upon it. Failure to obtain regulatory approval in a timely manner, in a limited manner or at all would have a material adverse effect on our business, financial condition, results of operations or prospects.</w:t>
      </w:r>
    </w:p>
    <w:p>
      <w:pPr>
        <w:spacing w:after="0" w:line="171"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Additionally, effective as of January 31, 2020, the United Kingdom withdrew from the European Union, a process referred to as “Brexit”. As a result of Brexit, commercializing our product candidates in the United Kingdom would require us to obtain separate marketing approvals from the Medicines and Healthcare products Regulatory Agency, or the MHRA, instead of single marketing approvals obtained from the European Commission which, in turn, are based on the positive opinion of the European Medicines Agency, or the EMA. With significant regulatory oversight shifted from the EMA to the MHRA, and the MHRA having limited capacities and resources, obtaining marketing approvals for our product candidates in the United Kingdom may take longer than it would take in the European Union.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any of our product candidates, which could significantly and materially harm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maintain orphan drug status.</w:t>
      </w:r>
    </w:p>
    <w:p>
      <w:pPr>
        <w:spacing w:after="0" w:line="219" w:lineRule="exact"/>
        <w:rPr>
          <w:sz w:val="20"/>
          <w:szCs w:val="20"/>
          <w:color w:val="auto"/>
        </w:rPr>
      </w:pPr>
    </w:p>
    <w:p>
      <w:pPr>
        <w:ind w:right="180" w:firstLine="458"/>
        <w:spacing w:after="0" w:line="254"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after a recommendation from the EMA’s Committee for Orphan Medicinal Products, the European Commission grants orphan drug designation to promote the development of products that are intended for the diagnosis, prevention or treatment of a life-threatening or chronically debilitating condition either affecting not more than five in 10,000 persons in the European Union or when, without incentives, it is unlikely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64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that marketing of the medicine would generate sufficient returns to justify the investment needed for its development.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373"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On March 18, 2022, the FDA granted orphan drug designation to PHA121 (deucrictibant), the active ingredient in our IR and XR product candidates for treatment of bradykinin-mediated angioedema. Even though we have obtained orphan drug exclusivity for deucrictibant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maintaining market exclusivity for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FDA determines that the request for designation was materially defective. If we fail to obtain or maintain orphan exclusivity for deucrictibant or any future products, or if the commercial value of market exclusivity is diminished, our competitive position or financial and commercial prospects could be materially adversely affected.</w:t>
      </w:r>
    </w:p>
    <w:p>
      <w:pPr>
        <w:spacing w:after="0" w:line="191" w:lineRule="exact"/>
        <w:rPr>
          <w:sz w:val="20"/>
          <w:szCs w:val="20"/>
          <w:color w:val="auto"/>
        </w:rPr>
      </w:pPr>
    </w:p>
    <w:p>
      <w:pPr>
        <w:jc w:val="both"/>
        <w:ind w:left="460" w:right="100"/>
        <w:spacing w:after="0" w:line="270" w:lineRule="auto"/>
        <w:rPr>
          <w:sz w:val="20"/>
          <w:szCs w:val="20"/>
          <w:color w:val="auto"/>
        </w:rPr>
      </w:pPr>
      <w:r>
        <w:rPr>
          <w:rFonts w:ascii="Arial" w:cs="Arial" w:eastAsia="Arial" w:hAnsi="Arial"/>
          <w:sz w:val="16"/>
          <w:szCs w:val="16"/>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160"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 and corresponding maintenance of records and documents. In addition, we would be subject to other requirements regarding the distribution of drug samples to physicians. We and our suppliers, Contract Development and Manufacturing Organization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85" w:lineRule="exact"/>
        <w:rPr>
          <w:sz w:val="20"/>
          <w:szCs w:val="20"/>
          <w:color w:val="auto"/>
        </w:rPr>
      </w:pPr>
    </w:p>
    <w:p>
      <w:pPr>
        <w:ind w:right="140" w:firstLine="458"/>
        <w:spacing w:after="0" w:line="251" w:lineRule="auto"/>
        <w:rPr>
          <w:sz w:val="20"/>
          <w:szCs w:val="20"/>
          <w:color w:val="auto"/>
        </w:rPr>
      </w:pPr>
      <w:r>
        <w:rPr>
          <w:rFonts w:ascii="Arial" w:cs="Arial" w:eastAsia="Arial" w:hAnsi="Arial"/>
          <w:sz w:val="16"/>
          <w:szCs w:val="16"/>
          <w:color w:val="auto"/>
        </w:rPr>
        <w:t>The FDA, or other regulatory authorities, may also impose significant limitations on the use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 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85" w:lineRule="exact"/>
        <w:rPr>
          <w:sz w:val="20"/>
          <w:szCs w:val="20"/>
          <w:color w:val="auto"/>
        </w:rPr>
      </w:pPr>
    </w:p>
    <w:p>
      <w:pPr>
        <w:ind w:right="160" w:firstLine="458"/>
        <w:spacing w:after="0" w:line="266" w:lineRule="auto"/>
        <w:rPr>
          <w:sz w:val="20"/>
          <w:szCs w:val="20"/>
          <w:color w:val="auto"/>
        </w:rPr>
      </w:pPr>
      <w:r>
        <w:rPr>
          <w:rFonts w:ascii="Arial" w:cs="Arial" w:eastAsia="Arial" w:hAnsi="Arial"/>
          <w:sz w:val="16"/>
          <w:szCs w:val="16"/>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71" w:lineRule="exact"/>
        <w:rPr>
          <w:sz w:val="20"/>
          <w:szCs w:val="20"/>
          <w:color w:val="auto"/>
        </w:rPr>
      </w:pPr>
    </w:p>
    <w:p>
      <w:pPr>
        <w:ind w:right="120" w:firstLine="458"/>
        <w:spacing w:after="0" w:line="250" w:lineRule="auto"/>
        <w:rPr>
          <w:sz w:val="20"/>
          <w:szCs w:val="20"/>
          <w:color w:val="auto"/>
        </w:rPr>
      </w:pPr>
      <w:r>
        <w:rPr>
          <w:rFonts w:ascii="Arial" w:cs="Arial" w:eastAsia="Arial" w:hAnsi="Arial"/>
          <w:sz w:val="16"/>
          <w:szCs w:val="16"/>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NDA, and financial penalties. If we are subject to any of these sanctions, our competitive position or financial and commercial prospects could be materially adversely affected.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65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141"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 commercialization testing or restrict or regulate post-approval activities and affect our ability, or the ability of our future collaborators, to profitably sell any product candidates for which we obtain marketing approval.</w:t>
      </w:r>
    </w:p>
    <w:p>
      <w:pPr>
        <w:spacing w:after="0" w:line="178"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Among policy makers and payors, there is significant interest in promoting changes in healthcare systems with the stated goals of containing healthcare costs, improving quality and/or expanding access. In the United States, there has been heightened governmental scrutiny recently over the manner in which drug manufacturers set prices for their marketed products. For instance, recently, President Biden signed into law the Inflation Reduction Act of 2022, or IRA, which included several measures intended to lower the cost of prescription drugs and limit out-of-pocket spending, including by requiring drug manufacturers to pay rebates to Medicare if they increase prices faster than inflation for drugs used by Medicare beneficiaries.</w:t>
      </w:r>
    </w:p>
    <w:p>
      <w:pPr>
        <w:spacing w:after="0" w:line="180" w:lineRule="exact"/>
        <w:rPr>
          <w:sz w:val="20"/>
          <w:szCs w:val="20"/>
          <w:color w:val="auto"/>
        </w:rPr>
      </w:pPr>
    </w:p>
    <w:p>
      <w:pPr>
        <w:ind w:right="40" w:firstLine="503"/>
        <w:spacing w:after="0" w:line="250" w:lineRule="auto"/>
        <w:rPr>
          <w:sz w:val="20"/>
          <w:szCs w:val="20"/>
          <w:color w:val="auto"/>
        </w:rPr>
      </w:pPr>
      <w:r>
        <w:rPr>
          <w:rFonts w:ascii="Arial" w:cs="Arial" w:eastAsia="Arial" w:hAnsi="Arial"/>
          <w:sz w:val="16"/>
          <w:szCs w:val="16"/>
          <w:color w:val="auto"/>
        </w:rPr>
        <w:t>Further,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 Since its enactment there have been judicial, Presidential and Congressional challenges to certain aspects of the ACA, and we expect there will be additional challenges and amendments to the ACA. In addition,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In the coming years,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84"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82"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We expect that market access constraints, pricing controls and discounting and other restrictions will become more acute as public and private payers continue to take aggressive steps to control their expenditures. These efforts and other healthcare reform measures that may be adopted in the future may result in more rigorous coverage criteria and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182"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Operations</w:t>
      </w:r>
    </w:p>
    <w:p>
      <w:pPr>
        <w:spacing w:after="0" w:line="221" w:lineRule="exact"/>
        <w:rPr>
          <w:sz w:val="20"/>
          <w:szCs w:val="20"/>
          <w:color w:val="auto"/>
        </w:rPr>
      </w:pPr>
    </w:p>
    <w:p>
      <w:pPr>
        <w:ind w:left="460" w:right="240"/>
        <w:spacing w:after="0" w:line="294"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prioritize development of certain programs and our decision to pursue these programs may prove to be unsuccessful as they may never receive regulatory approval or achieve profitability.</w:t>
      </w:r>
    </w:p>
    <w:p>
      <w:pPr>
        <w:spacing w:after="0" w:line="14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Because we have limited resources and access to capital to fund our operations, we must decide which product candidates to pursue and the amount of resources to allocate to each product candidate. As such, we are currently primarily focused on the development of IR and XR. These, and future decisions concerning the allocation of capabilities, infrastructure, management and financial resources towards particular programs or therapeutic areas may not lead to the development of viable commercial products and may divert resources from better opportunities. Similarly, these and future decisions to delay or terminate product development programs could cause us to miss valuable opportunities. If we make incorrect determinations regarding the market potential of our product candidates or misread trends in the pharmaceutical industry, our business, financial condition and results of operations could be materially adversely affected.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66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ind w:left="460" w:right="100"/>
        <w:spacing w:after="0" w:line="270" w:lineRule="auto"/>
        <w:rPr>
          <w:sz w:val="20"/>
          <w:szCs w:val="20"/>
          <w:color w:val="auto"/>
        </w:rPr>
      </w:pPr>
      <w:r>
        <w:rPr>
          <w:rFonts w:ascii="Arial" w:cs="Arial" w:eastAsia="Arial" w:hAnsi="Arial"/>
          <w:sz w:val="16"/>
          <w:szCs w:val="16"/>
          <w:b w:val="1"/>
          <w:bCs w:val="1"/>
          <w:i w:val="1"/>
          <w:iCs w:val="1"/>
          <w:color w:val="auto"/>
        </w:rPr>
        <w:t>If we cannot manufacture our product candidates in sufficient amounts, with CDMOs or ourselves, at acceptable costs and on a timely basis, we may be unable to supply sufficient product candidates for nonclinical studies or clinical trials or to support commercialization of our product candidates, if approved.</w:t>
      </w:r>
    </w:p>
    <w:p>
      <w:pPr>
        <w:spacing w:after="0" w:line="160"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80"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In addition, we currently rely on a small number of CDMOs for the production of certain of our product candidates and, as a result, face certain additional risks relating to our manufacturing operations. A single significant disruptive event at the manufacturing operations of one of our CDMOs can have a material adverse effect on our business, prospects, financial condition and results of operations. In addition, one of our CDMOs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CDMOs are unable to meet our demand for our product candidates or their services, we could experience delays in our research and development activities, planned clinical trials or commercialization of approved products.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89"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the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37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expect that development of our own manufacturing facilities could provide us with enhanced control of material supply for our product candidates for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82" w:lineRule="exact"/>
        <w:rPr>
          <w:sz w:val="20"/>
          <w:szCs w:val="20"/>
          <w:color w:val="auto"/>
        </w:rPr>
      </w:pPr>
    </w:p>
    <w:p>
      <w:pPr>
        <w:ind w:right="280" w:firstLine="458"/>
        <w:spacing w:after="0" w:line="266" w:lineRule="auto"/>
        <w:rPr>
          <w:sz w:val="20"/>
          <w:szCs w:val="20"/>
          <w:color w:val="auto"/>
        </w:rPr>
      </w:pPr>
      <w:r>
        <w:rPr>
          <w:rFonts w:ascii="Arial" w:cs="Arial" w:eastAsia="Arial" w:hAnsi="Arial"/>
          <w:sz w:val="16"/>
          <w:szCs w:val="16"/>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 of our products.</w:t>
      </w:r>
    </w:p>
    <w:p>
      <w:pPr>
        <w:spacing w:after="0" w:line="219"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 increases in our operating expenses, or failure to obtain or maintain approval for our products. Our reliance on third-party manufacturers entails risks, including the following:</w:t>
      </w:r>
    </w:p>
    <w:p>
      <w:pPr>
        <w:spacing w:after="0" w:line="178" w:lineRule="exact"/>
        <w:rPr>
          <w:sz w:val="20"/>
          <w:szCs w:val="20"/>
          <w:color w:val="auto"/>
        </w:rPr>
      </w:pPr>
    </w:p>
    <w:p>
      <w:pPr>
        <w:ind w:left="900" w:hanging="428"/>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meet our product specifications, including product formulation, and quality requirements consistently;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a delay or inability to procure or expand sufficient manufacturing capacity;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and product quality issues, including those related to scale-up of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a failure to comply with cGMP and similar quality standards;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67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900" w:right="160" w:hanging="428"/>
        <w:spacing w:after="0" w:line="285"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of our third-party manufacturers or suppliers could be disrupted by conditions unrelated to our business or operations, including the bankruptcy of the manufacturer or supplier;</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carrier disruptions or increased costs that are beyond our control;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to deliver our products under specified storage conditions and in a timely manner;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the imposition of tariffs on our products in the future.</w:t>
      </w:r>
    </w:p>
    <w:p>
      <w:pPr>
        <w:spacing w:after="0" w:line="200" w:lineRule="exact"/>
        <w:rPr>
          <w:sz w:val="20"/>
          <w:szCs w:val="20"/>
          <w:color w:val="auto"/>
        </w:rPr>
      </w:pPr>
    </w:p>
    <w:p>
      <w:pPr>
        <w:spacing w:after="0" w:line="250"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173"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Our third-party manufacturers or suppliers may use potent chemical agents and hazardous materials, and any claims relating to improper handling, storage or disposal of these materials could be time-consuming or costly.</w:t>
      </w:r>
    </w:p>
    <w:p>
      <w:pPr>
        <w:spacing w:after="0" w:line="141"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18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0" w:lineRule="exact"/>
        <w:rPr>
          <w:sz w:val="20"/>
          <w:szCs w:val="20"/>
          <w:color w:val="auto"/>
        </w:rPr>
      </w:pPr>
    </w:p>
    <w:p>
      <w:pPr>
        <w:ind w:left="460" w:right="80"/>
        <w:spacing w:after="0" w:line="258" w:lineRule="auto"/>
        <w:rPr>
          <w:sz w:val="20"/>
          <w:szCs w:val="20"/>
          <w:color w:val="auto"/>
        </w:rPr>
      </w:pPr>
      <w:r>
        <w:rPr>
          <w:rFonts w:ascii="Arial" w:cs="Arial" w:eastAsia="Arial" w:hAnsi="Arial"/>
          <w:sz w:val="16"/>
          <w:szCs w:val="16"/>
          <w:b w:val="1"/>
          <w:bCs w:val="1"/>
          <w:i w:val="1"/>
          <w:iCs w:val="1"/>
          <w:color w:val="auto"/>
        </w:rPr>
        <w:t>Our activities rely heavily on sensitive and personal materials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170"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As a result of our clinical development, we will have access to very sensitive data regarding the patients enrolled in our clinical trials, and our current and future product candidates will rely on the use of patient and 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U.S.Health Insurance Portability and Accountability Act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and could harm our ability to initiate and complete clinical trials.</w:t>
      </w:r>
    </w:p>
    <w:p>
      <w:pPr>
        <w:spacing w:after="0" w:line="185" w:lineRule="exact"/>
        <w:rPr>
          <w:sz w:val="20"/>
          <w:szCs w:val="20"/>
          <w:color w:val="auto"/>
        </w:rPr>
      </w:pPr>
    </w:p>
    <w:p>
      <w:pPr>
        <w:ind w:right="140" w:firstLine="458"/>
        <w:spacing w:after="0" w:line="250" w:lineRule="auto"/>
        <w:rPr>
          <w:sz w:val="20"/>
          <w:szCs w:val="20"/>
          <w:color w:val="auto"/>
        </w:rPr>
      </w:pPr>
      <w:r>
        <w:rPr>
          <w:rFonts w:ascii="Arial" w:cs="Arial" w:eastAsia="Arial" w:hAnsi="Arial"/>
          <w:sz w:val="16"/>
          <w:szCs w:val="16"/>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adhering to the principles of ‘privacy by design and by default’ when developing new products or services; (iii) complying with data minimization obligations;</w:t>
      </w:r>
    </w:p>
    <w:p>
      <w:pPr>
        <w:spacing w:after="0" w:line="3" w:lineRule="exact"/>
        <w:rPr>
          <w:sz w:val="20"/>
          <w:szCs w:val="20"/>
          <w:color w:val="auto"/>
        </w:rPr>
      </w:pPr>
    </w:p>
    <w:p>
      <w:pPr>
        <w:ind w:firstLine="8"/>
        <w:spacing w:after="0" w:line="249" w:lineRule="auto"/>
        <w:tabs>
          <w:tab w:leader="none" w:pos="27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obligations in relation to the rights of data subjects; (v) ensuring that all processors that process personal data on our behalf have adequate protections in place; and (vi)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 After assessing the severity and frequency of the EEA personal data processing activities we engage in, we appointed an external data protection officer that has expert knowledge of data protection law and practices and assists us with monitoring internal compliance with the GDPR.</w:t>
      </w:r>
    </w:p>
    <w:p>
      <w:pPr>
        <w:spacing w:after="0" w:line="185"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We have relatively limited experience with the relevant privacy and security policies, practices and regulations, and cannot assure that our policies and practices will be sufficient to protect us from liability or adverse publicity relating to the privacy and security of personal</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68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data. Privacy laws, rules and regulations also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83"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Complying with these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80"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or EU,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Our internal computer systems, or those used by our clinical investigators, contractors or consultants, may fail or suffer security breaches.</w:t>
      </w:r>
    </w:p>
    <w:p>
      <w:pPr>
        <w:spacing w:after="0" w:line="184" w:lineRule="exact"/>
        <w:rPr>
          <w:sz w:val="20"/>
          <w:szCs w:val="20"/>
          <w:color w:val="auto"/>
        </w:rPr>
      </w:pPr>
    </w:p>
    <w:p>
      <w:pPr>
        <w:ind w:left="460" w:right="520"/>
        <w:spacing w:after="0" w:line="294" w:lineRule="auto"/>
        <w:rPr>
          <w:sz w:val="20"/>
          <w:szCs w:val="20"/>
          <w:color w:val="auto"/>
        </w:rPr>
      </w:pPr>
      <w:r>
        <w:rPr>
          <w:rFonts w:ascii="Arial" w:cs="Arial" w:eastAsia="Arial" w:hAnsi="Arial"/>
          <w:sz w:val="16"/>
          <w:szCs w:val="16"/>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14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We are a party to certain agreements, including clinical trial agreements and licensing agreements which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the Commercialization of Our Product Candidates</w:t>
      </w:r>
    </w:p>
    <w:p>
      <w:pPr>
        <w:spacing w:after="0" w:line="221" w:lineRule="exact"/>
        <w:rPr>
          <w:sz w:val="20"/>
          <w:szCs w:val="20"/>
          <w:color w:val="auto"/>
        </w:rPr>
      </w:pPr>
    </w:p>
    <w:p>
      <w:pPr>
        <w:ind w:left="460" w:right="320"/>
        <w:spacing w:after="0" w:line="270" w:lineRule="auto"/>
        <w:rPr>
          <w:sz w:val="20"/>
          <w:szCs w:val="20"/>
          <w:color w:val="auto"/>
        </w:rPr>
      </w:pPr>
      <w:r>
        <w:rPr>
          <w:rFonts w:ascii="Arial" w:cs="Arial" w:eastAsia="Arial" w:hAnsi="Arial"/>
          <w:sz w:val="16"/>
          <w:szCs w:val="16"/>
          <w:b w:val="1"/>
          <w:bCs w:val="1"/>
          <w:i w:val="1"/>
          <w:iCs w:val="1"/>
          <w:color w:val="auto"/>
        </w:rPr>
        <w:t>If we are unable to commercialize our product candidates IR and XR or any other product candidates that we may pursue, or experience significant delays in doing so, our business, financial condition, results of operations and prospects would be materially adversely affected.</w:t>
      </w:r>
    </w:p>
    <w:p>
      <w:pPr>
        <w:spacing w:after="0" w:line="160" w:lineRule="exact"/>
        <w:rPr>
          <w:sz w:val="20"/>
          <w:szCs w:val="20"/>
          <w:color w:val="auto"/>
        </w:rPr>
      </w:pPr>
    </w:p>
    <w:p>
      <w:pPr>
        <w:ind w:right="300" w:firstLine="458"/>
        <w:spacing w:after="0" w:line="266" w:lineRule="auto"/>
        <w:rPr>
          <w:sz w:val="20"/>
          <w:szCs w:val="20"/>
          <w:color w:val="auto"/>
        </w:rPr>
      </w:pPr>
      <w:r>
        <w:rPr>
          <w:rFonts w:ascii="Arial" w:cs="Arial" w:eastAsia="Arial" w:hAnsi="Arial"/>
          <w:sz w:val="16"/>
          <w:szCs w:val="16"/>
          <w:color w:val="auto"/>
        </w:rPr>
        <w:t>We do not expect to generate product revenues in the foreseeable future. If our product candidates IR and XR or any other program that we may pursue fails, we will have to develop, acquire, or license new programs. Our product candidates, as well as any other programs we may pursue, could be unsuccessful if they:</w:t>
      </w:r>
    </w:p>
    <w:p>
      <w:pPr>
        <w:spacing w:after="0" w:line="63" w:lineRule="exact"/>
        <w:rPr>
          <w:sz w:val="20"/>
          <w:szCs w:val="20"/>
          <w:color w:val="auto"/>
        </w:rPr>
      </w:pPr>
    </w:p>
    <w:p>
      <w:pPr>
        <w:ind w:left="900" w:right="80" w:hanging="428"/>
        <w:spacing w:after="0" w:line="285" w:lineRule="auto"/>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do not demonstrate acceptable safety or efficacy in nonclinical studies or clinical trials or otherwise do not meet applicable regulatory standards for approval;</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generate unacceptable adverse side effects;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do not offer therapeutic or other improvements over existing or future products used to treat the same conditions;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are not accepted in the medical community or by insurers, either public or private;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are not capable of being produced and delivered to patients in commercial quantities at acceptable costs.</w:t>
      </w:r>
    </w:p>
    <w:p>
      <w:pPr>
        <w:spacing w:after="0" w:line="234"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The results of the research and trials to date cannot provide assurance that acceptable efficacy or safety will be shown upon completion of ongoing or planned clinical trials.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opportunities for our product candidates may be smaller than currently anticipated, lowering our potential revenue.</w:t>
      </w:r>
    </w:p>
    <w:p>
      <w:pPr>
        <w:spacing w:after="0" w:line="219"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69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w:t>
      </w:r>
    </w:p>
    <w:p>
      <w:pPr>
        <w:spacing w:after="0" w:line="17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Moreover, if we are successful in developing both IR and XR, we cannot accurately predict the proportion of patients choosing prophylactic or on-demand only treatment regimens.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our product candidates could be associated with side effects or adverse events.</w:t>
      </w:r>
    </w:p>
    <w:p>
      <w:pPr>
        <w:spacing w:after="0" w:line="219"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nonclinical studies or clinical trials regarding the safety of our product candidates, which we have not planned or anticipated. For instance, we were required to conduct a 26-week rodent toxicology study to resolve the clinical holds placed by the FDA on clinical trials of deucrictibant in the U.S.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374"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of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184"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14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72" w:lineRule="exact"/>
        <w:rPr>
          <w:sz w:val="20"/>
          <w:szCs w:val="20"/>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demonstration of clinical efficacy and safety compared to other more established products;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limitation of our targeted patient population and other limitations or warnings contained in any approved labeling;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acceptance of a new drug for the relevant indication by healthcare providers and their patients;</w:t>
      </w:r>
    </w:p>
    <w:p>
      <w:pPr>
        <w:spacing w:after="0" w:line="125" w:lineRule="exact"/>
        <w:rPr>
          <w:rFonts w:ascii="Times New Roman" w:cs="Times New Roman" w:eastAsia="Times New Roman" w:hAnsi="Times New Roman"/>
          <w:sz w:val="16"/>
          <w:szCs w:val="16"/>
          <w:color w:val="auto"/>
        </w:rPr>
      </w:pPr>
    </w:p>
    <w:p>
      <w:pPr>
        <w:ind w:left="900" w:right="360" w:hanging="428"/>
        <w:spacing w:after="0" w:line="285"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pricing and cost-effectiveness of our products, as well as the cost of treatment with our products in relation to alternative treatments and therapies;</w:t>
      </w:r>
    </w:p>
    <w:p>
      <w:pPr>
        <w:spacing w:after="0" w:line="48" w:lineRule="exact"/>
        <w:rPr>
          <w:rFonts w:ascii="Times New Roman" w:cs="Times New Roman" w:eastAsia="Times New Roman" w:hAnsi="Times New Roman"/>
          <w:sz w:val="16"/>
          <w:szCs w:val="16"/>
          <w:color w:val="auto"/>
        </w:rPr>
      </w:pPr>
    </w:p>
    <w:p>
      <w:pPr>
        <w:ind w:left="900" w:right="300" w:hanging="428"/>
        <w:spacing w:after="0" w:line="285"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and maintain sufficient third-party coverage and adequate reimbursement from government healthcare programs, private health insurers and other third-party payors;</w:t>
      </w:r>
    </w:p>
    <w:p>
      <w:pPr>
        <w:spacing w:after="0" w:line="48" w:lineRule="exact"/>
        <w:rPr>
          <w:rFonts w:ascii="Times New Roman" w:cs="Times New Roman" w:eastAsia="Times New Roman" w:hAnsi="Times New Roman"/>
          <w:sz w:val="16"/>
          <w:szCs w:val="16"/>
          <w:color w:val="auto"/>
        </w:rPr>
      </w:pPr>
    </w:p>
    <w:p>
      <w:pPr>
        <w:ind w:left="900" w:right="420" w:hanging="428"/>
        <w:spacing w:after="0" w:line="285"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patients to pay all, or a portion of, out-of-pocket costs associated with our products in the absence of sufficient third-party coverage and adequate reimbursement;</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any restrictions on the use of our products, and the prevalence and severity of any adverse effects;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of market introduction of our products as well as competitive drugs;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effectiveness of our or any of our potential future collaborators’ sales and commercialization strategies;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unfavorable publicity relating to the product.</w:t>
      </w:r>
    </w:p>
    <w:p>
      <w:pPr>
        <w:spacing w:after="0" w:line="234"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70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ind w:left="460" w:right="400"/>
        <w:spacing w:after="0" w:line="294"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competing products before or more successfully than we do.</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"2.2 Overview - Competition,” there are several licensed therapies for HAE and we are aware of a number of HAE therapies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2"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81" w:lineRule="exact"/>
        <w:rPr>
          <w:sz w:val="20"/>
          <w:szCs w:val="20"/>
          <w:color w:val="auto"/>
        </w:rPr>
      </w:pPr>
    </w:p>
    <w:p>
      <w:pPr>
        <w:ind w:right="100" w:firstLine="458"/>
        <w:spacing w:after="0" w:line="253" w:lineRule="auto"/>
        <w:rPr>
          <w:sz w:val="20"/>
          <w:szCs w:val="20"/>
          <w:color w:val="auto"/>
        </w:rPr>
      </w:pPr>
      <w:r>
        <w:rPr>
          <w:rFonts w:ascii="Arial" w:cs="Arial" w:eastAsia="Arial" w:hAnsi="Arial"/>
          <w:sz w:val="16"/>
          <w:szCs w:val="16"/>
          <w:color w:val="auto"/>
        </w:rPr>
        <w:t>Many of the companies against which we are competing, or we may compete in the future have significantly greater financial resources and expertise in research and development, manufacturing, nonclinical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mid-stage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219"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IR and XR, could adversely affect our business, financial condition, results of operations or prospects.</w:t>
      </w:r>
    </w:p>
    <w:p>
      <w:pPr>
        <w:spacing w:after="0" w:line="185" w:lineRule="exact"/>
        <w:rPr>
          <w:sz w:val="20"/>
          <w:szCs w:val="20"/>
          <w:color w:val="auto"/>
        </w:rPr>
      </w:pPr>
    </w:p>
    <w:p>
      <w:pPr>
        <w:ind w:left="460" w:right="600"/>
        <w:spacing w:after="0" w:line="294" w:lineRule="auto"/>
        <w:rPr>
          <w:sz w:val="20"/>
          <w:szCs w:val="20"/>
          <w:color w:val="auto"/>
        </w:rPr>
      </w:pPr>
      <w:r>
        <w:rPr>
          <w:rFonts w:ascii="Arial" w:cs="Arial" w:eastAsia="Arial" w:hAnsi="Arial"/>
          <w:sz w:val="16"/>
          <w:szCs w:val="16"/>
          <w:b w:val="1"/>
          <w:bCs w:val="1"/>
          <w:i w:val="1"/>
          <w:iCs w:val="1"/>
          <w:color w:val="auto"/>
        </w:rPr>
        <w:t>Governments and/or pricing authorities, especially in the European Union, often impose strict price and access controls, which may adversely affect our future profitability.</w:t>
      </w:r>
    </w:p>
    <w:p>
      <w:pPr>
        <w:spacing w:after="0" w:line="141"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In some markets, especially in the European Union, prescription drug pricing is subject to governmental/ 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78"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our results of operations and our ability to raise funds.</w:t>
      </w:r>
    </w:p>
    <w:p>
      <w:pPr>
        <w:spacing w:after="0" w:line="173" w:lineRule="exact"/>
        <w:rPr>
          <w:sz w:val="20"/>
          <w:szCs w:val="20"/>
          <w:color w:val="auto"/>
        </w:rPr>
      </w:pPr>
    </w:p>
    <w:p>
      <w:pPr>
        <w:jc w:val="both"/>
        <w:ind w:left="460" w:right="580"/>
        <w:spacing w:after="0" w:line="270"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60"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71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CMS. CMS decides whether and to what extent a new medicine will be covered and reimbursed under 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80" w:lineRule="exact"/>
        <w:rPr>
          <w:sz w:val="20"/>
          <w:szCs w:val="20"/>
          <w:color w:val="auto"/>
        </w:rPr>
      </w:pPr>
    </w:p>
    <w:p>
      <w:pPr>
        <w:ind w:right="200" w:firstLine="458"/>
        <w:spacing w:after="0" w:line="252"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3"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7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56" w:lineRule="exact"/>
        <w:rPr>
          <w:sz w:val="20"/>
          <w:szCs w:val="20"/>
          <w:color w:val="auto"/>
        </w:rPr>
      </w:pPr>
    </w:p>
    <w:p>
      <w:pPr>
        <w:jc w:val="both"/>
        <w:ind w:right="400" w:firstLine="458"/>
        <w:spacing w:after="0" w:line="266" w:lineRule="auto"/>
        <w:rPr>
          <w:sz w:val="20"/>
          <w:szCs w:val="20"/>
          <w:color w:val="auto"/>
        </w:rPr>
      </w:pPr>
      <w:r>
        <w:rPr>
          <w:rFonts w:ascii="Arial" w:cs="Arial" w:eastAsia="Arial" w:hAnsi="Arial"/>
          <w:sz w:val="16"/>
          <w:szCs w:val="16"/>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173" w:lineRule="exact"/>
        <w:rPr>
          <w:sz w:val="20"/>
          <w:szCs w:val="20"/>
          <w:color w:val="auto"/>
        </w:rPr>
      </w:pPr>
    </w:p>
    <w:p>
      <w:pPr>
        <w:ind w:left="460" w:right="840"/>
        <w:spacing w:after="0" w:line="294"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3"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75" w:lineRule="exact"/>
        <w:rPr>
          <w:sz w:val="20"/>
          <w:szCs w:val="20"/>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delay or termination of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injury to our reputation and negative publicity;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of clinical trial participants, patients or clinical investigators;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of investigations by regulators or ethics committees;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costs to defend the related litigation;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a diversion of management’s time and our resources;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substantial monetary awards to trial participants or patients;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decreased demand for our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product recalls or withdrawals, or labeling, marketing or promotional restrictions;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loss of revenues from product sales;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commercialize any of our product candidates, if approved;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a decline in the price of our ordinary shares.</w:t>
      </w:r>
    </w:p>
    <w:p>
      <w:pPr>
        <w:spacing w:after="0" w:line="234"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ind w:right="520" w:firstLine="458"/>
        <w:spacing w:after="0" w:line="286" w:lineRule="auto"/>
        <w:rPr>
          <w:sz w:val="20"/>
          <w:szCs w:val="20"/>
          <w:color w:val="auto"/>
        </w:rPr>
      </w:pPr>
      <w:r>
        <w:rPr>
          <w:rFonts w:ascii="Arial" w:cs="Arial" w:eastAsia="Arial" w:hAnsi="Arial"/>
          <w:sz w:val="16"/>
          <w:szCs w:val="16"/>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72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58" w:lineRule="exact"/>
        <w:rPr>
          <w:sz w:val="20"/>
          <w:szCs w:val="20"/>
          <w:color w:val="auto"/>
        </w:rPr>
      </w:pPr>
    </w:p>
    <w:p>
      <w:pPr>
        <w:ind w:left="460" w:right="240"/>
        <w:spacing w:after="0" w:line="294" w:lineRule="auto"/>
        <w:rPr>
          <w:sz w:val="20"/>
          <w:szCs w:val="20"/>
          <w:color w:val="auto"/>
        </w:rPr>
      </w:pPr>
      <w:r>
        <w:rPr>
          <w:rFonts w:ascii="Arial" w:cs="Arial" w:eastAsia="Arial" w:hAnsi="Arial"/>
          <w:sz w:val="16"/>
          <w:szCs w:val="16"/>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14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Reliance on Third Parties and Key Personnel</w:t>
      </w:r>
    </w:p>
    <w:p>
      <w:pPr>
        <w:spacing w:after="0" w:line="221" w:lineRule="exact"/>
        <w:rPr>
          <w:sz w:val="20"/>
          <w:szCs w:val="20"/>
          <w:color w:val="auto"/>
        </w:rPr>
      </w:pPr>
    </w:p>
    <w:p>
      <w:pPr>
        <w:ind w:left="460" w:right="160"/>
        <w:spacing w:after="0" w:line="270" w:lineRule="auto"/>
        <w:rPr>
          <w:sz w:val="20"/>
          <w:szCs w:val="20"/>
          <w:color w:val="auto"/>
        </w:rPr>
      </w:pPr>
      <w:r>
        <w:rPr>
          <w:rFonts w:ascii="Arial" w:cs="Arial" w:eastAsia="Arial" w:hAnsi="Arial"/>
          <w:sz w:val="16"/>
          <w:szCs w:val="16"/>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160"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We rely on CROs, independent clinical investigators, clinical data management organizations, consultants and other third-party firms to design, conduct, supervise and monitor clinical trials. We and these third parties are 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nonclinical studies and clinical trials, which would delay the regulatory approval process.</w:t>
      </w:r>
    </w:p>
    <w:p>
      <w:pPr>
        <w:spacing w:after="0" w:line="184"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Third-party staff are not our employees and, except for remedies available to us under our agreements with such third parties, we cannot control whether or not they devote sufficient time and resources to our ongoing clinical and nonclinical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8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83"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nonclinical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73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ind w:left="460" w:right="440"/>
        <w:spacing w:after="0" w:line="294" w:lineRule="auto"/>
        <w:rPr>
          <w:sz w:val="20"/>
          <w:szCs w:val="20"/>
          <w:color w:val="auto"/>
        </w:rPr>
      </w:pPr>
      <w:r>
        <w:rPr>
          <w:rFonts w:ascii="Arial" w:cs="Arial" w:eastAsia="Arial" w:hAnsi="Arial"/>
          <w:sz w:val="16"/>
          <w:szCs w:val="16"/>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4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 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186" w:lineRule="exact"/>
        <w:rPr>
          <w:sz w:val="20"/>
          <w:szCs w:val="20"/>
          <w:color w:val="auto"/>
        </w:rPr>
      </w:pPr>
    </w:p>
    <w:p>
      <w:pPr>
        <w:ind w:left="460" w:right="520"/>
        <w:spacing w:after="0" w:line="270" w:lineRule="auto"/>
        <w:rPr>
          <w:sz w:val="20"/>
          <w:szCs w:val="20"/>
          <w:color w:val="auto"/>
        </w:rPr>
      </w:pPr>
      <w:r>
        <w:rPr>
          <w:rFonts w:ascii="Arial" w:cs="Arial" w:eastAsia="Arial" w:hAnsi="Arial"/>
          <w:sz w:val="16"/>
          <w:szCs w:val="16"/>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160"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reliance on third parties may pose the following risks to us:</w:t>
      </w:r>
    </w:p>
    <w:p>
      <w:pPr>
        <w:spacing w:after="0" w:line="113" w:lineRule="exact"/>
        <w:rPr>
          <w:sz w:val="20"/>
          <w:szCs w:val="20"/>
          <w:color w:val="auto"/>
        </w:rPr>
      </w:pPr>
    </w:p>
    <w:p>
      <w:pPr>
        <w:ind w:left="900" w:right="260" w:hanging="428"/>
        <w:spacing w:after="0" w:line="285" w:lineRule="auto"/>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have significant discretion in determining the efforts and resources that they will apply to our development programs and product candidates;</w:t>
      </w:r>
    </w:p>
    <w:p>
      <w:pPr>
        <w:spacing w:after="0" w:line="48" w:lineRule="exact"/>
        <w:rPr>
          <w:rFonts w:ascii="Times New Roman" w:cs="Times New Roman" w:eastAsia="Times New Roman" w:hAnsi="Times New Roman"/>
          <w:sz w:val="16"/>
          <w:szCs w:val="16"/>
          <w:color w:val="auto"/>
        </w:rPr>
      </w:pPr>
    </w:p>
    <w:p>
      <w:pPr>
        <w:ind w:left="900" w:right="40" w:hanging="428"/>
        <w:spacing w:after="0" w:line="285" w:lineRule="auto"/>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could independently develop, supply, manufacture, commercialize or collaborate with additional third parties, products that compete directly or indirectly with our product candidates;</w:t>
      </w:r>
    </w:p>
    <w:p>
      <w:pPr>
        <w:spacing w:after="0" w:line="48" w:lineRule="exact"/>
        <w:rPr>
          <w:rFonts w:ascii="Times New Roman" w:cs="Times New Roman" w:eastAsia="Times New Roman" w:hAnsi="Times New Roman"/>
          <w:sz w:val="16"/>
          <w:szCs w:val="16"/>
          <w:color w:val="auto"/>
        </w:rPr>
      </w:pPr>
    </w:p>
    <w:p>
      <w:pPr>
        <w:ind w:left="900" w:right="160" w:hanging="428"/>
        <w:spacing w:after="0" w:line="266" w:lineRule="auto"/>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2" w:lineRule="exact"/>
        <w:rPr>
          <w:rFonts w:ascii="Times New Roman" w:cs="Times New Roman" w:eastAsia="Times New Roman" w:hAnsi="Times New Roman"/>
          <w:sz w:val="16"/>
          <w:szCs w:val="16"/>
          <w:color w:val="auto"/>
        </w:rPr>
      </w:pPr>
    </w:p>
    <w:p>
      <w:pPr>
        <w:ind w:left="900" w:right="520" w:hanging="428"/>
        <w:spacing w:after="0" w:line="285" w:lineRule="auto"/>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with respect to ownership of any intellectual property developed pursuant to our collaborations and activities with third parties;</w:t>
      </w:r>
    </w:p>
    <w:p>
      <w:pPr>
        <w:spacing w:after="0" w:line="48" w:lineRule="exact"/>
        <w:rPr>
          <w:rFonts w:ascii="Times New Roman" w:cs="Times New Roman" w:eastAsia="Times New Roman" w:hAnsi="Times New Roman"/>
          <w:sz w:val="16"/>
          <w:szCs w:val="16"/>
          <w:color w:val="auto"/>
        </w:rPr>
      </w:pPr>
    </w:p>
    <w:p>
      <w:pPr>
        <w:jc w:val="both"/>
        <w:ind w:left="900" w:right="260" w:hanging="428"/>
        <w:spacing w:after="0" w:line="266" w:lineRule="auto"/>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our third-party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62" w:lineRule="exact"/>
        <w:rPr>
          <w:rFonts w:ascii="Times New Roman" w:cs="Times New Roman" w:eastAsia="Times New Roman" w:hAnsi="Times New Roman"/>
          <w:sz w:val="16"/>
          <w:szCs w:val="16"/>
          <w:color w:val="auto"/>
        </w:rPr>
      </w:pPr>
    </w:p>
    <w:p>
      <w:pPr>
        <w:ind w:left="900" w:right="80" w:hanging="428"/>
        <w:spacing w:after="0" w:line="285" w:lineRule="auto"/>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156" w:lineRule="exact"/>
        <w:rPr>
          <w:sz w:val="20"/>
          <w:szCs w:val="20"/>
          <w:color w:val="auto"/>
        </w:rPr>
      </w:pPr>
    </w:p>
    <w:p>
      <w:pPr>
        <w:ind w:right="220" w:firstLine="458"/>
        <w:spacing w:after="0" w:line="286" w:lineRule="auto"/>
        <w:rPr>
          <w:sz w:val="20"/>
          <w:szCs w:val="20"/>
          <w:color w:val="auto"/>
        </w:rPr>
      </w:pPr>
      <w:r>
        <w:rPr>
          <w:rFonts w:ascii="Arial" w:cs="Arial" w:eastAsia="Arial" w:hAnsi="Arial"/>
          <w:sz w:val="16"/>
          <w:szCs w:val="16"/>
          <w:color w:val="auto"/>
        </w:rPr>
        <w:t>As a result, if any third parties upon which we are dependent fail or are unable to perform, our development programs and candidate products could be materially adversely affected.</w:t>
      </w:r>
    </w:p>
    <w:p>
      <w:pPr>
        <w:spacing w:after="0" w:line="158"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b w:val="1"/>
          <w:bCs w:val="1"/>
          <w:i w:val="1"/>
          <w:iCs w:val="1"/>
          <w:color w:val="auto"/>
        </w:rPr>
        <w:t>We may be unable to enter into or maintain strategic alliances or collaborations which could affect our ability to commercialize our product candidates, if approved.</w:t>
      </w:r>
    </w:p>
    <w:p>
      <w:pPr>
        <w:spacing w:after="0" w:line="14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74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Intellectual Property</w:t>
      </w:r>
    </w:p>
    <w:p>
      <w:pPr>
        <w:spacing w:after="0" w:line="221" w:lineRule="exact"/>
        <w:rPr>
          <w:sz w:val="20"/>
          <w:szCs w:val="20"/>
          <w:color w:val="auto"/>
        </w:rPr>
      </w:pPr>
    </w:p>
    <w:p>
      <w:pPr>
        <w:jc w:val="both"/>
        <w:ind w:left="460" w:right="40"/>
        <w:spacing w:after="0" w:line="270" w:lineRule="auto"/>
        <w:rPr>
          <w:sz w:val="20"/>
          <w:szCs w:val="20"/>
          <w:color w:val="auto"/>
        </w:rPr>
      </w:pPr>
      <w:r>
        <w:rPr>
          <w:rFonts w:ascii="Arial" w:cs="Arial" w:eastAsia="Arial" w:hAnsi="Arial"/>
          <w:sz w:val="16"/>
          <w:szCs w:val="16"/>
          <w:b w:val="1"/>
          <w:bCs w:val="1"/>
          <w:i w:val="1"/>
          <w:iCs w:val="1"/>
          <w:color w:val="auto"/>
        </w:rPr>
        <w:t>If we fail to make required payments pursuant to the agreements with BRAIN pursuant to which we acquired certain of our core intellectual property or are otherwise in material breach of such agreements (and fail to cure such breaches within a specified time period), BRAIN may exercise remedies pursuant to such agreements that would materially and adversely affect our business and results of operations.</w:t>
      </w:r>
    </w:p>
    <w:p>
      <w:pPr>
        <w:spacing w:after="0" w:line="160"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Certain intellectual property that is core to our business has been invented by BRAIN and contractually assigned to us by BRAIN, with whom we continue to collaborate for the development of our product candidates. Under the BRAIN agreements, we owe milestone payments contingent on our achievement of certain clinical development and regulatory events, as well as royalties and milestone payments based on sales of such product candidates. If we fail to make such payments or are otherwise in material breach of certain agreements that we entered into with BRAIN (and fail to cure such breaches within a specified time period), and BRAIN exercises contractual remedies available to it under such agreements, then we may be required to grant BRAIN an exclusive license to the intellectual property that it assigned to us for use in all applications, including HAE. In addition, we could be prevented from competing with BRAIN until five years after the commercial launch of any product candidates containing a compound from the OB2RA Class. If we failed to make such payments and BRAIN were to exercise such remedies, we would not be able to continue our current development program or commercialize our product candidates and our business and results of operations would be materially and adversely affected. For a description of our arrangement with BRAIN, please see “2.2 Overview - License Agreement.”</w:t>
      </w:r>
    </w:p>
    <w:p>
      <w:pPr>
        <w:spacing w:after="0" w:line="191" w:lineRule="exact"/>
        <w:rPr>
          <w:sz w:val="20"/>
          <w:szCs w:val="20"/>
          <w:color w:val="auto"/>
        </w:rPr>
      </w:pPr>
    </w:p>
    <w:p>
      <w:pPr>
        <w:ind w:left="460" w:right="220"/>
        <w:spacing w:after="0" w:line="262" w:lineRule="auto"/>
        <w:rPr>
          <w:sz w:val="20"/>
          <w:szCs w:val="20"/>
          <w:color w:val="auto"/>
        </w:rPr>
      </w:pPr>
      <w:r>
        <w:rPr>
          <w:rFonts w:ascii="Arial" w:cs="Arial" w:eastAsia="Arial" w:hAnsi="Arial"/>
          <w:sz w:val="16"/>
          <w:szCs w:val="16"/>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167"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 and to exclude others from copying our processes and technologies.</w:t>
      </w:r>
    </w:p>
    <w:p>
      <w:pPr>
        <w:spacing w:after="0" w:line="180" w:lineRule="exact"/>
        <w:rPr>
          <w:sz w:val="20"/>
          <w:szCs w:val="20"/>
          <w:color w:val="auto"/>
        </w:rPr>
      </w:pPr>
    </w:p>
    <w:p>
      <w:pPr>
        <w:ind w:right="760" w:firstLine="458"/>
        <w:spacing w:after="0" w:line="286" w:lineRule="auto"/>
        <w:rPr>
          <w:sz w:val="20"/>
          <w:szCs w:val="20"/>
          <w:color w:val="auto"/>
        </w:rPr>
      </w:pPr>
      <w:r>
        <w:rPr>
          <w:rFonts w:ascii="Arial" w:cs="Arial" w:eastAsia="Arial" w:hAnsi="Arial"/>
          <w:sz w:val="16"/>
          <w:szCs w:val="16"/>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48" w:lineRule="exact"/>
        <w:rPr>
          <w:sz w:val="20"/>
          <w:szCs w:val="20"/>
          <w:color w:val="auto"/>
        </w:rPr>
      </w:pPr>
    </w:p>
    <w:p>
      <w:pPr>
        <w:ind w:left="900" w:right="240" w:hanging="428"/>
        <w:spacing w:after="0" w:line="266"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patent applications may not result in any patents being issued;</w:t>
      </w:r>
    </w:p>
    <w:p>
      <w:pPr>
        <w:spacing w:after="0" w:line="125" w:lineRule="exact"/>
        <w:rPr>
          <w:rFonts w:ascii="Times New Roman" w:cs="Times New Roman" w:eastAsia="Times New Roman" w:hAnsi="Times New Roman"/>
          <w:sz w:val="16"/>
          <w:szCs w:val="16"/>
          <w:color w:val="auto"/>
        </w:rPr>
      </w:pPr>
    </w:p>
    <w:p>
      <w:pPr>
        <w:ind w:left="900" w:right="700" w:hanging="428"/>
        <w:spacing w:after="0" w:line="285"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patents may be challenged, invalidated, modified, revoked, circumvented, found to be unenforceable or otherwise may not provide any competitive advantage;</w:t>
      </w:r>
    </w:p>
    <w:p>
      <w:pPr>
        <w:spacing w:after="0" w:line="48" w:lineRule="exact"/>
        <w:rPr>
          <w:rFonts w:ascii="Times New Roman" w:cs="Times New Roman" w:eastAsia="Times New Roman" w:hAnsi="Times New Roman"/>
          <w:sz w:val="16"/>
          <w:szCs w:val="16"/>
          <w:color w:val="auto"/>
        </w:rPr>
      </w:pPr>
    </w:p>
    <w:p>
      <w:pPr>
        <w:ind w:left="900" w:right="240" w:hanging="428"/>
        <w:spacing w:after="0" w:line="266"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62" w:lineRule="exact"/>
        <w:rPr>
          <w:rFonts w:ascii="Times New Roman" w:cs="Times New Roman" w:eastAsia="Times New Roman" w:hAnsi="Times New Roman"/>
          <w:sz w:val="16"/>
          <w:szCs w:val="16"/>
          <w:color w:val="auto"/>
        </w:rPr>
      </w:pPr>
    </w:p>
    <w:p>
      <w:pPr>
        <w:ind w:left="900" w:right="340" w:hanging="428"/>
        <w:spacing w:after="0" w:line="266"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2" w:lineRule="exact"/>
        <w:rPr>
          <w:rFonts w:ascii="Times New Roman" w:cs="Times New Roman" w:eastAsia="Times New Roman" w:hAnsi="Times New Roman"/>
          <w:sz w:val="16"/>
          <w:szCs w:val="16"/>
          <w:color w:val="auto"/>
        </w:rPr>
      </w:pPr>
    </w:p>
    <w:p>
      <w:pPr>
        <w:ind w:left="900" w:right="420" w:hanging="428"/>
        <w:spacing w:after="0" w:line="285"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56"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If we or any third parties that develop or create any intellectual property for us are unable to secure necessary assignments or rights, including from investors, as applicable, then our rights to such intellectual property, and ultimately our ability to protect our candidate products, may be adversely affected.</w:t>
      </w:r>
    </w:p>
    <w:p>
      <w:pPr>
        <w:spacing w:after="0" w:line="156"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75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certain that we were the first to make the inventions claimed in any licensed patents or pending patent applications (or claimed in any patents or patent applications that we may own in the future, if any), or that we were the first to file for patent protection of such inventions.</w:t>
      </w:r>
    </w:p>
    <w:p>
      <w:pPr>
        <w:spacing w:after="0" w:line="158"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 third parties. Consequently, we do not know whether our product candidates will be protectable by valid and enforceable patents.</w:t>
      </w:r>
    </w:p>
    <w:p>
      <w:pPr>
        <w:spacing w:after="0" w:line="182" w:lineRule="exact"/>
        <w:rPr>
          <w:sz w:val="20"/>
          <w:szCs w:val="20"/>
          <w:color w:val="auto"/>
        </w:rPr>
      </w:pPr>
    </w:p>
    <w:p>
      <w:pPr>
        <w:ind w:right="200" w:firstLine="458"/>
        <w:spacing w:after="0" w:line="256"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180" w:lineRule="exact"/>
        <w:rPr>
          <w:sz w:val="20"/>
          <w:szCs w:val="20"/>
          <w:color w:val="auto"/>
        </w:rPr>
      </w:pPr>
    </w:p>
    <w:p>
      <w:pPr>
        <w:ind w:right="180" w:firstLine="458"/>
        <w:spacing w:after="0" w:line="256" w:lineRule="auto"/>
        <w:rPr>
          <w:sz w:val="20"/>
          <w:szCs w:val="20"/>
          <w:color w:val="auto"/>
        </w:rPr>
      </w:pPr>
      <w:r>
        <w:rPr>
          <w:rFonts w:ascii="Arial" w:cs="Arial" w:eastAsia="Arial" w:hAnsi="Arial"/>
          <w:sz w:val="16"/>
          <w:szCs w:val="16"/>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80"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In addition, patents have a limited lifespan. For example, if renewal fees are paid in a timely manner,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86" w:lineRule="exact"/>
        <w:rPr>
          <w:sz w:val="20"/>
          <w:szCs w:val="20"/>
          <w:color w:val="auto"/>
        </w:rPr>
      </w:pPr>
    </w:p>
    <w:p>
      <w:pPr>
        <w:ind w:right="300" w:firstLine="458"/>
        <w:spacing w:after="0" w:line="254"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184"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b w:val="1"/>
          <w:bCs w:val="1"/>
          <w:i w:val="1"/>
          <w:iCs w:val="1"/>
          <w:color w:val="auto"/>
        </w:rPr>
        <w:t>Patents covering our technology and product candidates that may be issued (if any) could be found invalid or unenforceable if challenged in court or an issuing body.</w:t>
      </w:r>
    </w:p>
    <w:p>
      <w:pPr>
        <w:spacing w:after="0" w:line="141" w:lineRule="exact"/>
        <w:rPr>
          <w:sz w:val="20"/>
          <w:szCs w:val="20"/>
          <w:color w:val="auto"/>
        </w:rPr>
      </w:pPr>
    </w:p>
    <w:p>
      <w:pPr>
        <w:jc w:val="both"/>
        <w:ind w:right="280" w:firstLine="458"/>
        <w:spacing w:after="0" w:line="25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78" w:lineRule="exact"/>
        <w:rPr>
          <w:sz w:val="20"/>
          <w:szCs w:val="20"/>
          <w:color w:val="auto"/>
        </w:rPr>
      </w:pPr>
    </w:p>
    <w:p>
      <w:pPr>
        <w:ind w:right="240" w:firstLine="458"/>
        <w:spacing w:after="0" w:line="286"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76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or enforce our intellectual property rights in all jurisdictions.</w:t>
      </w:r>
    </w:p>
    <w:p>
      <w:pPr>
        <w:spacing w:after="0" w:line="219"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82"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87"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are forced to grant a license to third parties with respect to any patents relevant to our business or we are unable to enforce a patent relevant to our business against a government agency or government contractor, our competitive position may be impaired, and our business, financial condition, results of operations and prospects may be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219"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7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77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post-grant review system. This legislation changed United States patent law in a way that may weaken our ability to obtain patent protection in the United States for those applications filed after March 16, 2013.</w:t>
      </w:r>
    </w:p>
    <w:p>
      <w:pPr>
        <w:spacing w:after="0" w:line="156"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 xml:space="preserve">Further, the America Invents Act created new procedures to challenge the validity of issued patents in the United States, including post 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which some third parties have been using to cause the cancellation of selected or all claims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 than invalidated in a litigation in a U.S. federal court. If any patents that we are issued in the future (if any) or our licensor’s patents are challenged by a third-party in such a USPTO proceeding, there is no guarantee that we or our licensors or collaborators will be successful in defending the patent, which would result in a loss of the challenged patent right to us.</w:t>
      </w:r>
    </w:p>
    <w:p>
      <w:pPr>
        <w:spacing w:after="0" w:line="18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6"/>
          <w:szCs w:val="16"/>
          <w:i w:val="1"/>
          <w:iCs w:val="1"/>
          <w:color w:val="auto"/>
        </w:rPr>
        <w:t>Association for Molecular Pathology v. Myriad Genetics, Inc., BRCA1-&amp;BRCA2-Based Hereditary Cancer Test Patent Litigation,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Mayo Collaborative Services v. Prometheus Laboratories, Inc., Promega Corp. v. Life Technologies Corp. and Abbvie Deutschland GmbH v. Janssen Biotech, Inc. </w:t>
      </w:r>
      <w:r>
        <w:rPr>
          <w:rFonts w:ascii="Arial" w:cs="Arial" w:eastAsia="Arial" w:hAnsi="Arial"/>
          <w:sz w:val="16"/>
          <w:szCs w:val="16"/>
          <w:color w:val="auto"/>
        </w:rPr>
        <w:t>have narrowed the scope of patent protection available in certain circumstances and weakened the rights of patent owners in certain situations.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deucrictibant and other product candidates that we may pursue could have a material adverse effect on our business, financial condition, results of operations and prospects.</w:t>
      </w:r>
    </w:p>
    <w:p>
      <w:pPr>
        <w:spacing w:after="0" w:line="376" w:lineRule="exact"/>
        <w:rPr>
          <w:sz w:val="20"/>
          <w:szCs w:val="20"/>
          <w:color w:val="auto"/>
        </w:rPr>
      </w:pPr>
    </w:p>
    <w:p>
      <w:pPr>
        <w:ind w:left="460" w:right="880"/>
        <w:spacing w:after="0" w:line="294" w:lineRule="auto"/>
        <w:rPr>
          <w:sz w:val="20"/>
          <w:szCs w:val="20"/>
          <w:color w:val="auto"/>
        </w:rPr>
      </w:pPr>
      <w:r>
        <w:rPr>
          <w:rFonts w:ascii="Arial" w:cs="Arial" w:eastAsia="Arial" w:hAnsi="Arial"/>
          <w:sz w:val="16"/>
          <w:szCs w:val="16"/>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14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192"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141" w:lineRule="exact"/>
        <w:rPr>
          <w:sz w:val="20"/>
          <w:szCs w:val="20"/>
          <w:color w:val="auto"/>
        </w:rPr>
      </w:pPr>
    </w:p>
    <w:p>
      <w:pPr>
        <w:ind w:right="60" w:firstLine="458"/>
        <w:spacing w:after="0" w:line="249" w:lineRule="auto"/>
        <w:rPr>
          <w:sz w:val="20"/>
          <w:szCs w:val="20"/>
          <w:color w:val="auto"/>
        </w:rPr>
      </w:pPr>
      <w:r>
        <w:rPr>
          <w:rFonts w:ascii="Arial" w:cs="Arial" w:eastAsia="Arial" w:hAnsi="Arial"/>
          <w:sz w:val="16"/>
          <w:szCs w:val="16"/>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development production, manufacture, commercialization or use of our product candidates and technology. In addition, the development production, manufacture, commercialization or use of our product candidates may infringe existing patents of which we are not aware. Even if we believe such claims of infringement are without merit, a court of competent jurisdiction could hold 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78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found to infringe a third-party’s valid and enforceable intellectual property rights, we could be required to:</w:t>
      </w:r>
    </w:p>
    <w:p>
      <w:pPr>
        <w:spacing w:after="0" w:line="113" w:lineRule="exact"/>
        <w:rPr>
          <w:sz w:val="20"/>
          <w:szCs w:val="20"/>
          <w:color w:val="auto"/>
        </w:rPr>
      </w:pPr>
    </w:p>
    <w:p>
      <w:pPr>
        <w:ind w:left="900" w:hanging="428"/>
        <w:spacing w:after="0"/>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cease developing, manufacturing, selling or licensing the infringing product candidates or technology;</w:t>
      </w:r>
    </w:p>
    <w:p>
      <w:pPr>
        <w:spacing w:after="0" w:line="125" w:lineRule="exact"/>
        <w:rPr>
          <w:rFonts w:ascii="Times New Roman" w:cs="Times New Roman" w:eastAsia="Times New Roman" w:hAnsi="Times New Roman"/>
          <w:sz w:val="16"/>
          <w:szCs w:val="16"/>
          <w:color w:val="auto"/>
        </w:rPr>
      </w:pPr>
    </w:p>
    <w:p>
      <w:pPr>
        <w:ind w:left="900" w:hanging="428"/>
        <w:spacing w:after="0" w:line="259"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69" w:lineRule="exact"/>
        <w:rPr>
          <w:rFonts w:ascii="Times New Roman" w:cs="Times New Roman" w:eastAsia="Times New Roman" w:hAnsi="Times New Roman"/>
          <w:sz w:val="16"/>
          <w:szCs w:val="16"/>
          <w:color w:val="auto"/>
        </w:rPr>
      </w:pPr>
    </w:p>
    <w:p>
      <w:pPr>
        <w:ind w:left="900" w:right="140" w:hanging="428"/>
        <w:spacing w:after="0" w:line="285"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pay substantial damages for past infringement, including treble damages and attorneys’ fees, if we are found to have willfully infringed a patent or other intellectual property right; or</w:t>
      </w:r>
    </w:p>
    <w:p>
      <w:pPr>
        <w:spacing w:after="0" w:line="48" w:lineRule="exact"/>
        <w:rPr>
          <w:rFonts w:ascii="Times New Roman" w:cs="Times New Roman" w:eastAsia="Times New Roman" w:hAnsi="Times New Roman"/>
          <w:sz w:val="16"/>
          <w:szCs w:val="16"/>
          <w:color w:val="auto"/>
        </w:rPr>
      </w:pPr>
    </w:p>
    <w:p>
      <w:pPr>
        <w:ind w:left="900" w:right="160" w:hanging="428"/>
        <w:spacing w:after="0" w:line="285"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be required to redesign the formulation of a product such that it does not infringe, which may not be possible or could require substantial funds and time.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foregoing could have a material adverse effect on our business, financial condition, results of operations and prospects.</w:t>
      </w:r>
    </w:p>
    <w:p>
      <w:pPr>
        <w:spacing w:after="0" w:line="221"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187"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Intellectual property litigation or proceedings could cause us to spend substantial resources and distract our personnel from their normal responsibilities.</w:t>
      </w:r>
    </w:p>
    <w:p>
      <w:pPr>
        <w:spacing w:after="0" w:line="141"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8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8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finance our business activities and to compete in the marketplace.</w:t>
      </w:r>
    </w:p>
    <w:p>
      <w:pPr>
        <w:spacing w:after="0" w:line="183" w:lineRule="exact"/>
        <w:rPr>
          <w:sz w:val="20"/>
          <w:szCs w:val="20"/>
          <w:color w:val="auto"/>
        </w:rPr>
      </w:pPr>
    </w:p>
    <w:p>
      <w:pPr>
        <w:jc w:val="both"/>
        <w:ind w:left="460" w:right="80"/>
        <w:spacing w:after="0" w:line="270"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60" w:lineRule="exact"/>
        <w:rPr>
          <w:sz w:val="20"/>
          <w:szCs w:val="20"/>
          <w:color w:val="auto"/>
        </w:rPr>
      </w:pPr>
    </w:p>
    <w:p>
      <w:pPr>
        <w:ind w:right="180" w:firstLine="458"/>
        <w:spacing w:after="0" w:line="256"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79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application, resulting in partial or complete loss of patent rights in the relevant jurisdiction. In such an event, we may not be able to prevent potential competitors from entering the market and this circumstance could have a material adverse effect on our business.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licenses.</w:t>
      </w:r>
    </w:p>
    <w:p>
      <w:pPr>
        <w:spacing w:after="0" w:line="21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w:t>
      </w:r>
    </w:p>
    <w:p>
      <w:pPr>
        <w:spacing w:after="0" w:line="184"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risks to our competitive advantage.</w:t>
      </w:r>
    </w:p>
    <w:p>
      <w:pPr>
        <w:spacing w:after="0" w:line="219"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900" w:right="320" w:hanging="428"/>
        <w:spacing w:after="0" w:line="285" w:lineRule="auto"/>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48" w:lineRule="exact"/>
        <w:rPr>
          <w:rFonts w:ascii="Times New Roman" w:cs="Times New Roman" w:eastAsia="Times New Roman" w:hAnsi="Times New Roman"/>
          <w:sz w:val="16"/>
          <w:szCs w:val="16"/>
          <w:color w:val="auto"/>
        </w:rPr>
      </w:pPr>
    </w:p>
    <w:p>
      <w:pPr>
        <w:ind w:left="900" w:right="140" w:hanging="428"/>
        <w:spacing w:after="0" w:line="285" w:lineRule="auto"/>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48"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file patent applications covering certain of our or their inventions;</w:t>
      </w:r>
    </w:p>
    <w:p>
      <w:pPr>
        <w:spacing w:after="0" w:line="48" w:lineRule="exact"/>
        <w:rPr>
          <w:rFonts w:ascii="Times New Roman" w:cs="Times New Roman" w:eastAsia="Times New Roman" w:hAnsi="Times New Roman"/>
          <w:sz w:val="16"/>
          <w:szCs w:val="16"/>
          <w:color w:val="auto"/>
        </w:rPr>
      </w:pPr>
    </w:p>
    <w:p>
      <w:pPr>
        <w:ind w:left="900" w:right="560" w:hanging="428"/>
        <w:spacing w:after="0" w:line="285" w:lineRule="auto"/>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it is possible that patent applications that we currently, or may in the future, own or license will not lead to issued patents;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the claims of patents or patent applications that we may own or license may, when issued, not cover our product candidates;</w:t>
      </w:r>
    </w:p>
    <w:p>
      <w:pPr>
        <w:spacing w:after="0" w:line="125" w:lineRule="exact"/>
        <w:rPr>
          <w:rFonts w:ascii="Times New Roman" w:cs="Times New Roman" w:eastAsia="Times New Roman" w:hAnsi="Times New Roman"/>
          <w:sz w:val="16"/>
          <w:szCs w:val="16"/>
          <w:color w:val="auto"/>
        </w:rPr>
      </w:pPr>
    </w:p>
    <w:p>
      <w:pPr>
        <w:ind w:left="900" w:right="620" w:hanging="428"/>
        <w:spacing w:after="0" w:line="285" w:lineRule="auto"/>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issued patents (if any) to which we may hold rights may be held invalid or unenforceable, including as a result of legal challenges by our competitors;</w:t>
      </w:r>
    </w:p>
    <w:p>
      <w:pPr>
        <w:spacing w:after="0" w:line="48" w:lineRule="exact"/>
        <w:rPr>
          <w:rFonts w:ascii="Times New Roman" w:cs="Times New Roman" w:eastAsia="Times New Roman" w:hAnsi="Times New Roman"/>
          <w:sz w:val="16"/>
          <w:szCs w:val="16"/>
          <w:color w:val="auto"/>
        </w:rPr>
      </w:pPr>
    </w:p>
    <w:p>
      <w:pPr>
        <w:ind w:left="900" w:right="840" w:hanging="428"/>
        <w:spacing w:after="0" w:line="285" w:lineRule="auto"/>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additional proprietary technologies that are not patentable;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may harm our business; and</w:t>
      </w:r>
    </w:p>
    <w:p>
      <w:pPr>
        <w:spacing w:after="0" w:line="125" w:lineRule="exact"/>
        <w:rPr>
          <w:rFonts w:ascii="Times New Roman" w:cs="Times New Roman" w:eastAsia="Times New Roman" w:hAnsi="Times New Roman"/>
          <w:sz w:val="16"/>
          <w:szCs w:val="16"/>
          <w:color w:val="auto"/>
        </w:rPr>
      </w:pPr>
    </w:p>
    <w:p>
      <w:pPr>
        <w:ind w:left="900" w:right="460" w:hanging="428"/>
        <w:spacing w:after="0" w:line="285" w:lineRule="auto"/>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we may choose not to file a patent in order to maintain certain trade secrets or know-how, and a third-party may subsequently file a patent covering such intellectual property.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221" w:lineRule="exact"/>
        <w:rPr>
          <w:sz w:val="20"/>
          <w:szCs w:val="20"/>
          <w:color w:val="auto"/>
        </w:rPr>
      </w:pPr>
    </w:p>
    <w:p>
      <w:pPr>
        <w:ind w:left="460"/>
        <w:spacing w:after="0" w:line="262" w:lineRule="auto"/>
        <w:rPr>
          <w:sz w:val="20"/>
          <w:szCs w:val="20"/>
          <w:color w:val="auto"/>
        </w:rPr>
      </w:pPr>
      <w:r>
        <w:rPr>
          <w:rFonts w:ascii="Arial" w:cs="Arial" w:eastAsia="Arial" w:hAnsi="Arial"/>
          <w:sz w:val="16"/>
          <w:szCs w:val="16"/>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 tracking and disclosure, and health information privacy and security. If we are unable to comply, or have not fully complied, with such laws, we could face penalties, including, without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80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b w:val="1"/>
          <w:bCs w:val="1"/>
          <w:i w:val="1"/>
          <w:iCs w:val="1"/>
          <w:color w:val="auto"/>
        </w:rPr>
        <w:t>limitation, civil, criminal, and administrative penalties, damages, fines, exclusion from government-funded health care programs and the curtailment or restructuring of our operations.</w:t>
      </w:r>
    </w:p>
    <w:p>
      <w:pPr>
        <w:spacing w:after="0" w:line="141"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laws that may affect our ability to operate include, but are not limited to:</w:t>
      </w:r>
    </w:p>
    <w:p>
      <w:pPr>
        <w:spacing w:after="0" w:line="113" w:lineRule="exact"/>
        <w:rPr>
          <w:sz w:val="20"/>
          <w:szCs w:val="20"/>
          <w:color w:val="auto"/>
        </w:rPr>
      </w:pPr>
    </w:p>
    <w:p>
      <w:pPr>
        <w:ind w:left="900" w:right="240" w:hanging="428"/>
        <w:spacing w:after="0" w:line="259"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is an intent-based federal criminal statute that prohibits, among other things, persons from knowingly and willfully soliciting, offering, receiving or providing any remuneration, directly or indirectly, in cash or in kind, to induce or reward either the referral of an individual for, or the purchase, lease, order, recommendation or arranging of, any item or service, for which payment may be made, in whole or in part, under a federal health care program such as Medicare and Medicaid;</w:t>
      </w:r>
    </w:p>
    <w:p>
      <w:pPr>
        <w:spacing w:after="0" w:line="69" w:lineRule="exact"/>
        <w:rPr>
          <w:rFonts w:ascii="Times New Roman" w:cs="Times New Roman" w:eastAsia="Times New Roman" w:hAnsi="Times New Roman"/>
          <w:sz w:val="16"/>
          <w:szCs w:val="16"/>
          <w:color w:val="auto"/>
        </w:rPr>
      </w:pPr>
    </w:p>
    <w:p>
      <w:pPr>
        <w:ind w:left="900" w:hanging="428"/>
        <w:spacing w:after="0" w:line="259"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w:t>
      </w:r>
    </w:p>
    <w:p>
      <w:pPr>
        <w:spacing w:after="0" w:line="69" w:lineRule="exact"/>
        <w:rPr>
          <w:rFonts w:ascii="Times New Roman" w:cs="Times New Roman" w:eastAsia="Times New Roman" w:hAnsi="Times New Roman"/>
          <w:sz w:val="16"/>
          <w:szCs w:val="16"/>
          <w:color w:val="auto"/>
        </w:rPr>
      </w:pPr>
    </w:p>
    <w:p>
      <w:pPr>
        <w:ind w:left="900" w:right="180" w:hanging="428"/>
        <w:spacing w:after="0" w:line="266"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62" w:lineRule="exact"/>
        <w:rPr>
          <w:rFonts w:ascii="Times New Roman" w:cs="Times New Roman" w:eastAsia="Times New Roman" w:hAnsi="Times New Roman"/>
          <w:sz w:val="16"/>
          <w:szCs w:val="16"/>
          <w:color w:val="auto"/>
        </w:rPr>
      </w:pPr>
    </w:p>
    <w:p>
      <w:pPr>
        <w:ind w:left="900" w:right="200" w:hanging="428"/>
        <w:spacing w:after="0" w:line="259"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health care fraud statute, enacted as a part of the HIPAA, which imposes criminal and civil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120" w:hanging="428"/>
        <w:spacing w:after="0" w:line="259"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9" w:lineRule="exact"/>
        <w:rPr>
          <w:rFonts w:ascii="Times New Roman" w:cs="Times New Roman" w:eastAsia="Times New Roman" w:hAnsi="Times New Roman"/>
          <w:sz w:val="16"/>
          <w:szCs w:val="16"/>
          <w:color w:val="auto"/>
        </w:rPr>
      </w:pPr>
    </w:p>
    <w:p>
      <w:pPr>
        <w:jc w:val="both"/>
        <w:ind w:left="900" w:right="20" w:hanging="428"/>
        <w:spacing w:after="0" w:line="259"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certain U.S. state laws, as well as the General Data Protection Regulation, impose particular requirements regarding the processing of personal data especially when handling sensitive data, such as health information. Additionally, laws in all 50 U.S. states and the General Data Protection Regulation require in some circumstances businesses to notify relevant (Data Protection) Authorities and data subjects when a data breach has occurred;</w:t>
      </w:r>
    </w:p>
    <w:p>
      <w:pPr>
        <w:spacing w:after="0" w:line="69" w:lineRule="exact"/>
        <w:rPr>
          <w:rFonts w:ascii="Times New Roman" w:cs="Times New Roman" w:eastAsia="Times New Roman" w:hAnsi="Times New Roman"/>
          <w:sz w:val="16"/>
          <w:szCs w:val="16"/>
          <w:color w:val="auto"/>
        </w:rPr>
      </w:pPr>
    </w:p>
    <w:p>
      <w:pPr>
        <w:ind w:left="900" w:right="200" w:hanging="428"/>
        <w:spacing w:after="0" w:line="256"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 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70" w:lineRule="exact"/>
        <w:rPr>
          <w:rFonts w:ascii="Times New Roman" w:cs="Times New Roman" w:eastAsia="Times New Roman" w:hAnsi="Times New Roman"/>
          <w:sz w:val="16"/>
          <w:szCs w:val="16"/>
          <w:color w:val="auto"/>
        </w:rPr>
      </w:pPr>
    </w:p>
    <w:p>
      <w:pPr>
        <w:ind w:left="900" w:right="520" w:hanging="428"/>
        <w:spacing w:after="0" w:line="285"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48" w:lineRule="exact"/>
        <w:rPr>
          <w:rFonts w:ascii="Times New Roman" w:cs="Times New Roman" w:eastAsia="Times New Roman" w:hAnsi="Times New Roman"/>
          <w:sz w:val="16"/>
          <w:szCs w:val="16"/>
          <w:color w:val="auto"/>
        </w:rPr>
      </w:pPr>
    </w:p>
    <w:p>
      <w:pPr>
        <w:ind w:left="900" w:right="20" w:hanging="428"/>
        <w:spacing w:after="0" w:line="285"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Foreign Corrupt Practices Act, or the FCPA, a U.S. law which regulates certain financial relationships with foreign government officials which could include, for example, certain medical professionals;</w:t>
      </w:r>
    </w:p>
    <w:p>
      <w:pPr>
        <w:spacing w:after="0" w:line="48" w:lineRule="exact"/>
        <w:rPr>
          <w:rFonts w:ascii="Times New Roman" w:cs="Times New Roman" w:eastAsia="Times New Roman" w:hAnsi="Times New Roman"/>
          <w:sz w:val="16"/>
          <w:szCs w:val="16"/>
          <w:color w:val="auto"/>
        </w:rPr>
      </w:pPr>
    </w:p>
    <w:p>
      <w:pPr>
        <w:ind w:left="900" w:right="20" w:hanging="428"/>
        <w:spacing w:after="0" w:line="266"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62" w:lineRule="exact"/>
        <w:rPr>
          <w:rFonts w:ascii="Times New Roman" w:cs="Times New Roman" w:eastAsia="Times New Roman" w:hAnsi="Times New Roman"/>
          <w:sz w:val="16"/>
          <w:szCs w:val="16"/>
          <w:color w:val="auto"/>
        </w:rPr>
      </w:pPr>
    </w:p>
    <w:p>
      <w:pPr>
        <w:ind w:left="900" w:right="360" w:hanging="428"/>
        <w:spacing w:after="0" w:line="285"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U.S. state laws regulating pharmaceutical manufacturer compliance programs, commercialization-related activities, drug price transparency disclosures, and other practices; and</w:t>
      </w:r>
    </w:p>
    <w:p>
      <w:pPr>
        <w:spacing w:after="0" w:line="48"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foreign laws and regulations (for example, with respect to Dutch law, including but not limited to the anti-bribery, anti-corruption, anti-fraud and anti-forgery provisions).</w:t>
      </w:r>
    </w:p>
    <w:p>
      <w:pPr>
        <w:spacing w:after="0" w:line="156"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81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56"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84" w:lineRule="exact"/>
        <w:rPr>
          <w:sz w:val="20"/>
          <w:szCs w:val="20"/>
          <w:color w:val="auto"/>
        </w:rPr>
      </w:pPr>
    </w:p>
    <w:p>
      <w:pPr>
        <w:ind w:right="440" w:firstLine="458"/>
        <w:spacing w:after="0" w:line="286" w:lineRule="auto"/>
        <w:rPr>
          <w:sz w:val="20"/>
          <w:szCs w:val="20"/>
          <w:color w:val="auto"/>
        </w:rPr>
      </w:pPr>
      <w:r>
        <w:rPr>
          <w:rFonts w:ascii="Arial" w:cs="Arial" w:eastAsia="Arial" w:hAnsi="Arial"/>
          <w:sz w:val="16"/>
          <w:szCs w:val="16"/>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Rapid technological change could make our product candidates or technologies obsolete.</w:t>
      </w:r>
    </w:p>
    <w:p>
      <w:pPr>
        <w:spacing w:after="0" w:line="219"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 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may become subject to economic, political, regulatory and other risks associated with international operations.</w:t>
      </w:r>
    </w:p>
    <w:p>
      <w:pPr>
        <w:spacing w:after="0" w:line="219" w:lineRule="exact"/>
        <w:rPr>
          <w:sz w:val="20"/>
          <w:szCs w:val="20"/>
          <w:color w:val="auto"/>
        </w:rPr>
      </w:pPr>
    </w:p>
    <w:p>
      <w:pPr>
        <w:ind w:right="780" w:firstLine="458"/>
        <w:spacing w:after="0" w:line="286"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48" w:lineRule="exact"/>
        <w:rPr>
          <w:sz w:val="20"/>
          <w:szCs w:val="20"/>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economic weakness and uncertainty, including rising inflation and interest rates, or political instability in particular economies and markets;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regulatory requirements for drug approvals in different jurisdictions;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jurisdictions could present different issues for securing, maintaining and/or obtaining freedom to operate in such jurisdictions;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potentially reduced protection for intellectual property rights;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 compliance with laws and regulations;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regulations and customs, tariffs and trade barriers;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currency exchange rates of the euro and currency controls;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 specific country’s or region’s political or economic environment;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trade protection measures, import or export licensing requirements or other restrictive actions by various governments;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reimbursement regimes and price controls in certain markets;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negative consequences from changes in tax laws;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25" w:lineRule="exact"/>
        <w:rPr>
          <w:rFonts w:ascii="Times New Roman" w:cs="Times New Roman" w:eastAsia="Times New Roman" w:hAnsi="Times New Roman"/>
          <w:sz w:val="16"/>
          <w:szCs w:val="16"/>
          <w:color w:val="auto"/>
        </w:rPr>
      </w:pPr>
    </w:p>
    <w:p>
      <w:pPr>
        <w:ind w:left="900" w:right="80" w:hanging="428"/>
        <w:spacing w:after="0" w:line="285" w:lineRule="auto"/>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business interruptions resulting from geopolitical actions, including war and terrorism, or natural disasters and weather-related events, including earthquakes, typhoons, floods and fires.</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82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ind w:left="460" w:right="260"/>
        <w:spacing w:after="0" w:line="294"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141"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Legal Compliance Matters</w:t>
      </w:r>
    </w:p>
    <w:p>
      <w:pPr>
        <w:spacing w:after="0" w:line="221" w:lineRule="exact"/>
        <w:rPr>
          <w:sz w:val="20"/>
          <w:szCs w:val="20"/>
          <w:color w:val="auto"/>
        </w:rPr>
      </w:pPr>
    </w:p>
    <w:p>
      <w:pPr>
        <w:ind w:left="460" w:right="380"/>
        <w:spacing w:after="0" w:line="270" w:lineRule="auto"/>
        <w:rPr>
          <w:sz w:val="20"/>
          <w:szCs w:val="20"/>
          <w:color w:val="auto"/>
        </w:rPr>
      </w:pPr>
      <w:r>
        <w:rPr>
          <w:rFonts w:ascii="Arial" w:cs="Arial" w:eastAsia="Arial" w:hAnsi="Arial"/>
          <w:sz w:val="16"/>
          <w:szCs w:val="16"/>
          <w:b w:val="1"/>
          <w:bCs w:val="1"/>
          <w:i w:val="1"/>
          <w:iCs w:val="1"/>
          <w:color w:val="auto"/>
        </w:rPr>
        <w:t>Because we and our suppliers are subject to environmental, health and safety laws and regulations, we may become exposed to enforcement, liability and substantial expenses in connection with compliance or remediation activities which may adversely affect our business and financial condition.</w:t>
      </w:r>
    </w:p>
    <w:p>
      <w:pPr>
        <w:spacing w:after="0" w:line="160"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Our operations, including our research, development, testing and manufacturing activities, are subject to numerous environmental, health and safety laws and regulations, and possible permit obligations. These laws and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with all of these laws, regulations, and associated compliance activities.</w:t>
      </w:r>
    </w:p>
    <w:p>
      <w:pPr>
        <w:spacing w:after="0" w:line="183"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 interruption in operations, any of which could adversely impact our business and financial condition, especially if we are unable to find an alternate supplier in a timely manner.</w:t>
      </w:r>
    </w:p>
    <w:p>
      <w:pPr>
        <w:spacing w:after="0" w:line="178"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Regulatory and legislative bodies in the United States, Europe and elsewhere continue to focus on environmental policies relating to climate change, greenhouse gas emissions, carbon taxes and sustainable manufacturing, as well as human rights and equity matters, and disclosure regarding the foregoing, many of which policies may be ambiguous, inconsistent, dynamic or conflicting. We expect to experience increased restrictions, compliance costs, legal costs and expenses related to such new or changing legal or regulatory requirements, current and future environmental, health and/or safety compliance, remediation obligations and/or measurement obligations, in which case, our production and development efforts may be interrupted or delayed and our financial condition and results of operations may be materially adversely affected. Moreover, compliance with any such legal or regulatory requirements may require us to devote substantial time and attention to these matters. In addition, we could be subject to penalties or potential litigation if such laws and regulations are interpreted or applied in a manner inconsistent with our practices.</w:t>
      </w:r>
    </w:p>
    <w:p>
      <w:pPr>
        <w:spacing w:after="0" w:line="185"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160"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90"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Sales, commercialization and business arrangements in the healthcare industry are generally subject to extensive laws and regulations intended to prevent fraud, misconduct, bribery (e.g., kickbacks), self-dealing and other abusive practices. These laws and</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83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nonclinical studies or clinical trials, which could result in enforcement and/or sanctions and cause serious harm to our reputation.</w:t>
      </w:r>
    </w:p>
    <w:p>
      <w:pPr>
        <w:spacing w:after="0" w:line="178"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56" w:lineRule="exact"/>
        <w:rPr>
          <w:sz w:val="20"/>
          <w:szCs w:val="20"/>
          <w:color w:val="auto"/>
        </w:rPr>
      </w:pPr>
    </w:p>
    <w:p>
      <w:pPr>
        <w:ind w:right="120" w:firstLine="458"/>
        <w:spacing w:after="0" w:line="250" w:lineRule="auto"/>
        <w:rPr>
          <w:sz w:val="20"/>
          <w:szCs w:val="20"/>
          <w:color w:val="auto"/>
        </w:rPr>
      </w:pPr>
      <w:r>
        <w:rPr>
          <w:rFonts w:ascii="Arial" w:cs="Arial" w:eastAsia="Arial" w:hAnsi="Arial"/>
          <w:sz w:val="16"/>
          <w:szCs w:val="16"/>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Ordinary Shares and Our Status as a Public Company</w:t>
      </w:r>
    </w:p>
    <w:p>
      <w:pPr>
        <w:spacing w:after="0" w:line="221"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b w:val="1"/>
          <w:bCs w:val="1"/>
          <w:i w:val="1"/>
          <w:iCs w:val="1"/>
          <w:color w:val="auto"/>
        </w:rPr>
        <w:t>An active trading market for our ordinary shares may not be sustainable. If an active trading market is not maintained, investors may not be able to resell their shares at or above the offering price and our ability to raise capital in the future may be impaired.</w:t>
      </w:r>
    </w:p>
    <w:p>
      <w:pPr>
        <w:spacing w:after="0" w:line="141" w:lineRule="exact"/>
        <w:rPr>
          <w:sz w:val="20"/>
          <w:szCs w:val="20"/>
          <w:color w:val="auto"/>
        </w:rPr>
      </w:pPr>
    </w:p>
    <w:p>
      <w:pPr>
        <w:ind w:right="340" w:firstLine="458"/>
        <w:spacing w:after="0" w:line="259" w:lineRule="auto"/>
        <w:rPr>
          <w:sz w:val="20"/>
          <w:szCs w:val="20"/>
          <w:color w:val="auto"/>
        </w:rPr>
      </w:pPr>
      <w:r>
        <w:rPr>
          <w:rFonts w:ascii="Arial" w:cs="Arial" w:eastAsia="Arial" w:hAnsi="Arial"/>
          <w:sz w:val="16"/>
          <w:szCs w:val="16"/>
          <w:color w:val="auto"/>
        </w:rPr>
        <w:t>Although our ordinary shares are listed and being traded on Nasdaq, an active trading market for our shares may not be maintained. If an active market for our ordinary shares is not maintained, it may be difficult for you to sell shares you have purchased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219" w:lineRule="exact"/>
        <w:rPr>
          <w:sz w:val="20"/>
          <w:szCs w:val="20"/>
          <w:color w:val="auto"/>
        </w:rPr>
      </w:pPr>
    </w:p>
    <w:p>
      <w:pPr>
        <w:ind w:right="280" w:firstLine="458"/>
        <w:spacing w:after="0" w:line="266" w:lineRule="auto"/>
        <w:rPr>
          <w:sz w:val="20"/>
          <w:szCs w:val="20"/>
          <w:color w:val="auto"/>
        </w:rPr>
      </w:pPr>
      <w:r>
        <w:rPr>
          <w:rFonts w:ascii="Arial" w:cs="Arial" w:eastAsia="Arial" w:hAnsi="Arial"/>
          <w:sz w:val="16"/>
          <w:szCs w:val="16"/>
          <w:color w:val="auto"/>
        </w:rPr>
        <w:t>As of April 1, 2025, our significant shareholders beneficially owned ordinary shares representing approximately 56.41% of our outstanding ordinary shares. For more information regarding our significant shareholders, please see “ITEM 7. MAJOR SHAREHOLDERS AND RELATED PARTY TRANSACTIONS—A. Major Shareholders.”</w:t>
      </w:r>
    </w:p>
    <w:p>
      <w:pPr>
        <w:spacing w:after="0" w:line="171" w:lineRule="exact"/>
        <w:rPr>
          <w:sz w:val="20"/>
          <w:szCs w:val="20"/>
          <w:color w:val="auto"/>
        </w:rPr>
      </w:pPr>
    </w:p>
    <w:p>
      <w:pPr>
        <w:ind w:right="160" w:firstLine="458"/>
        <w:spacing w:after="0" w:line="256" w:lineRule="auto"/>
        <w:rPr>
          <w:sz w:val="20"/>
          <w:szCs w:val="20"/>
          <w:color w:val="auto"/>
        </w:rPr>
      </w:pPr>
      <w:r>
        <w:rPr>
          <w:rFonts w:ascii="Arial" w:cs="Arial" w:eastAsia="Arial" w:hAnsi="Arial"/>
          <w:sz w:val="16"/>
          <w:szCs w:val="16"/>
          <w:color w:val="auto"/>
        </w:rPr>
        <w:t>These significant shareholders have in the past often taken a similar position and exercised influence over matters requiring the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182" w:lineRule="exact"/>
        <w:rPr>
          <w:sz w:val="20"/>
          <w:szCs w:val="20"/>
          <w:color w:val="auto"/>
        </w:rPr>
      </w:pPr>
    </w:p>
    <w:p>
      <w:pPr>
        <w:ind w:left="460" w:right="160"/>
        <w:spacing w:after="0" w:line="270" w:lineRule="auto"/>
        <w:rPr>
          <w:sz w:val="20"/>
          <w:szCs w:val="20"/>
          <w:color w:val="auto"/>
        </w:rPr>
      </w:pPr>
      <w:r>
        <w:rPr>
          <w:rFonts w:ascii="Arial" w:cs="Arial" w:eastAsia="Arial" w:hAnsi="Arial"/>
          <w:sz w:val="16"/>
          <w:szCs w:val="16"/>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160" w:lineRule="exact"/>
        <w:rPr>
          <w:sz w:val="20"/>
          <w:szCs w:val="20"/>
          <w:color w:val="auto"/>
        </w:rPr>
      </w:pPr>
    </w:p>
    <w:p>
      <w:pPr>
        <w:ind w:right="100" w:firstLine="458"/>
        <w:spacing w:after="0" w:line="253" w:lineRule="auto"/>
        <w:rPr>
          <w:sz w:val="20"/>
          <w:szCs w:val="20"/>
          <w:color w:val="auto"/>
        </w:rPr>
      </w:pPr>
      <w:r>
        <w:rPr>
          <w:rFonts w:ascii="Arial" w:cs="Arial" w:eastAsia="Arial" w:hAnsi="Arial"/>
          <w:sz w:val="16"/>
          <w:szCs w:val="16"/>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81"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 xml:space="preserve">Under Dutch law, we may only pay dividends and other distributions from our reserves to the extent our shareholders’ equity (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84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Under our Articles of Association, our Board may decide that all or part of our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(verjaring).</w:t>
      </w:r>
    </w:p>
    <w:p>
      <w:pPr>
        <w:spacing w:after="0" w:line="182"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173"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We have broad discretion in the use of our cash on hand and may invest or spend it in ways with which you do not agree and in ways that may not yield a return on your investment.</w:t>
      </w:r>
    </w:p>
    <w:p>
      <w:pPr>
        <w:spacing w:after="0" w:line="155"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As of December 31, 2024, we had €280.7 million in cash and cash equivalents. Our management has broad discretion in the use of such cash and could spend it in ways that do not improve our results of operations or enhance the value of our ordinary shares. You will not have the opportunity to influence our decisions on how to use our cash on hand. The failure by our management to apply these funds effectively could result in financial losses that could harm our business, cause the price of our ordinary shares to decline and delay the development of our product candidates. Pending its use, we may invest our cash on hand in a manner that does not produce income or that loses value.</w:t>
      </w:r>
    </w:p>
    <w:p>
      <w:pPr>
        <w:spacing w:after="0" w:line="182"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141"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The market price of our ordinary shares may decline as a result of sales of a large number of our ordinary shares in the market or the perception that these sales may occur. These sales, or the possibility that these sales may occur, also might make it more difficult for us to sell equity securities in the future at a time and at a price that we deem appropriate.</w:t>
      </w:r>
    </w:p>
    <w:p>
      <w:pPr>
        <w:spacing w:after="0" w:line="171"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We had a total of 54,493,142 ordinary shares outstanding as of April 1, 2025.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not obligated to, and do not, comply with all best practice provisions of the Dutch Corporate Governance Code.</w:t>
      </w:r>
    </w:p>
    <w:p>
      <w:pPr>
        <w:spacing w:after="0" w:line="219"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We are subject to the Dutch Corporate Governance Code, or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This may affect your rights as a shareholder, and you may not have the same level of protection as a shareholder in a Dutch company that fully complies with the DCGC.</w:t>
      </w:r>
    </w:p>
    <w:p>
      <w:pPr>
        <w:spacing w:after="0" w:line="185" w:lineRule="exact"/>
        <w:rPr>
          <w:sz w:val="20"/>
          <w:szCs w:val="20"/>
          <w:color w:val="auto"/>
        </w:rPr>
      </w:pPr>
    </w:p>
    <w:p>
      <w:pPr>
        <w:ind w:left="460" w:right="40"/>
        <w:spacing w:after="0" w:line="270" w:lineRule="auto"/>
        <w:rPr>
          <w:sz w:val="20"/>
          <w:szCs w:val="20"/>
          <w:color w:val="auto"/>
        </w:rPr>
      </w:pPr>
      <w:r>
        <w:rPr>
          <w:rFonts w:ascii="Arial" w:cs="Arial" w:eastAsia="Arial" w:hAnsi="Arial"/>
          <w:sz w:val="16"/>
          <w:szCs w:val="16"/>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160"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82" w:lineRule="exact"/>
        <w:rPr>
          <w:sz w:val="20"/>
          <w:szCs w:val="20"/>
          <w:color w:val="auto"/>
        </w:rPr>
      </w:pPr>
    </w:p>
    <w:p>
      <w:pPr>
        <w:jc w:val="both"/>
        <w:ind w:right="220" w:firstLine="458"/>
        <w:spacing w:after="0" w:line="253" w:lineRule="auto"/>
        <w:rPr>
          <w:sz w:val="20"/>
          <w:szCs w:val="20"/>
          <w:color w:val="auto"/>
        </w:rPr>
      </w:pPr>
      <w:r>
        <w:rPr>
          <w:rFonts w:ascii="Arial" w:cs="Arial" w:eastAsia="Arial" w:hAnsi="Arial"/>
          <w:sz w:val="16"/>
          <w:szCs w:val="16"/>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In addition, we have opted out of shareholder approval requirements, as included in the Nasdaq Listing Rules, for the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color w:val="auto"/>
        </w:rPr>
        <w:t>85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 Accordingly, you may not have the same protections afforded to shareholders of companies that are subject to these Nasdaq requirements.</w:t>
      </w:r>
    </w:p>
    <w:p>
      <w:pPr>
        <w:spacing w:after="0" w:line="180" w:lineRule="exact"/>
        <w:rPr>
          <w:sz w:val="20"/>
          <w:szCs w:val="20"/>
          <w:color w:val="auto"/>
        </w:rPr>
      </w:pPr>
    </w:p>
    <w:p>
      <w:pPr>
        <w:ind w:left="460" w:right="900"/>
        <w:spacing w:after="0" w:line="294" w:lineRule="auto"/>
        <w:rPr>
          <w:sz w:val="20"/>
          <w:szCs w:val="20"/>
          <w:color w:val="auto"/>
        </w:rPr>
      </w:pPr>
      <w:r>
        <w:rPr>
          <w:rFonts w:ascii="Arial" w:cs="Arial" w:eastAsia="Arial" w:hAnsi="Arial"/>
          <w:sz w:val="16"/>
          <w:szCs w:val="16"/>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annual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non-accelerated filers are required to file their annual report on Form 10-K within 90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 and expense.</w:t>
      </w:r>
    </w:p>
    <w:p>
      <w:pPr>
        <w:spacing w:after="0" w:line="219"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8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as issued by IASB. Such conversion of our financial statements to U.S. GAAP would involve significant time and cost, and we would still be required to prepare financial statements in accordance with IFRS as adopted by the European Union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185" w:lineRule="exact"/>
        <w:rPr>
          <w:sz w:val="20"/>
          <w:szCs w:val="20"/>
          <w:color w:val="auto"/>
        </w:rPr>
      </w:pPr>
    </w:p>
    <w:p>
      <w:pPr>
        <w:ind w:left="460" w:right="580"/>
        <w:spacing w:after="0" w:line="294" w:lineRule="auto"/>
        <w:rPr>
          <w:sz w:val="20"/>
          <w:szCs w:val="20"/>
          <w:color w:val="auto"/>
        </w:rPr>
      </w:pPr>
      <w:r>
        <w:rPr>
          <w:rFonts w:ascii="Arial" w:cs="Arial" w:eastAsia="Arial" w:hAnsi="Arial"/>
          <w:sz w:val="16"/>
          <w:szCs w:val="16"/>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141"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Our corporate affairs are governed by our Articles of Association, our internal rules and policies and by Dutch law. There can be no assurance that Dutch law will not change in the future or that it will serve to protect shareholders in a similar fashion afforded under corporate law principles in the United States, which could adversely affect the rights of our shareholders.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stakeholders will have interests that are different from, or in addition to, your interests as a shareholder.</w:t>
      </w:r>
    </w:p>
    <w:p>
      <w:pPr>
        <w:spacing w:after="0" w:line="185"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w:t>
      </w:r>
    </w:p>
    <w:p>
      <w:pPr>
        <w:spacing w:after="0" w:line="221"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 party to acquire control of us or effect a change in the composition of our Board. These include:</w:t>
      </w:r>
    </w:p>
    <w:p>
      <w:pPr>
        <w:spacing w:after="0" w:line="48" w:lineRule="exact"/>
        <w:rPr>
          <w:sz w:val="20"/>
          <w:szCs w:val="20"/>
          <w:color w:val="auto"/>
        </w:rPr>
      </w:pPr>
    </w:p>
    <w:p>
      <w:pPr>
        <w:ind w:left="1020" w:right="140" w:hanging="503"/>
        <w:spacing w:after="0" w:line="266" w:lineRule="auto"/>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86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1020" w:right="20" w:hanging="503"/>
        <w:spacing w:after="0" w:line="266" w:lineRule="auto"/>
        <w:tabs>
          <w:tab w:leader="none" w:pos="10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2" w:lineRule="exact"/>
        <w:rPr>
          <w:rFonts w:ascii="Times New Roman" w:cs="Times New Roman" w:eastAsia="Times New Roman" w:hAnsi="Times New Roman"/>
          <w:sz w:val="16"/>
          <w:szCs w:val="16"/>
          <w:color w:val="auto"/>
        </w:rPr>
      </w:pPr>
    </w:p>
    <w:p>
      <w:pPr>
        <w:ind w:left="1020" w:right="100" w:hanging="503"/>
        <w:spacing w:after="0" w:line="285" w:lineRule="auto"/>
        <w:tabs>
          <w:tab w:leader="none" w:pos="10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156" w:lineRule="exact"/>
        <w:rPr>
          <w:sz w:val="20"/>
          <w:szCs w:val="20"/>
          <w:color w:val="auto"/>
        </w:rPr>
      </w:pPr>
    </w:p>
    <w:p>
      <w:pPr>
        <w:ind w:right="820" w:firstLine="458"/>
        <w:spacing w:after="0" w:line="28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given year.</w:t>
      </w:r>
    </w:p>
    <w:p>
      <w:pPr>
        <w:spacing w:after="0" w:line="156"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Dutch cooling-off period in face of shareholder activism or hostile take-over.</w:t>
      </w:r>
    </w:p>
    <w:p>
      <w:pPr>
        <w:spacing w:after="0" w:line="219"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2"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of the Amsterdam Court of Appeal, or the Enterprise Chamber (</w:t>
      </w:r>
      <w:r>
        <w:rPr>
          <w:rFonts w:ascii="Arial" w:cs="Arial" w:eastAsia="Arial" w:hAnsi="Arial"/>
          <w:sz w:val="16"/>
          <w:szCs w:val="16"/>
          <w:i w:val="1"/>
          <w:iCs w:val="1"/>
          <w:color w:val="auto"/>
        </w:rPr>
        <w:t>Ondernemingskamer</w:t>
      </w:r>
      <w:r>
        <w:rPr>
          <w:rFonts w:ascii="Arial" w:cs="Arial" w:eastAsia="Arial" w:hAnsi="Arial"/>
          <w:sz w:val="16"/>
          <w:szCs w:val="16"/>
          <w:color w:val="auto"/>
        </w:rPr>
        <w:t>) for early termination of the cooling-off period. The Enterprise Chamber must rule in favor of the request if the shareholders can demonstrate that:</w:t>
      </w:r>
    </w:p>
    <w:p>
      <w:pPr>
        <w:spacing w:after="0" w:line="77" w:lineRule="exact"/>
        <w:rPr>
          <w:sz w:val="20"/>
          <w:szCs w:val="20"/>
          <w:color w:val="auto"/>
        </w:rPr>
      </w:pPr>
    </w:p>
    <w:p>
      <w:pPr>
        <w:ind w:right="140" w:firstLine="466"/>
        <w:spacing w:after="0" w:line="286" w:lineRule="auto"/>
        <w:tabs>
          <w:tab w:leader="none" w:pos="818"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7" w:lineRule="exact"/>
        <w:rPr>
          <w:rFonts w:ascii="Arial" w:cs="Arial" w:eastAsia="Arial" w:hAnsi="Arial"/>
          <w:sz w:val="16"/>
          <w:szCs w:val="16"/>
          <w:color w:val="auto"/>
        </w:rPr>
      </w:pPr>
    </w:p>
    <w:p>
      <w:pPr>
        <w:ind w:left="820" w:hanging="354"/>
        <w:spacing w:after="0"/>
        <w:tabs>
          <w:tab w:leader="none" w:pos="8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13" w:lineRule="exact"/>
        <w:rPr>
          <w:rFonts w:ascii="Arial" w:cs="Arial" w:eastAsia="Arial" w:hAnsi="Arial"/>
          <w:sz w:val="16"/>
          <w:szCs w:val="16"/>
          <w:color w:val="auto"/>
        </w:rPr>
      </w:pPr>
    </w:p>
    <w:p>
      <w:pPr>
        <w:ind w:right="300" w:firstLine="466"/>
        <w:spacing w:after="0" w:line="266" w:lineRule="auto"/>
        <w:tabs>
          <w:tab w:leader="none" w:pos="818" w:val="left"/>
        </w:tabs>
        <w:numPr>
          <w:ilvl w:val="0"/>
          <w:numId w:val="67"/>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3"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b w:val="1"/>
          <w:bCs w:val="1"/>
          <w:i w:val="1"/>
          <w:iCs w:val="1"/>
          <w:color w:val="auto"/>
        </w:rPr>
        <w:t>Shareholders may not be able to exercise preemptive rights and, as a result, may experience substantial dilution upon future issuances of ordinary shares or grants of rights to subscribe for shares.</w:t>
      </w:r>
    </w:p>
    <w:p>
      <w:pPr>
        <w:spacing w:after="0" w:line="14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the event of an issuance of our ordinary shares or a grant of rights to subscribe for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Board is authorized for a period of five years after our conversion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 investors may have difficulty enforcing civil liabilities against our company and directors and/or officers.</w:t>
      </w:r>
    </w:p>
    <w:p>
      <w:pPr>
        <w:spacing w:after="0" w:line="219"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87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civil liability of our officers (functionarissen) (including our directors and executive officers) are governed in certain respects by the laws of the Netherlands.</w:t>
      </w:r>
    </w:p>
    <w:p>
      <w:pPr>
        <w:spacing w:after="0" w:line="221"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78"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Also, service of process against non-residents of the United States can in principle (absent, for example, a valid choice of domicile) not be effected in the United States.</w:t>
      </w:r>
    </w:p>
    <w:p>
      <w:pPr>
        <w:spacing w:after="0" w:line="156"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Furthermore, most of our assets are located outside the United States. On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(behoorlijke rechtspleging), (iii) binding effect of such United States judgment is not contrary to Dutch public order (openbare orde)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86" w:lineRule="exact"/>
        <w:rPr>
          <w:sz w:val="20"/>
          <w:szCs w:val="20"/>
          <w:color w:val="auto"/>
        </w:rPr>
      </w:pPr>
    </w:p>
    <w:p>
      <w:pPr>
        <w:ind w:right="160" w:firstLine="458"/>
        <w:spacing w:after="0" w:line="256" w:lineRule="auto"/>
        <w:rPr>
          <w:sz w:val="20"/>
          <w:szCs w:val="20"/>
          <w:color w:val="auto"/>
        </w:rPr>
      </w:pPr>
      <w:r>
        <w:rPr>
          <w:rFonts w:ascii="Arial" w:cs="Arial" w:eastAsia="Arial" w:hAnsi="Arial"/>
          <w:sz w:val="16"/>
          <w:szCs w:val="16"/>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United States investors may not be able, or experience difficulty, to enforce a judgment obtained in a United States court against us or our officers.</w:t>
      </w:r>
    </w:p>
    <w:p>
      <w:pPr>
        <w:spacing w:after="0" w:line="182" w:lineRule="exact"/>
        <w:rPr>
          <w:sz w:val="20"/>
          <w:szCs w:val="20"/>
          <w:color w:val="auto"/>
        </w:rPr>
      </w:pPr>
    </w:p>
    <w:p>
      <w:pPr>
        <w:jc w:val="both"/>
        <w:ind w:left="460" w:right="140"/>
        <w:spacing w:after="0" w:line="294" w:lineRule="auto"/>
        <w:rPr>
          <w:sz w:val="20"/>
          <w:szCs w:val="20"/>
          <w:color w:val="auto"/>
        </w:rPr>
      </w:pPr>
      <w:r>
        <w:rPr>
          <w:rFonts w:ascii="Arial" w:cs="Arial" w:eastAsia="Arial" w:hAnsi="Arial"/>
          <w:sz w:val="16"/>
          <w:szCs w:val="16"/>
          <w:b w:val="1"/>
          <w:bCs w:val="1"/>
          <w:i w:val="1"/>
          <w:iCs w:val="1"/>
          <w:color w:val="auto"/>
        </w:rPr>
        <w:t>Our articles of association designate specific courts as the exclusive forum for certain litigation that may be initiated by our shareholders, which could limit our shareholders’ ability to obtain a favorable judicial forum for disputes with us or our directors, officers or employees.</w:t>
      </w:r>
    </w:p>
    <w:p>
      <w:pPr>
        <w:spacing w:after="0" w:line="14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Our Articles of Association provide for a federal forum selection provision stating that the sole and exclusive forum for any complaint asserting a cause of action arising under the Securities Act, to the fullest extent permitted by applicable law, shall be the U.S. federal district courts. In principle, our shareholders will be bound by this arrangement, provided, however, that our shareholders cannot and will not be deemed to have waived compliance with U.S. federal securities laws and the rules and regulations thereunder. Our federal forum selection provision may limit a shareholder’s ability to bring a claim in a judicial forum that it finds favorable for disputes with us or our directors, officers or employees, which may discourage the filing of lawsuits against us or our directors, officers or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competent courts of the Netherlands and other courts within the United States, will enforce our federal forum selection provision. If our federal forum selection provision is found to be inapplicable or unenforceable in an action, we may incur additional costs associated with resolving such action in other jurisdictions and/or before other courts, which could adversely affect our results of operations and financial condition. Our federal forum provision may also impose additional litigation costs on our shareholders who assert that the provision is not enforceable or invalid. The competent courts of the Netherlands and the U.S. federal district courts may also reach different judgments or results than would other courts, including courts where a shareholder considering an action may be located or would otherwise choose to bring the action, and such judgments may be more or less favourable to us than our shareholders.</w:t>
      </w:r>
    </w:p>
    <w:p>
      <w:pPr>
        <w:spacing w:after="0" w:line="192"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 investors</w:t>
      </w:r>
    </w:p>
    <w:p>
      <w:pPr>
        <w:spacing w:after="0" w:line="141"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and our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t>88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assets and activities, we do not believe we were a PFIC in 2024 and we do not expect to be a PFIC for our current taxable year or in the foreseeable future. In addition, we may, directly or indirectly, hold equity interests in other PFICs. Whether we or any of our subsidiaries will be a PFIC in 2025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2025 or any future taxable year.</w:t>
      </w:r>
    </w:p>
    <w:p>
      <w:pPr>
        <w:spacing w:after="0" w:line="398"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85"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Dutch and European insolvency laws are substantially different from U.S. insolvency laws and may offer our shareholders less protection than they would have under U.S. insolvency laws.</w:t>
      </w:r>
    </w:p>
    <w:p>
      <w:pPr>
        <w:spacing w:after="0" w:line="14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We are subject to Dutch insolvency laws in the event any insolvency proceedings are initiated against us, including, among other laws and regulations, Regulation (EU) 2015/848 of the European Parliament and of the Council of May 20, 2015 on insolvency proceedings. Should a court in another Member State of the European Union determine that our center of main interests, or COMI, is situated in that Member State, the courts in that Member State will in principle have jurisdiction over the insolvency proceedings initiated against us and the insolvency laws of that Member State will in principle apply to us, in accordance with and subject to such the aforementioned Regulation and the rules promulgated thereunder. Insolvency laws in the Netherlands or the relevant other Member State of the European Union, as applicable, may offer our shareholders less protection than they would have under U.S. insolvency laws and make it more difficult for our shareholders to recover the amount they could expect to recover in a liquidation under U.S. insolvency laws.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contractors or consultants, may fail or suffer security breaches.</w:t>
      </w:r>
    </w:p>
    <w:p>
      <w:pPr>
        <w:spacing w:after="0" w:line="219"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or those of our contractors or consultants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 (e.g.,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89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We may engage in strategic transactions that could impact our liquidity, increase our expenses and present significant distractions to our management.</w:t>
      </w:r>
    </w:p>
    <w:p>
      <w:pPr>
        <w:spacing w:after="0" w:line="141" w:lineRule="exact"/>
        <w:rPr>
          <w:sz w:val="20"/>
          <w:szCs w:val="20"/>
          <w:color w:val="auto"/>
        </w:rPr>
      </w:pPr>
    </w:p>
    <w:p>
      <w:pPr>
        <w:ind w:right="140" w:firstLine="458"/>
        <w:spacing w:after="0" w:line="250" w:lineRule="auto"/>
        <w:rPr>
          <w:sz w:val="20"/>
          <w:szCs w:val="20"/>
          <w:color w:val="auto"/>
        </w:rPr>
      </w:pPr>
      <w:r>
        <w:rPr>
          <w:rFonts w:ascii="Arial" w:cs="Arial" w:eastAsia="Arial" w:hAnsi="Arial"/>
          <w:sz w:val="16"/>
          <w:szCs w:val="16"/>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91" w:lineRule="exact"/>
        <w:rPr>
          <w:sz w:val="20"/>
          <w:szCs w:val="20"/>
          <w:color w:val="auto"/>
        </w:rPr>
      </w:pPr>
    </w:p>
    <w:p>
      <w:pPr>
        <w:ind w:left="460" w:right="400"/>
        <w:spacing w:after="0" w:line="294" w:lineRule="auto"/>
        <w:rPr>
          <w:sz w:val="20"/>
          <w:szCs w:val="20"/>
          <w:color w:val="auto"/>
        </w:rPr>
      </w:pPr>
      <w:r>
        <w:rPr>
          <w:rFonts w:ascii="Arial" w:cs="Arial" w:eastAsia="Arial" w:hAnsi="Arial"/>
          <w:sz w:val="16"/>
          <w:szCs w:val="16"/>
          <w:b w:val="1"/>
          <w:bCs w:val="1"/>
          <w:i w:val="1"/>
          <w:iCs w:val="1"/>
          <w:color w:val="auto"/>
        </w:rPr>
        <w:t>The trading price of our ordinary shares has been, and may in the future be, highly volatile, which could result in substantial losses for holders of our ordinary shares.</w:t>
      </w:r>
    </w:p>
    <w:p>
      <w:pPr>
        <w:spacing w:after="0" w:line="141" w:lineRule="exact"/>
        <w:rPr>
          <w:sz w:val="20"/>
          <w:szCs w:val="20"/>
          <w:color w:val="auto"/>
        </w:rPr>
      </w:pPr>
    </w:p>
    <w:p>
      <w:pPr>
        <w:ind w:right="260" w:firstLine="458"/>
        <w:spacing w:after="0" w:line="259" w:lineRule="auto"/>
        <w:rPr>
          <w:sz w:val="20"/>
          <w:szCs w:val="20"/>
          <w:color w:val="auto"/>
        </w:rPr>
      </w:pPr>
      <w:r>
        <w:rPr>
          <w:rFonts w:ascii="Arial" w:cs="Arial" w:eastAsia="Arial" w:hAnsi="Arial"/>
          <w:sz w:val="16"/>
          <w:szCs w:val="16"/>
          <w:color w:val="auto"/>
        </w:rPr>
        <w:t>Our share price has been highly volatile. In addition,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70" w:lineRule="exact"/>
        <w:rPr>
          <w:sz w:val="20"/>
          <w:szCs w:val="20"/>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results and timing of clinical trials of our and our competitors’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any of our product candidates, if approved, to achieve commercial success;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products or new products that may emerge;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issues in manufacturing our product candidates or future approved products;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public concern relating to the commercial value or safety of any of our product candidates;</w:t>
      </w:r>
    </w:p>
    <w:p>
      <w:pPr>
        <w:spacing w:after="0" w:line="125" w:lineRule="exact"/>
        <w:rPr>
          <w:rFonts w:ascii="Times New Roman" w:cs="Times New Roman" w:eastAsia="Times New Roman" w:hAnsi="Times New Roman"/>
          <w:sz w:val="16"/>
          <w:szCs w:val="16"/>
          <w:color w:val="auto"/>
        </w:rPr>
      </w:pPr>
    </w:p>
    <w:p>
      <w:pPr>
        <w:ind w:left="900" w:right="300" w:hanging="428"/>
        <w:spacing w:after="0" w:line="285"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proprietary rights, including patents, litigation matters, and our ability to obtain intellectual property protection for our technologies;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adequately protect our trade secrets;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and departures of key personnel;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or the terms on which we raise it;</w:t>
      </w:r>
    </w:p>
    <w:p>
      <w:pPr>
        <w:spacing w:after="0" w:line="125" w:lineRule="exact"/>
        <w:rPr>
          <w:rFonts w:ascii="Times New Roman" w:cs="Times New Roman" w:eastAsia="Times New Roman" w:hAnsi="Times New Roman"/>
          <w:sz w:val="16"/>
          <w:szCs w:val="16"/>
          <w:color w:val="auto"/>
        </w:rPr>
      </w:pPr>
    </w:p>
    <w:p>
      <w:pPr>
        <w:ind w:left="900" w:right="700" w:hanging="428"/>
        <w:spacing w:after="0" w:line="285"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period-to-period fluctuations in our financial condition and results of operations, including the timing of receipt of any milestone or other payments under commercialization or licensing agreements;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public health crises, illnesses, epidemics or pandemics;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market conditions for biopharmaceutical stocks;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general market and economic conditions;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other risk factors discussed in this section.</w:t>
      </w:r>
    </w:p>
    <w:p>
      <w:pPr>
        <w:spacing w:after="0" w:line="234"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the stock market in general has experienced substantial price and volume fluctuations that have often been unrelated to or disproportionate to the operating performance of particular companies affected. These broad market and industry factors may materially harm the market price of our ordinary shares, regardless of our operating performance.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4"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14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90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3"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qualified board members.</w:t>
      </w:r>
    </w:p>
    <w:p>
      <w:pPr>
        <w:spacing w:after="0" w:line="141"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any rules promulgated thereunder, as well as the rules of Nasdaq. The requirements of these rules and regulations increase our legal and financial compliance costs, make some activities more difficult, time-consuming or costly and increase demand on our systems and resources. We will also expect to incur significantly higher legal, accounting and other expenses if we cease to qualify as a foreign private issuer.</w:t>
      </w:r>
    </w:p>
    <w:p>
      <w:pPr>
        <w:spacing w:after="0" w:line="178"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are required. We may need to hire additional accounting, finance and other personnel in connection with our continued efforts to comply with these requirements, and our management and other personnel will continue to devote a substantial amount of time towards maintaining compliance with these requirements. These rules and regulations can also make it more difficult for us to attract and retain qualified independent members of our board of directors. Additionally, these rules and regulations make it more difficult and more expensive for us to obtain director and officer liability insurance. We may be required to accept reduced coverage or incur substantially higher costs to obtain coverage. The increased costs of compliance with public company reporting requirements and our potential failure to satisfy these requirements can have a material adverse effect on our operations, business, financial condition or results of operations.</w:t>
      </w:r>
    </w:p>
    <w:p>
      <w:pPr>
        <w:spacing w:after="0" w:line="187" w:lineRule="exact"/>
        <w:rPr>
          <w:sz w:val="20"/>
          <w:szCs w:val="20"/>
          <w:color w:val="auto"/>
        </w:rPr>
      </w:pPr>
    </w:p>
    <w:p>
      <w:pPr>
        <w:ind w:left="460" w:right="80"/>
        <w:spacing w:after="0" w:line="270"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160"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19"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7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4. Controls and Procedures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4.1 Risk management and control systems</w:t>
      </w:r>
    </w:p>
    <w:p>
      <w:pPr>
        <w:spacing w:after="0" w:line="113" w:lineRule="exact"/>
        <w:rPr>
          <w:sz w:val="20"/>
          <w:szCs w:val="20"/>
          <w:color w:val="auto"/>
        </w:rPr>
      </w:pPr>
    </w:p>
    <w:p>
      <w:pPr>
        <w:jc w:val="both"/>
        <w:ind w:right="440" w:firstLine="749"/>
        <w:spacing w:after="0" w:line="259" w:lineRule="auto"/>
        <w:rPr>
          <w:sz w:val="20"/>
          <w:szCs w:val="20"/>
          <w:color w:val="auto"/>
        </w:rPr>
      </w:pPr>
      <w:r>
        <w:rPr>
          <w:rFonts w:ascii="Arial" w:cs="Arial" w:eastAsia="Arial" w:hAnsi="Arial"/>
          <w:sz w:val="16"/>
          <w:szCs w:val="16"/>
          <w:color w:val="auto"/>
        </w:rPr>
        <w:t>As of December 31, 2024 our management, including our Chief Executive Officer and Chief Financial Officer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70" w:lineRule="exact"/>
        <w:rPr>
          <w:sz w:val="20"/>
          <w:szCs w:val="20"/>
          <w:color w:val="auto"/>
        </w:rPr>
      </w:pPr>
    </w:p>
    <w:p>
      <w:pPr>
        <w:ind w:right="320" w:firstLine="749"/>
        <w:spacing w:after="0" w:line="286" w:lineRule="auto"/>
        <w:rPr>
          <w:sz w:val="20"/>
          <w:szCs w:val="20"/>
          <w:color w:val="auto"/>
        </w:rPr>
      </w:pPr>
      <w:r>
        <w:rPr>
          <w:rFonts w:ascii="Arial" w:cs="Arial" w:eastAsia="Arial" w:hAnsi="Arial"/>
          <w:sz w:val="16"/>
          <w:szCs w:val="16"/>
          <w:color w:val="auto"/>
        </w:rPr>
        <w:t>Based on such evaluation, our Chief Executive Officer and Chief Financial Officer concluded that our disclosure controls and procedures were effective as of December 31, 2024.</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13" w:lineRule="exact"/>
        <w:rPr>
          <w:sz w:val="20"/>
          <w:szCs w:val="20"/>
          <w:color w:val="auto"/>
        </w:rPr>
      </w:pPr>
    </w:p>
    <w:p>
      <w:pPr>
        <w:ind w:right="100" w:firstLine="749"/>
        <w:spacing w:after="0" w:line="252" w:lineRule="auto"/>
        <w:rPr>
          <w:sz w:val="20"/>
          <w:szCs w:val="20"/>
          <w:color w:val="auto"/>
        </w:rPr>
      </w:pPr>
      <w:r>
        <w:rPr>
          <w:rFonts w:ascii="Arial" w:cs="Arial" w:eastAsia="Arial" w:hAnsi="Arial"/>
          <w:sz w:val="16"/>
          <w:szCs w:val="16"/>
          <w:color w:val="auto"/>
        </w:rPr>
        <w:t>Our management is responsible for establishing and maintaining adequate internal control over our financial reporting, as defined in Rule 13a-15(f) under the Exchange Act. Internal control over financial reporting is a process designed to provide reasonable assurance regarding the reliability of our financial reporting and the preparation of our financial statements for external purposes in accordance with IFRS Accounting Standards (IFRS) as issued by International Accounting Standards Board. Internal control over financial reporting includes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receipts and expenditures are being made only in accordance with authorizations of our management and directors; and (iii) provide reasonable assurance regarding prevention or timely detection of</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91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unauthorized acquisition, use, or disposition of our assets that could have a material effect on our financial statements. Our management conducted an assessment of the effectiveness of our internal control over financial reporting based on the criteria set forth in Internal Control - Integrated Framework (2013) issued by the Committee of Sponsoring Organizations of the Treadway Commission (‘’COSO’’). Based on this assessment, our management concluded that, as of December 31, 2024, our internal control over financial reporting was effective.</w:t>
      </w:r>
    </w:p>
    <w:p>
      <w:pPr>
        <w:spacing w:after="0" w:line="28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ind w:right="100" w:firstLine="749"/>
        <w:spacing w:after="0" w:line="266" w:lineRule="auto"/>
        <w:rPr>
          <w:sz w:val="20"/>
          <w:szCs w:val="20"/>
          <w:color w:val="auto"/>
        </w:rPr>
      </w:pPr>
      <w:r>
        <w:rPr>
          <w:rFonts w:ascii="Arial" w:cs="Arial" w:eastAsia="Arial" w:hAnsi="Arial"/>
          <w:sz w:val="16"/>
          <w:szCs w:val="16"/>
          <w:color w:val="auto"/>
        </w:rPr>
        <w:t>As previously disclosed,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63" w:lineRule="exact"/>
        <w:rPr>
          <w:sz w:val="20"/>
          <w:szCs w:val="20"/>
          <w:color w:val="auto"/>
        </w:rPr>
      </w:pPr>
    </w:p>
    <w:p>
      <w:pPr>
        <w:ind w:left="1780" w:right="220" w:hanging="515"/>
        <w:spacing w:after="0" w:line="266" w:lineRule="auto"/>
        <w:tabs>
          <w:tab w:leader="none" w:pos="17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62" w:lineRule="exact"/>
        <w:rPr>
          <w:rFonts w:ascii="Times New Roman" w:cs="Times New Roman" w:eastAsia="Times New Roman" w:hAnsi="Times New Roman"/>
          <w:sz w:val="16"/>
          <w:szCs w:val="16"/>
          <w:color w:val="auto"/>
        </w:rPr>
      </w:pPr>
    </w:p>
    <w:p>
      <w:pPr>
        <w:ind w:left="1780" w:right="160" w:hanging="515"/>
        <w:spacing w:after="0" w:line="256" w:lineRule="auto"/>
        <w:tabs>
          <w:tab w:leader="none" w:pos="17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(iii) design and maintain controls over the preparation and review of journal entries and financial statements, including maintaining appropriate segregation of duties.</w:t>
      </w:r>
    </w:p>
    <w:p>
      <w:pPr>
        <w:spacing w:after="0" w:line="260" w:lineRule="exact"/>
        <w:rPr>
          <w:sz w:val="20"/>
          <w:szCs w:val="20"/>
          <w:color w:val="auto"/>
        </w:rPr>
      </w:pPr>
    </w:p>
    <w:p>
      <w:pPr>
        <w:ind w:right="100" w:firstLine="749"/>
        <w:spacing w:after="0" w:line="254" w:lineRule="auto"/>
        <w:rPr>
          <w:sz w:val="20"/>
          <w:szCs w:val="20"/>
          <w:color w:val="auto"/>
        </w:rPr>
      </w:pPr>
      <w:r>
        <w:rPr>
          <w:rFonts w:ascii="Arial" w:cs="Arial" w:eastAsia="Arial" w:hAnsi="Arial"/>
          <w:sz w:val="16"/>
          <w:szCs w:val="16"/>
          <w:color w:val="auto"/>
        </w:rPr>
        <w:t>Further, we did not design and maintain effective controls over certain information technology (“IT”) general controls for information systems that are relevant to the preparation of its consolidated financial statements. Specifically, we did not design and maintain (a) program change management controls to ensure that IT program and data changes affecting financial IT applications and underlying accounting records are identified, tested, authorized and implemented appropriately, (b) user access controls to ensure appropriate segregation of duties and that adequately restrict user and privileged access to its financial applications and data to appropriate company personnel and (c) testing and approval controls for program development to ensure that new software development is aligned with business and IT requirements.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During the fiscal year ended December 31, 2024, we implemented our material weakness remediation plan that included among others:</w:t>
      </w:r>
    </w:p>
    <w:p>
      <w:pPr>
        <w:spacing w:after="0" w:line="113" w:lineRule="exact"/>
        <w:rPr>
          <w:sz w:val="20"/>
          <w:szCs w:val="20"/>
          <w:color w:val="auto"/>
        </w:rPr>
      </w:pPr>
    </w:p>
    <w:p>
      <w:pPr>
        <w:ind w:left="1780" w:hanging="515"/>
        <w:spacing w:after="0"/>
        <w:tabs>
          <w:tab w:leader="none" w:pos="17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Improving the composition and expertise of accounting and financial reporting personnel;</w:t>
      </w:r>
    </w:p>
    <w:p>
      <w:pPr>
        <w:spacing w:after="0" w:line="125" w:lineRule="exact"/>
        <w:rPr>
          <w:rFonts w:ascii="Times New Roman" w:cs="Times New Roman" w:eastAsia="Times New Roman" w:hAnsi="Times New Roman"/>
          <w:sz w:val="16"/>
          <w:szCs w:val="16"/>
          <w:color w:val="auto"/>
        </w:rPr>
      </w:pPr>
    </w:p>
    <w:p>
      <w:pPr>
        <w:ind w:left="1780" w:hanging="515"/>
        <w:spacing w:after="0"/>
        <w:tabs>
          <w:tab w:leader="none" w:pos="17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Further development, formalization and implementation of risk assessment procedures throughout the organization;</w:t>
      </w:r>
    </w:p>
    <w:p>
      <w:pPr>
        <w:spacing w:after="0" w:line="125" w:lineRule="exact"/>
        <w:rPr>
          <w:rFonts w:ascii="Times New Roman" w:cs="Times New Roman" w:eastAsia="Times New Roman" w:hAnsi="Times New Roman"/>
          <w:sz w:val="16"/>
          <w:szCs w:val="16"/>
          <w:color w:val="auto"/>
        </w:rPr>
      </w:pPr>
    </w:p>
    <w:p>
      <w:pPr>
        <w:ind w:left="1780" w:right="300" w:hanging="515"/>
        <w:spacing w:after="0" w:line="266" w:lineRule="auto"/>
        <w:tabs>
          <w:tab w:leader="none" w:pos="17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Implementing a new accounting system, improving the IT general control environment (including program change management controls, user access controls and testing and approval controls for program development), increasing the number of application controls and reducing the manual nature of execution of key controls throughout significant business processes;</w:t>
      </w:r>
    </w:p>
    <w:p>
      <w:pPr>
        <w:spacing w:after="0" w:line="62" w:lineRule="exact"/>
        <w:rPr>
          <w:rFonts w:ascii="Times New Roman" w:cs="Times New Roman" w:eastAsia="Times New Roman" w:hAnsi="Times New Roman"/>
          <w:sz w:val="16"/>
          <w:szCs w:val="16"/>
          <w:color w:val="auto"/>
        </w:rPr>
      </w:pPr>
    </w:p>
    <w:p>
      <w:pPr>
        <w:ind w:left="1780" w:right="260" w:hanging="515"/>
        <w:spacing w:after="0" w:line="260" w:lineRule="auto"/>
        <w:tabs>
          <w:tab w:leader="none" w:pos="17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Further development and documentation of scoping our key processes and design of controls in our risk and control frameworks, covering all COSO components and strengthening the controls around analyzing, recording and disclosing complex accounting matters (</w:t>
      </w:r>
      <w:r>
        <w:rPr>
          <w:rFonts w:ascii="Arial" w:cs="Arial" w:eastAsia="Arial" w:hAnsi="Arial"/>
          <w:sz w:val="17"/>
          <w:szCs w:val="17"/>
          <w:color w:val="auto"/>
        </w:rPr>
        <w:t>including share-based compensation arrangements and other non-routine transactions)</w:t>
      </w:r>
      <w:r>
        <w:rPr>
          <w:rFonts w:ascii="Arial" w:cs="Arial" w:eastAsia="Arial" w:hAnsi="Arial"/>
          <w:sz w:val="16"/>
          <w:szCs w:val="16"/>
          <w:color w:val="auto"/>
        </w:rPr>
        <w:t>, manual journal entry review and financial statements review;</w:t>
      </w:r>
    </w:p>
    <w:p>
      <w:pPr>
        <w:spacing w:after="0" w:line="67" w:lineRule="exact"/>
        <w:rPr>
          <w:rFonts w:ascii="Times New Roman" w:cs="Times New Roman" w:eastAsia="Times New Roman" w:hAnsi="Times New Roman"/>
          <w:sz w:val="16"/>
          <w:szCs w:val="16"/>
          <w:color w:val="auto"/>
        </w:rPr>
      </w:pPr>
    </w:p>
    <w:p>
      <w:pPr>
        <w:ind w:left="1780" w:right="420" w:hanging="515"/>
        <w:spacing w:after="0" w:line="285" w:lineRule="auto"/>
        <w:tabs>
          <w:tab w:leader="none" w:pos="17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Strengthening design and documentation of formal accounting policies and control activities, including sufficient segregation of duties, roles and responsibilities, review and approval procedures;</w:t>
      </w:r>
    </w:p>
    <w:p>
      <w:pPr>
        <w:spacing w:after="0" w:line="48" w:lineRule="exact"/>
        <w:rPr>
          <w:rFonts w:ascii="Times New Roman" w:cs="Times New Roman" w:eastAsia="Times New Roman" w:hAnsi="Times New Roman"/>
          <w:sz w:val="16"/>
          <w:szCs w:val="16"/>
          <w:color w:val="auto"/>
        </w:rPr>
      </w:pPr>
    </w:p>
    <w:p>
      <w:pPr>
        <w:ind w:left="1780" w:right="520" w:hanging="515"/>
        <w:spacing w:after="0" w:line="285" w:lineRule="auto"/>
        <w:tabs>
          <w:tab w:leader="none" w:pos="17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Development and implementation of our risk and control framework for IT general controls ensuring key IT risks are mitigated through controls;</w:t>
      </w:r>
    </w:p>
    <w:p>
      <w:pPr>
        <w:spacing w:after="0" w:line="48" w:lineRule="exact"/>
        <w:rPr>
          <w:rFonts w:ascii="Times New Roman" w:cs="Times New Roman" w:eastAsia="Times New Roman" w:hAnsi="Times New Roman"/>
          <w:sz w:val="16"/>
          <w:szCs w:val="16"/>
          <w:color w:val="auto"/>
        </w:rPr>
      </w:pPr>
    </w:p>
    <w:p>
      <w:pPr>
        <w:ind w:left="1780" w:right="440" w:hanging="515"/>
        <w:spacing w:after="0" w:line="285" w:lineRule="auto"/>
        <w:tabs>
          <w:tab w:leader="none" w:pos="17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Organizing a series of ongoing trainings and workshops to further educate our personnel, including personnel from the finance department and personnel responsible for performing and reviewing key controls, on key aspects of SOX;</w:t>
      </w:r>
    </w:p>
    <w:p>
      <w:pPr>
        <w:spacing w:after="0" w:line="48" w:lineRule="exact"/>
        <w:rPr>
          <w:rFonts w:ascii="Times New Roman" w:cs="Times New Roman" w:eastAsia="Times New Roman" w:hAnsi="Times New Roman"/>
          <w:sz w:val="16"/>
          <w:szCs w:val="16"/>
          <w:color w:val="auto"/>
        </w:rPr>
      </w:pPr>
    </w:p>
    <w:p>
      <w:pPr>
        <w:ind w:left="1780" w:right="420" w:hanging="515"/>
        <w:spacing w:after="0" w:line="285" w:lineRule="auto"/>
        <w:tabs>
          <w:tab w:leader="none" w:pos="17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Implementing a formal SOX testing program, based on which our Management determined effectiveness of the internal control framework per year end.</w:t>
      </w:r>
    </w:p>
    <w:p>
      <w:pPr>
        <w:spacing w:after="0" w:line="156"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The enhanced activities noted above have operated for a sufficient period of time in order for our management to conclude, through testing of the design and operational effectiveness of our controls, that the material weaknesses have been remediated as of December 31, 2024.</w:t>
      </w:r>
    </w:p>
    <w:p>
      <w:pPr>
        <w:spacing w:after="0" w:line="156" w:lineRule="exact"/>
        <w:rPr>
          <w:sz w:val="20"/>
          <w:szCs w:val="20"/>
          <w:color w:val="auto"/>
        </w:rPr>
      </w:pPr>
    </w:p>
    <w:p>
      <w:pPr>
        <w:ind w:right="240" w:firstLine="749"/>
        <w:spacing w:after="0" w:line="266" w:lineRule="auto"/>
        <w:rPr>
          <w:sz w:val="20"/>
          <w:szCs w:val="20"/>
          <w:color w:val="auto"/>
        </w:rPr>
      </w:pPr>
      <w:r>
        <w:rPr>
          <w:rFonts w:ascii="Arial" w:cs="Arial" w:eastAsia="Arial" w:hAnsi="Arial"/>
          <w:sz w:val="16"/>
          <w:szCs w:val="16"/>
          <w:color w:val="auto"/>
        </w:rPr>
        <w:t>Except for the changes related to the remediation of the previously identified material weaknesses noted above, there were no changes in our internal control over financial reporting identified in management’s evaluation pursuant to Rules 13a-15(d) or 15d-15(d) of the Exchange Act that occurred during the year ended December 31, 2024 that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92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4.2 In control statement</w:t>
      </w:r>
    </w:p>
    <w:p>
      <w:pPr>
        <w:spacing w:after="0" w:line="221" w:lineRule="exact"/>
        <w:rPr>
          <w:sz w:val="20"/>
          <w:szCs w:val="20"/>
          <w:color w:val="auto"/>
        </w:rPr>
      </w:pPr>
    </w:p>
    <w:p>
      <w:pPr>
        <w:ind w:left="160" w:right="160" w:firstLine="458"/>
        <w:spacing w:after="0" w:line="286" w:lineRule="auto"/>
        <w:rPr>
          <w:sz w:val="20"/>
          <w:szCs w:val="20"/>
          <w:color w:val="auto"/>
        </w:rPr>
      </w:pPr>
      <w:r>
        <w:rPr>
          <w:rFonts w:ascii="Arial" w:cs="Arial" w:eastAsia="Arial" w:hAnsi="Arial"/>
          <w:sz w:val="16"/>
          <w:szCs w:val="16"/>
          <w:color w:val="auto"/>
        </w:rPr>
        <w:t>On the basis of reports and information provided to the Board and its committees, the Board is of the opinion that our internal control over financial reporting was effective as of December 31, 2024.</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the basis of reports and information provided to the Board and its committees, the Board is of the opinion that:</w:t>
      </w:r>
    </w:p>
    <w:p>
      <w:pPr>
        <w:spacing w:after="0" w:line="113"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this report provides sufficient insight into any failings in the effectiveness of the Company's risk management and control systems;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risk management and control systems provide reasonable assurance that the Company's financial reporting does not contain material inaccuracies;</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based on the Company's state of affairs as at the date of this report, it is justified that the Company's financial reporting is prepared on a going concern basis; and</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this report states those material risks and uncertainties that are relevant to the expectation of the Company's continuity for a period of twelve months after the date of this report.</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Board determined that due to the limited size and complexity of the Company no internal audit department had to be established in 2024.</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Furthermore, the Board confirms that:</w:t>
      </w:r>
    </w:p>
    <w:p>
      <w:pPr>
        <w:spacing w:after="0" w:line="113" w:lineRule="exact"/>
        <w:rPr>
          <w:sz w:val="20"/>
          <w:szCs w:val="20"/>
          <w:color w:val="auto"/>
        </w:rPr>
      </w:pPr>
    </w:p>
    <w:p>
      <w:pPr>
        <w:ind w:left="1020" w:hanging="503"/>
        <w:spacing w:after="0" w:line="286" w:lineRule="auto"/>
        <w:tabs>
          <w:tab w:leader="none" w:pos="10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to the best of its knowledge, the statutory annual accounts included in this report give a true and fair view of the assets, liabilities, financial position and profit or loss of the Company and its consolidated subsidiaries taken as a whole; and</w:t>
      </w:r>
    </w:p>
    <w:p>
      <w:pPr>
        <w:spacing w:after="0" w:line="47"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this report includes a fair review concerning the position, on the balance sheet date, and the development and performance of the business of the Company and its consolidated subsidiaries taken as a whole, together with a description of the principal risks and uncertainties that they face.</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80" w:hanging="172"/>
        <w:spacing w:after="0"/>
        <w:tabs>
          <w:tab w:leader="none" w:pos="18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Governance</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5.1 Dutch Corporate Governance Code</w:t>
      </w:r>
    </w:p>
    <w:p>
      <w:pPr>
        <w:spacing w:after="0" w:line="194" w:lineRule="exact"/>
        <w:rPr>
          <w:sz w:val="20"/>
          <w:szCs w:val="20"/>
          <w:color w:val="auto"/>
        </w:rPr>
      </w:pPr>
    </w:p>
    <w:p>
      <w:pPr>
        <w:ind w:left="160" w:right="20" w:firstLine="299"/>
        <w:spacing w:after="0" w:line="286" w:lineRule="auto"/>
        <w:rPr>
          <w:sz w:val="20"/>
          <w:szCs w:val="20"/>
          <w:color w:val="auto"/>
        </w:rPr>
      </w:pPr>
      <w:r>
        <w:rPr>
          <w:rFonts w:ascii="Arial" w:cs="Arial" w:eastAsia="Arial" w:hAnsi="Arial"/>
          <w:sz w:val="16"/>
          <w:szCs w:val="16"/>
          <w:color w:val="auto"/>
        </w:rPr>
        <w:t>For the fiscal year to which this report relates, the Dutch Corporate Governance Code 2022 (the "</w:t>
      </w:r>
      <w:r>
        <w:rPr>
          <w:rFonts w:ascii="Arial" w:cs="Arial" w:eastAsia="Arial" w:hAnsi="Arial"/>
          <w:sz w:val="16"/>
          <w:szCs w:val="16"/>
          <w:b w:val="1"/>
          <w:bCs w:val="1"/>
          <w:color w:val="auto"/>
        </w:rPr>
        <w:t>DCGC</w:t>
      </w:r>
      <w:r>
        <w:rPr>
          <w:rFonts w:ascii="Arial" w:cs="Arial" w:eastAsia="Arial" w:hAnsi="Arial"/>
          <w:sz w:val="16"/>
          <w:szCs w:val="16"/>
          <w:color w:val="auto"/>
        </w:rPr>
        <w:t>") applied to the Company. The text of the DCGC can be accessed at http://www.mccg.nl.</w:t>
      </w:r>
    </w:p>
    <w:p>
      <w:pPr>
        <w:spacing w:after="0" w:line="129" w:lineRule="exact"/>
        <w:rPr>
          <w:sz w:val="20"/>
          <w:szCs w:val="20"/>
          <w:color w:val="auto"/>
        </w:rPr>
      </w:pPr>
    </w:p>
    <w:p>
      <w:pPr>
        <w:ind w:left="160" w:firstLine="299"/>
        <w:spacing w:after="0" w:line="286" w:lineRule="auto"/>
        <w:rPr>
          <w:sz w:val="20"/>
          <w:szCs w:val="20"/>
          <w:color w:val="auto"/>
        </w:rPr>
      </w:pPr>
      <w:r>
        <w:rPr>
          <w:rFonts w:ascii="Arial" w:cs="Arial" w:eastAsia="Arial" w:hAnsi="Arial"/>
          <w:sz w:val="16"/>
          <w:szCs w:val="16"/>
          <w:color w:val="auto"/>
        </w:rPr>
        <w:t>Except as set out below, during the fiscal year to which this report relates, the Company complied with the principles and best practice provisions of the DCGC, to the extent that these are directed at the Board.</w:t>
      </w:r>
    </w:p>
    <w:p>
      <w:pPr>
        <w:spacing w:after="0" w:line="237" w:lineRule="exact"/>
        <w:rPr>
          <w:sz w:val="20"/>
          <w:szCs w:val="20"/>
          <w:color w:val="auto"/>
        </w:rPr>
      </w:pPr>
    </w:p>
    <w:p>
      <w:pPr>
        <w:jc w:val="both"/>
        <w:ind w:left="1020" w:hanging="503"/>
        <w:spacing w:after="0" w:line="253" w:lineRule="auto"/>
        <w:tabs>
          <w:tab w:leader="none" w:pos="102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Under the Company's articles of association, directors are to be appointed on the basis of a binding nomination prepared by the Board. This means that the nominee will be appointed to the Board, unless the general meeting of the Company (the "General Meeting") overrules the binding nature of the nomination (in which case a new nomination will be prepared for a subsequent General Meeting). The Company's articles of association provide that the General Meeting can only pass such resolution by at least a two-thirds majority of the votes cast, provided such majority represents more than half of the issued share capital. However, the DCGC recommends that the General Meeting should be capable of passing such a resolution by a simple majority of votes cast, representing no more than one-third of the issued share capital.</w:t>
      </w:r>
    </w:p>
    <w:p>
      <w:pPr>
        <w:spacing w:after="0" w:line="266" w:lineRule="exact"/>
        <w:rPr>
          <w:rFonts w:ascii="Times New Roman" w:cs="Times New Roman" w:eastAsia="Times New Roman" w:hAnsi="Times New Roman"/>
          <w:sz w:val="16"/>
          <w:szCs w:val="16"/>
          <w:color w:val="auto"/>
        </w:rPr>
      </w:pPr>
    </w:p>
    <w:p>
      <w:pPr>
        <w:jc w:val="both"/>
        <w:ind w:left="1020" w:hanging="503"/>
        <w:spacing w:after="0" w:line="259" w:lineRule="auto"/>
        <w:tabs>
          <w:tab w:leader="none" w:pos="102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Under the Company's articles of association, directors can only be dismissed by the General Meeting by simple majority of votes cast,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69"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against providing equity awards as part of the compensation of a non-executive director. However, we deviate from this recommendation and grant equity awards to our non-executive directors, consistent with U.S. market practice.</w:t>
      </w:r>
    </w:p>
    <w:p>
      <w:pPr>
        <w:spacing w:after="0" w:line="48" w:lineRule="exact"/>
        <w:rPr>
          <w:rFonts w:ascii="Times New Roman" w:cs="Times New Roman" w:eastAsia="Times New Roman" w:hAnsi="Times New Roman"/>
          <w:sz w:val="16"/>
          <w:szCs w:val="16"/>
          <w:color w:val="auto"/>
        </w:rPr>
      </w:pPr>
    </w:p>
    <w:p>
      <w:pPr>
        <w:jc w:val="both"/>
        <w:ind w:left="1020" w:hanging="503"/>
        <w:spacing w:after="0" w:line="259" w:lineRule="auto"/>
        <w:tabs>
          <w:tab w:leader="none" w:pos="102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Pharvaris N.V. 2021 Equity Incentive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93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jc w:val="both"/>
        <w:ind w:left="1020" w:hanging="503"/>
        <w:spacing w:after="0" w:line="266" w:lineRule="auto"/>
        <w:tabs>
          <w:tab w:leader="none" w:pos="102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Board appoints a separate department for the internal audit function. However, the Company did not have any such department in place in 2024. Instead, adequate alternative measures have been taken and the Company has improved on robust internal controls to safeguard our operations and financial reporting. These measures include:</w:t>
      </w:r>
    </w:p>
    <w:p>
      <w:pPr>
        <w:spacing w:after="0" w:line="62" w:lineRule="exact"/>
        <w:rPr>
          <w:rFonts w:ascii="Times New Roman" w:cs="Times New Roman" w:eastAsia="Times New Roman" w:hAnsi="Times New Roman"/>
          <w:sz w:val="16"/>
          <w:szCs w:val="16"/>
          <w:color w:val="auto"/>
        </w:rPr>
      </w:pPr>
    </w:p>
    <w:p>
      <w:pPr>
        <w:ind w:left="2040" w:right="100" w:hanging="505"/>
        <w:spacing w:after="0" w:line="285" w:lineRule="auto"/>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Segregation of Duties: We have clearly defined roles and responsibilities to prevent any single individual from having excessive control over critical processes.</w:t>
      </w:r>
    </w:p>
    <w:p>
      <w:pPr>
        <w:spacing w:after="0" w:line="48" w:lineRule="exact"/>
        <w:rPr>
          <w:rFonts w:ascii="Times New Roman" w:cs="Times New Roman" w:eastAsia="Times New Roman" w:hAnsi="Times New Roman"/>
          <w:sz w:val="16"/>
          <w:szCs w:val="16"/>
          <w:color w:val="auto"/>
        </w:rPr>
      </w:pPr>
    </w:p>
    <w:p>
      <w:pPr>
        <w:ind w:left="2040" w:right="220" w:hanging="505"/>
        <w:spacing w:after="0" w:line="285" w:lineRule="auto"/>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Regular Performance Reviews: All employees undergo periodic performance evaluations to ensure adherence to policies and procedures.</w:t>
      </w:r>
    </w:p>
    <w:p>
      <w:pPr>
        <w:spacing w:after="0" w:line="48" w:lineRule="exact"/>
        <w:rPr>
          <w:rFonts w:ascii="Times New Roman" w:cs="Times New Roman" w:eastAsia="Times New Roman" w:hAnsi="Times New Roman"/>
          <w:sz w:val="16"/>
          <w:szCs w:val="16"/>
          <w:color w:val="auto"/>
        </w:rPr>
      </w:pPr>
    </w:p>
    <w:p>
      <w:pPr>
        <w:ind w:left="2040" w:right="200" w:hanging="505"/>
        <w:spacing w:after="0" w:line="285" w:lineRule="auto"/>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Approval Processes: We have established rigorous approval workflows for financial transactions, ensuring proper oversight.</w:t>
      </w:r>
    </w:p>
    <w:p>
      <w:pPr>
        <w:spacing w:after="0" w:line="48"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Education and Training: Our staff receives ongoing training on compliance, risk management, and ethical conduct.</w:t>
      </w:r>
    </w:p>
    <w:p>
      <w:pPr>
        <w:spacing w:after="0" w:line="125" w:lineRule="exact"/>
        <w:rPr>
          <w:rFonts w:ascii="Times New Roman" w:cs="Times New Roman" w:eastAsia="Times New Roman" w:hAnsi="Times New Roman"/>
          <w:sz w:val="16"/>
          <w:szCs w:val="16"/>
          <w:color w:val="auto"/>
        </w:rPr>
      </w:pPr>
    </w:p>
    <w:p>
      <w:pPr>
        <w:ind w:left="2040" w:right="160" w:hanging="505"/>
        <w:spacing w:after="0" w:line="259" w:lineRule="auto"/>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Engaging External Consultants: Recognizing the importance of independent oversight, we have engaged and external consulting firm to help the Company achieve SOX 404 compliance. This firm assesses our internal controls over financial reporting framework. Their expertise provides an objective evaluation of our processes, obviating the need for an internal audit department.</w:t>
      </w:r>
    </w:p>
    <w:p>
      <w:pPr>
        <w:spacing w:after="0" w:line="69" w:lineRule="exact"/>
        <w:rPr>
          <w:rFonts w:ascii="Times New Roman" w:cs="Times New Roman" w:eastAsia="Times New Roman" w:hAnsi="Times New Roman"/>
          <w:sz w:val="16"/>
          <w:szCs w:val="16"/>
          <w:color w:val="auto"/>
        </w:rPr>
      </w:pPr>
    </w:p>
    <w:p>
      <w:pPr>
        <w:ind w:left="2040" w:right="600" w:hanging="505"/>
        <w:spacing w:after="0" w:line="285" w:lineRule="auto"/>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Testing and Verification: External consultants test transactions and review documentation to conclude on the design and execution of the controls.</w:t>
      </w:r>
    </w:p>
    <w:p>
      <w:pPr>
        <w:spacing w:after="0" w:line="48" w:lineRule="exact"/>
        <w:rPr>
          <w:rFonts w:ascii="Times New Roman" w:cs="Times New Roman" w:eastAsia="Times New Roman" w:hAnsi="Times New Roman"/>
          <w:sz w:val="16"/>
          <w:szCs w:val="16"/>
          <w:color w:val="auto"/>
        </w:rPr>
      </w:pPr>
    </w:p>
    <w:p>
      <w:pPr>
        <w:ind w:left="2040" w:right="820" w:hanging="505"/>
        <w:spacing w:after="0" w:line="285" w:lineRule="auto"/>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Recommendations: Based on findings of the aforementioned testing and verification, the external consultants provide recommendations for process improvements and risk mitigation.</w:t>
      </w:r>
    </w:p>
    <w:p>
      <w:pPr>
        <w:spacing w:after="0" w:line="48" w:lineRule="exact"/>
        <w:rPr>
          <w:rFonts w:ascii="Times New Roman" w:cs="Times New Roman" w:eastAsia="Times New Roman" w:hAnsi="Times New Roman"/>
          <w:sz w:val="16"/>
          <w:szCs w:val="16"/>
          <w:color w:val="auto"/>
        </w:rPr>
      </w:pPr>
    </w:p>
    <w:p>
      <w:pPr>
        <w:ind w:left="2040" w:right="620" w:hanging="505"/>
        <w:spacing w:after="0" w:line="285" w:lineRule="auto"/>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to the Audit Committee: the Audit Committee is regularly provided with reports on internal controls, enhancing transparency and accountability.</w:t>
      </w:r>
    </w:p>
    <w:p>
      <w:pPr>
        <w:spacing w:after="0" w:line="48" w:lineRule="exact"/>
        <w:rPr>
          <w:rFonts w:ascii="Times New Roman" w:cs="Times New Roman" w:eastAsia="Times New Roman" w:hAnsi="Times New Roman"/>
          <w:sz w:val="16"/>
          <w:szCs w:val="16"/>
          <w:color w:val="auto"/>
        </w:rPr>
      </w:pPr>
    </w:p>
    <w:p>
      <w:pPr>
        <w:jc w:val="both"/>
        <w:ind w:left="1020" w:hanging="503"/>
        <w:spacing w:after="0" w:line="259" w:lineRule="auto"/>
        <w:tabs>
          <w:tab w:leader="none" w:pos="102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Company should have a Stakeholder Dialogue Policy in place. The Company does not have a formal Stakeholder Dialogue Policy in place in because the Company has identified relevant stakeholders and the various channels for dialogue that have already been implemented by the Company. Based on the stakeholder initiatives already in place, the Company agreed that this Policy was not necessary at this time.</w:t>
      </w:r>
    </w:p>
    <w:p>
      <w:pPr>
        <w:spacing w:after="0" w:line="69"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Company should have a Diversity and Inclusion Policy in place. The Company does not have a formal Diversity and Inclusion Policy in place in which concrete targets in respect of gender diversity are included because of the following reasons:</w:t>
      </w:r>
    </w:p>
    <w:p>
      <w:pPr>
        <w:spacing w:after="0" w:line="48"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Collecting broader D&amp;I data creates substantial data privacy issues under General Data Protection Regulations;</w:t>
      </w:r>
    </w:p>
    <w:p>
      <w:pPr>
        <w:spacing w:after="0" w:line="125"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 meets board diversity requirements under Nasdaq rules and Dutch law;</w:t>
      </w:r>
    </w:p>
    <w:p>
      <w:pPr>
        <w:spacing w:after="0" w:line="125"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employees are 55% women and 45% men; and</w:t>
      </w:r>
    </w:p>
    <w:p>
      <w:pPr>
        <w:spacing w:after="0" w:line="125"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Diversity is explicitly embedded in the Company’s Core Values.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Despite not having a formal Diversity and Inclusion Policy, the Company does report on its gender diversity targets (see Chapter 5.8 – "Diversity").</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5.2 Code of business conduct and ethics and other corporate governance practices</w:t>
      </w:r>
    </w:p>
    <w:p>
      <w:pPr>
        <w:spacing w:after="0" w:line="194" w:lineRule="exact"/>
        <w:rPr>
          <w:sz w:val="20"/>
          <w:szCs w:val="20"/>
          <w:color w:val="auto"/>
        </w:rPr>
      </w:pPr>
    </w:p>
    <w:p>
      <w:pPr>
        <w:jc w:val="both"/>
        <w:ind w:left="160" w:firstLine="299"/>
        <w:spacing w:after="0" w:line="286" w:lineRule="auto"/>
        <w:rPr>
          <w:sz w:val="20"/>
          <w:szCs w:val="20"/>
          <w:color w:val="auto"/>
        </w:rPr>
      </w:pPr>
      <w:r>
        <w:rPr>
          <w:rFonts w:ascii="Arial" w:cs="Arial" w:eastAsia="Arial" w:hAnsi="Arial"/>
          <w:sz w:val="16"/>
          <w:szCs w:val="16"/>
          <w:color w:val="auto"/>
        </w:rPr>
        <w:t>The Company has adopted a code of business conduct and ethics which can be accessed at https://ir.pharvaris.com/corporate-governance/governance-documents. The Company does not voluntarily apply other formal codes of conduct or corporate governance practices.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5.3 Risk management and control systems</w:t>
      </w:r>
    </w:p>
    <w:p>
      <w:pPr>
        <w:spacing w:after="0" w:line="194" w:lineRule="exact"/>
        <w:rPr>
          <w:sz w:val="20"/>
          <w:szCs w:val="20"/>
          <w:color w:val="auto"/>
        </w:rPr>
      </w:pPr>
    </w:p>
    <w:p>
      <w:pPr>
        <w:jc w:val="both"/>
        <w:ind w:left="160" w:firstLine="299"/>
        <w:spacing w:after="0" w:line="266" w:lineRule="auto"/>
        <w:rPr>
          <w:sz w:val="20"/>
          <w:szCs w:val="20"/>
          <w:color w:val="auto"/>
        </w:rPr>
      </w:pPr>
      <w:r>
        <w:rPr>
          <w:rFonts w:ascii="Arial" w:cs="Arial" w:eastAsia="Arial" w:hAnsi="Arial"/>
          <w:sz w:val="16"/>
          <w:szCs w:val="16"/>
          <w:color w:val="auto"/>
        </w:rPr>
        <w:t>See chapter 4.1 of this report for an overview of the main characteristics of the Company's risk management and control systems relating to the process of financial reporting by the Company and the Company's group companies whose financial information is included in the Consolidated Financial Statements.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5.4 General Meeting</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5.4.1 Functioning of the General Meeting</w:t>
      </w:r>
    </w:p>
    <w:p>
      <w:pPr>
        <w:spacing w:after="0" w:line="194" w:lineRule="exact"/>
        <w:rPr>
          <w:sz w:val="20"/>
          <w:szCs w:val="20"/>
          <w:color w:val="auto"/>
        </w:rPr>
      </w:pPr>
    </w:p>
    <w:p>
      <w:pPr>
        <w:jc w:val="both"/>
        <w:ind w:left="160" w:firstLine="299"/>
        <w:spacing w:after="0" w:line="252" w:lineRule="auto"/>
        <w:rPr>
          <w:sz w:val="20"/>
          <w:szCs w:val="20"/>
          <w:color w:val="auto"/>
        </w:rPr>
      </w:pPr>
      <w:r>
        <w:rPr>
          <w:rFonts w:ascii="Arial" w:cs="Arial" w:eastAsia="Arial" w:hAnsi="Arial"/>
          <w:sz w:val="16"/>
          <w:szCs w:val="16"/>
          <w:color w:val="auto"/>
        </w:rPr>
        <w:t>Annually, at least one general meeting of the Company (the "</w:t>
      </w:r>
      <w:r>
        <w:rPr>
          <w:rFonts w:ascii="Arial" w:cs="Arial" w:eastAsia="Arial" w:hAnsi="Arial"/>
          <w:sz w:val="16"/>
          <w:szCs w:val="16"/>
          <w:b w:val="1"/>
          <w:bCs w:val="1"/>
          <w:color w:val="auto"/>
        </w:rPr>
        <w:t>General Meeting</w:t>
      </w:r>
      <w:r>
        <w:rPr>
          <w:rFonts w:ascii="Arial" w:cs="Arial" w:eastAsia="Arial" w:hAnsi="Arial"/>
          <w:sz w:val="16"/>
          <w:szCs w:val="16"/>
          <w:color w:val="auto"/>
        </w:rPr>
        <w:t>") must be held. This annual General Meeting must be held within six months after the end of the Company's fiscal year. A General Meeting must also be held within three months after the Board has decided that it is likely that the Company's equity has decreased to or below 50% of its paid up and called up share capital. In addition, without prejudice to the best practice provisions of the DCGC with respect to invoking a 'response period' or the provisions under Dutch law with respect to invoking a 'cooling-off period', a General Meeting must be held when requested by one or more shareholders and/or others with meeting rights under Dutch law collectively representing at least 10% of the Company's issued share capital, provided that certain criteria are met. Any additional General Meeting shall be convened whenever the Board would so decide. Each General Meeting must be held in Amsterdam, Arnhem, Assen, The Hague, Haarlem, 's-Hertogenbosch, Groningen, Leeuwarden, Lelystad, Leiden,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94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jc w:val="both"/>
        <w:ind w:left="160"/>
        <w:spacing w:after="0" w:line="266" w:lineRule="auto"/>
        <w:rPr>
          <w:sz w:val="20"/>
          <w:szCs w:val="20"/>
          <w:color w:val="auto"/>
        </w:rPr>
      </w:pPr>
      <w:r>
        <w:rPr>
          <w:rFonts w:ascii="Arial" w:cs="Arial" w:eastAsia="Arial" w:hAnsi="Arial"/>
          <w:sz w:val="16"/>
          <w:szCs w:val="16"/>
          <w:color w:val="auto"/>
        </w:rPr>
        <w:t>Maastricht, Middelburg, Rotterdam, Schiphol (Haarlemmermeer), Utrecht or Zwolle. If and when allowed pursuant to applicable law, those who convene the General Meeting may also decide whether (and if so, under what conditions) the General Meeting shall also or exclusively be accessible through the use of electronic means.</w:t>
      </w:r>
    </w:p>
    <w:p>
      <w:pPr>
        <w:spacing w:after="0" w:line="14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For purposes of determining who have voting rights and/or meeting rights under Dutch law at a General Meeting, the Board may set a record date. The record date, if set, shall be the 28th day prior to that of the General Meeting. Those who have voting rights and/or meeting rights under Dutch law on the record date and are recorded as such in one or more registers designated by the Board shall be considered to have those rights at the General Meeting, irrespective of any changes in the composition of the shareholder base between the record date and the date of the General Meeting. The Company's articles of association require shareholders and others with meeting rights under Dutch law to notify the Company of their identity and their intention to attend the General Meeting. This notice must be received by the Company ultimately on the seventh day prior to the General Meeting, unless indicated otherwise when such General Meeting is convened.</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5.4.2 Powers of the General Meeting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powers that do not vest in the Board pursuant to applicable law, the Company's articles of association or otherwise, vest in the General Meeting.</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main powers of the General Meeting include, subject in each case to the applicable provisions in the Company's articles of association:</w:t>
      </w:r>
    </w:p>
    <w:p>
      <w:pPr>
        <w:spacing w:after="0" w:line="97" w:lineRule="exact"/>
        <w:rPr>
          <w:sz w:val="20"/>
          <w:szCs w:val="20"/>
          <w:color w:val="auto"/>
        </w:rPr>
      </w:pPr>
    </w:p>
    <w:p>
      <w:pPr>
        <w:ind w:left="1080" w:hanging="563"/>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appointment, suspension and dismissal of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approval of certain resolutions of the Board concerning a material change to the identity or the character of the Company or its business;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reduction of the Company's issued share capital through a decrease of the nominal value, or cancellation, of shares in its capital;</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adoption of the Company's statutory annual accounts;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appointment of the Dutch independent auditor to examine the Company's statutory annual accounts;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amendments to the Company's articles of association;</w:t>
      </w:r>
    </w:p>
    <w:p>
      <w:pPr>
        <w:spacing w:after="0" w:line="113"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approving a merger or demerger by the Company, without prejudice to the authority of the Board to resolve on certain types of mergers and demergers if certain requirements are met; and</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dissolution of the Company.</w:t>
      </w:r>
    </w:p>
    <w:p>
      <w:pPr>
        <w:spacing w:after="0" w:line="194" w:lineRule="exact"/>
        <w:rPr>
          <w:sz w:val="20"/>
          <w:szCs w:val="20"/>
          <w:color w:val="auto"/>
        </w:rPr>
      </w:pPr>
    </w:p>
    <w:p>
      <w:pPr>
        <w:jc w:val="both"/>
        <w:ind w:left="160" w:firstLine="299"/>
        <w:spacing w:after="0" w:line="286" w:lineRule="auto"/>
        <w:rPr>
          <w:sz w:val="20"/>
          <w:szCs w:val="20"/>
          <w:color w:val="auto"/>
        </w:rPr>
      </w:pPr>
      <w:r>
        <w:rPr>
          <w:rFonts w:ascii="Arial" w:cs="Arial" w:eastAsia="Arial" w:hAnsi="Arial"/>
          <w:sz w:val="16"/>
          <w:szCs w:val="16"/>
          <w:color w:val="auto"/>
        </w:rPr>
        <w:t>In addition, the General Meeting has the right, and the Board must provide, any information reasonably requested by the General Meeting, unless this would be contrary to an overriding interest of the Company.</w:t>
      </w:r>
    </w:p>
    <w:p>
      <w:pPr>
        <w:spacing w:after="0" w:line="129"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5.4.3 Shareholder rights</w:t>
      </w:r>
    </w:p>
    <w:p>
      <w:pPr>
        <w:spacing w:after="0" w:line="19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Each share in the Company's capital carries one vote. Shareholders, irrespective of whether or not they have voting rights, have meeting rights under Dutch law (including the right to attend and address the General Meeting, subject to the concept of a record date as described in chapter 5.4.1). Furthermore, each share in the Company's capital carries an entitlement to dividends and other distributions as set forth in the Company's articles of association. Pursuant to the Company's articles of association, any such dividend or other distribution shall be payable on such date as determined by the Board and the Board may also set a record date for determining who are entitled to receive any such dividend or other distribution (irrespective of subsequent changes in the shareholder base). The record date for dividends and other distributions shall not be earlier than the date on which the dividend or other distribution is announced. In addition, shareholders have those rights awarded to them by applicable law.</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5.5 Board</w:t>
      </w:r>
    </w:p>
    <w:p>
      <w:pPr>
        <w:spacing w:after="0" w:line="194" w:lineRule="exact"/>
        <w:rPr>
          <w:sz w:val="20"/>
          <w:szCs w:val="20"/>
          <w:color w:val="auto"/>
        </w:rPr>
      </w:pPr>
    </w:p>
    <w:p>
      <w:pPr>
        <w:jc w:val="both"/>
        <w:ind w:left="160" w:firstLine="299"/>
        <w:spacing w:after="0" w:line="254" w:lineRule="auto"/>
        <w:rPr>
          <w:sz w:val="20"/>
          <w:szCs w:val="20"/>
          <w:color w:val="auto"/>
        </w:rPr>
      </w:pPr>
      <w:r>
        <w:rPr>
          <w:rFonts w:ascii="Arial" w:cs="Arial" w:eastAsia="Arial" w:hAnsi="Arial"/>
          <w:sz w:val="16"/>
          <w:szCs w:val="16"/>
          <w:color w:val="auto"/>
        </w:rPr>
        <w:t>The Board is charged with managing the Company's affairs, which includes setting the Company's policies and strategy. Our executive director is charged primarily with the Company's day-to-day business and operations and the implementation of the Company's strategy. Our non-executive directors are charged primarily with the supervision of the performance of the duties of the Board. Each director is charged with all tasks and duties of the Board that are not delegated to one or more other specific directors by virtue of Dutch law, the Company's articles of association or any arrangement catered for therein (e.g., the internal rules of the Board). In performing their duties, our directors shall be guided by the interests of the Company and of the business connected with it.</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at December 31, 2024, the Board was composed as follows, which are all current directors on the Board of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456690" cy="5054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56690" cy="505460"/>
                    </a:xfrm>
                    <a:prstGeom prst="rect">
                      <a:avLst/>
                    </a:prstGeom>
                    <a:noFill/>
                  </pic:spPr>
                </pic:pic>
              </a:graphicData>
            </a:graphic>
          </wp:anchor>
        </w:drawing>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260" w:type="dxa"/>
            <w:vAlign w:val="bottom"/>
          </w:tcPr>
          <w:p>
            <w:pPr>
              <w:ind w:left="580"/>
              <w:spacing w:after="0"/>
              <w:rPr>
                <w:sz w:val="20"/>
                <w:szCs w:val="20"/>
                <w:color w:val="auto"/>
              </w:rPr>
            </w:pPr>
            <w:r>
              <w:rPr>
                <w:rFonts w:ascii="Arial" w:cs="Arial" w:eastAsia="Arial" w:hAnsi="Arial"/>
                <w:sz w:val="16"/>
                <w:szCs w:val="16"/>
                <w:b w:val="1"/>
                <w:bCs w:val="1"/>
                <w:color w:val="auto"/>
              </w:rPr>
              <w:t>Name and age</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Gender</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Nationality</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Date of initial</w:t>
            </w:r>
          </w:p>
        </w:tc>
        <w:tc>
          <w:tcPr>
            <w:tcW w:w="35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Expiration of current term of office</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Attendance rate</w:t>
            </w:r>
          </w:p>
        </w:tc>
      </w:tr>
      <w:tr>
        <w:trPr>
          <w:trHeight w:val="189"/>
        </w:trPr>
        <w:tc>
          <w:tcPr>
            <w:tcW w:w="2260" w:type="dxa"/>
            <w:vAlign w:val="bottom"/>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identity</w:t>
            </w:r>
          </w:p>
        </w:tc>
        <w:tc>
          <w:tcPr>
            <w:tcW w:w="12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appointment</w:t>
            </w:r>
          </w:p>
        </w:tc>
        <w:tc>
          <w:tcPr>
            <w:tcW w:w="3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at meetings of the</w:t>
            </w:r>
          </w:p>
        </w:tc>
      </w:tr>
      <w:tr>
        <w:trPr>
          <w:trHeight w:val="223"/>
        </w:trPr>
        <w:tc>
          <w:tcPr>
            <w:tcW w:w="22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board</w:t>
            </w:r>
          </w:p>
        </w:tc>
      </w:tr>
      <w:tr>
        <w:trPr>
          <w:trHeight w:val="136"/>
        </w:trPr>
        <w:tc>
          <w:tcPr>
            <w:tcW w:w="226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35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89"/>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Berndt Modig (66) *</w:t>
            </w:r>
          </w:p>
        </w:tc>
        <w:tc>
          <w:tcPr>
            <w:tcW w:w="1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M</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Swedish</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September 30, 2015</w:t>
            </w:r>
          </w:p>
        </w:tc>
        <w:tc>
          <w:tcPr>
            <w:tcW w:w="3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 the end of the AGM to be held in 2028</w:t>
            </w:r>
          </w:p>
        </w:tc>
        <w:tc>
          <w:tcPr>
            <w:tcW w:w="1460" w:type="dxa"/>
            <w:vAlign w:val="bottom"/>
            <w:tcBorders>
              <w:top w:val="single" w:sz="8" w:color="auto"/>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r>
      <w:tr>
        <w:trPr>
          <w:trHeight w:val="183"/>
        </w:trPr>
        <w:tc>
          <w:tcPr>
            <w:tcW w:w="22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Hans Schikan (66) **</w:t>
            </w:r>
          </w:p>
        </w:tc>
        <w:tc>
          <w:tcPr>
            <w:tcW w:w="10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M</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Dutch</w:t>
            </w:r>
          </w:p>
        </w:tc>
        <w:tc>
          <w:tcPr>
            <w:tcW w:w="16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August 28, 2019</w:t>
            </w:r>
          </w:p>
        </w:tc>
        <w:tc>
          <w:tcPr>
            <w:tcW w:w="35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At the end of the AGM to be held in 2028</w:t>
            </w:r>
          </w:p>
        </w:tc>
        <w:tc>
          <w:tcPr>
            <w:tcW w:w="1460" w:type="dxa"/>
            <w:vAlign w:val="bottom"/>
            <w:tcBorders>
              <w:bottom w:val="single" w:sz="8" w:color="auto"/>
              <w:right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100 %</w:t>
            </w:r>
          </w:p>
        </w:tc>
      </w:tr>
      <w:tr>
        <w:trPr>
          <w:trHeight w:val="653"/>
        </w:trPr>
        <w:tc>
          <w:tcPr>
            <w:tcW w:w="2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jc w:val="right"/>
              <w:ind w:right="399"/>
              <w:spacing w:after="0"/>
              <w:rPr>
                <w:sz w:val="20"/>
                <w:szCs w:val="20"/>
                <w:color w:val="auto"/>
              </w:rPr>
            </w:pPr>
            <w:r>
              <w:rPr>
                <w:rFonts w:ascii="Arial" w:cs="Arial" w:eastAsia="Arial" w:hAnsi="Arial"/>
                <w:sz w:val="16"/>
                <w:szCs w:val="16"/>
                <w:color w:val="auto"/>
              </w:rPr>
              <w:t>94</w:t>
            </w:r>
          </w:p>
        </w:tc>
        <w:tc>
          <w:tcPr>
            <w:tcW w:w="3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51"/>
        </w:trPr>
        <w:tc>
          <w:tcPr>
            <w:tcW w:w="2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184"/>
        </w:trPr>
        <w:tc>
          <w:tcPr>
            <w:tcW w:w="2280" w:type="dxa"/>
            <w:vAlign w:val="bottom"/>
            <w:gridSpan w:val="3"/>
          </w:tcPr>
          <w:p>
            <w:pPr>
              <w:spacing w:after="0"/>
              <w:rPr>
                <w:sz w:val="20"/>
                <w:szCs w:val="20"/>
                <w:color w:val="auto"/>
              </w:rPr>
            </w:pPr>
            <w:r>
              <w:rPr>
                <w:rFonts w:ascii="Arial" w:cs="Arial" w:eastAsia="Arial" w:hAnsi="Arial"/>
                <w:sz w:val="16"/>
                <w:szCs w:val="16"/>
                <w:b w:val="1"/>
                <w:bCs w:val="1"/>
                <w:color w:val="auto"/>
              </w:rPr>
              <w:t>95</w:t>
            </w:r>
            <w:r>
              <w:rPr>
                <w:rFonts w:ascii="Arial" w:cs="Arial" w:eastAsia="Arial" w:hAnsi="Arial"/>
                <w:sz w:val="16"/>
                <w:szCs w:val="16"/>
                <w:b w:val="1"/>
                <w:bCs w:val="1"/>
                <w:color w:val="0000FF"/>
              </w:rPr>
              <w:t>Table of Contents</w:t>
            </w: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24"/>
        </w:trPr>
        <w:tc>
          <w:tcPr>
            <w:tcW w:w="180" w:type="dxa"/>
            <w:vAlign w:val="bottom"/>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60" w:type="dxa"/>
            <w:vAlign w:val="bottom"/>
          </w:tcPr>
          <w:p>
            <w:pPr>
              <w:ind w:left="560"/>
              <w:spacing w:after="0"/>
              <w:rPr>
                <w:sz w:val="20"/>
                <w:szCs w:val="20"/>
                <w:color w:val="auto"/>
              </w:rPr>
            </w:pPr>
            <w:r>
              <w:rPr>
                <w:rFonts w:ascii="Arial" w:cs="Arial" w:eastAsia="Arial" w:hAnsi="Arial"/>
                <w:sz w:val="16"/>
                <w:szCs w:val="16"/>
                <w:b w:val="1"/>
                <w:bCs w:val="1"/>
                <w:color w:val="auto"/>
                <w:w w:val="96"/>
              </w:rPr>
              <w:t>Exhibit 99.4</w:t>
            </w:r>
          </w:p>
        </w:tc>
      </w:tr>
      <w:tr>
        <w:trPr>
          <w:trHeight w:val="105"/>
        </w:trPr>
        <w:tc>
          <w:tcPr>
            <w:tcW w:w="2280" w:type="dxa"/>
            <w:vAlign w:val="bottom"/>
            <w:tcBorders>
              <w:bottom w:val="single" w:sz="8" w:color="auto"/>
            </w:tcBorders>
            <w:gridSpan w:val="3"/>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r>
      <w:tr>
        <w:trPr>
          <w:trHeight w:val="183"/>
        </w:trPr>
        <w:tc>
          <w:tcPr>
            <w:tcW w:w="2280" w:type="dxa"/>
            <w:vAlign w:val="bottom"/>
            <w:tcBorders>
              <w:left w:val="single" w:sz="8" w:color="auto"/>
              <w:bottom w:val="single" w:sz="8" w:color="auto"/>
              <w:right w:val="single" w:sz="8" w:color="auto"/>
            </w:tcBorders>
            <w:gridSpan w:val="3"/>
          </w:tcPr>
          <w:p>
            <w:pPr>
              <w:ind w:left="40"/>
              <w:spacing w:after="0" w:line="162" w:lineRule="exact"/>
              <w:rPr>
                <w:sz w:val="20"/>
                <w:szCs w:val="20"/>
                <w:color w:val="auto"/>
              </w:rPr>
            </w:pPr>
            <w:r>
              <w:rPr>
                <w:rFonts w:ascii="Arial" w:cs="Arial" w:eastAsia="Arial" w:hAnsi="Arial"/>
                <w:sz w:val="16"/>
                <w:szCs w:val="16"/>
                <w:color w:val="auto"/>
              </w:rPr>
              <w:t>David Meeker (70) **</w:t>
            </w:r>
          </w:p>
        </w:tc>
        <w:tc>
          <w:tcPr>
            <w:tcW w:w="1000" w:type="dxa"/>
            <w:vAlign w:val="bottom"/>
            <w:tcBorders>
              <w:bottom w:val="single" w:sz="8" w:color="auto"/>
              <w:right w:val="single" w:sz="8" w:color="auto"/>
            </w:tcBorders>
          </w:tcPr>
          <w:p>
            <w:pPr>
              <w:ind w:left="420"/>
              <w:spacing w:after="0" w:line="162" w:lineRule="exact"/>
              <w:rPr>
                <w:sz w:val="20"/>
                <w:szCs w:val="20"/>
                <w:color w:val="auto"/>
              </w:rPr>
            </w:pPr>
            <w:r>
              <w:rPr>
                <w:rFonts w:ascii="Arial" w:cs="Arial" w:eastAsia="Arial" w:hAnsi="Arial"/>
                <w:sz w:val="16"/>
                <w:szCs w:val="16"/>
                <w:color w:val="auto"/>
              </w:rPr>
              <w:t>M</w:t>
            </w:r>
          </w:p>
        </w:tc>
        <w:tc>
          <w:tcPr>
            <w:tcW w:w="12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American</w:t>
            </w:r>
          </w:p>
        </w:tc>
        <w:tc>
          <w:tcPr>
            <w:tcW w:w="168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January 1, 2021</w:t>
            </w:r>
          </w:p>
        </w:tc>
        <w:tc>
          <w:tcPr>
            <w:tcW w:w="3580" w:type="dxa"/>
            <w:vAlign w:val="bottom"/>
            <w:tcBorders>
              <w:bottom w:val="single" w:sz="8" w:color="auto"/>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At the end of the AGM to be held in 2025</w:t>
            </w:r>
          </w:p>
        </w:tc>
        <w:tc>
          <w:tcPr>
            <w:tcW w:w="146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100 %</w:t>
            </w:r>
          </w:p>
        </w:tc>
      </w:tr>
      <w:tr>
        <w:trPr>
          <w:trHeight w:val="166"/>
        </w:trPr>
        <w:tc>
          <w:tcPr>
            <w:tcW w:w="2280" w:type="dxa"/>
            <w:vAlign w:val="bottom"/>
            <w:tcBorders>
              <w:left w:val="single" w:sz="8" w:color="auto"/>
              <w:bottom w:val="single" w:sz="8" w:color="auto"/>
              <w:right w:val="single" w:sz="8" w:color="auto"/>
            </w:tcBorders>
            <w:gridSpan w:val="3"/>
          </w:tcPr>
          <w:p>
            <w:pPr>
              <w:ind w:left="40"/>
              <w:spacing w:after="0" w:line="166" w:lineRule="exact"/>
              <w:rPr>
                <w:sz w:val="20"/>
                <w:szCs w:val="20"/>
                <w:color w:val="auto"/>
              </w:rPr>
            </w:pPr>
            <w:r>
              <w:rPr>
                <w:rFonts w:ascii="Arial" w:cs="Arial" w:eastAsia="Arial" w:hAnsi="Arial"/>
                <w:sz w:val="16"/>
                <w:szCs w:val="16"/>
                <w:color w:val="auto"/>
              </w:rPr>
              <w:t>Robert Glassman (63) **</w:t>
            </w:r>
          </w:p>
        </w:tc>
        <w:tc>
          <w:tcPr>
            <w:tcW w:w="1000" w:type="dxa"/>
            <w:vAlign w:val="bottom"/>
            <w:tcBorders>
              <w:bottom w:val="single" w:sz="8" w:color="auto"/>
              <w:right w:val="single" w:sz="8" w:color="auto"/>
            </w:tcBorders>
          </w:tcPr>
          <w:p>
            <w:pPr>
              <w:ind w:left="420"/>
              <w:spacing w:after="0" w:line="166" w:lineRule="exact"/>
              <w:rPr>
                <w:sz w:val="20"/>
                <w:szCs w:val="20"/>
                <w:color w:val="auto"/>
              </w:rPr>
            </w:pPr>
            <w:r>
              <w:rPr>
                <w:rFonts w:ascii="Arial" w:cs="Arial" w:eastAsia="Arial" w:hAnsi="Arial"/>
                <w:sz w:val="16"/>
                <w:szCs w:val="16"/>
                <w:color w:val="auto"/>
              </w:rPr>
              <w:t>M</w:t>
            </w:r>
          </w:p>
        </w:tc>
        <w:tc>
          <w:tcPr>
            <w:tcW w:w="124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American</w:t>
            </w:r>
          </w:p>
        </w:tc>
        <w:tc>
          <w:tcPr>
            <w:tcW w:w="168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January 1, 2021</w:t>
            </w:r>
          </w:p>
        </w:tc>
        <w:tc>
          <w:tcPr>
            <w:tcW w:w="3580" w:type="dxa"/>
            <w:vAlign w:val="bottom"/>
            <w:tcBorders>
              <w:bottom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At the end of the AGM to be held in 2025</w:t>
            </w:r>
          </w:p>
        </w:tc>
        <w:tc>
          <w:tcPr>
            <w:tcW w:w="146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100%</w:t>
            </w:r>
          </w:p>
        </w:tc>
      </w:tr>
      <w:tr>
        <w:trPr>
          <w:trHeight w:val="183"/>
        </w:trPr>
        <w:tc>
          <w:tcPr>
            <w:tcW w:w="2280" w:type="dxa"/>
            <w:vAlign w:val="bottom"/>
            <w:tcBorders>
              <w:left w:val="single" w:sz="8" w:color="auto"/>
              <w:bottom w:val="single" w:sz="8" w:color="auto"/>
              <w:right w:val="single" w:sz="8" w:color="auto"/>
            </w:tcBorders>
            <w:gridSpan w:val="3"/>
          </w:tcPr>
          <w:p>
            <w:pPr>
              <w:ind w:left="40"/>
              <w:spacing w:after="0" w:line="183" w:lineRule="exact"/>
              <w:rPr>
                <w:sz w:val="20"/>
                <w:szCs w:val="20"/>
                <w:color w:val="auto"/>
              </w:rPr>
            </w:pPr>
            <w:r>
              <w:rPr>
                <w:rFonts w:ascii="Arial" w:cs="Arial" w:eastAsia="Arial" w:hAnsi="Arial"/>
                <w:sz w:val="16"/>
                <w:szCs w:val="16"/>
                <w:color w:val="auto"/>
              </w:rPr>
              <w:t>Viviane Monges (61) **</w:t>
            </w:r>
          </w:p>
        </w:tc>
        <w:tc>
          <w:tcPr>
            <w:tcW w:w="1000" w:type="dxa"/>
            <w:vAlign w:val="bottom"/>
            <w:tcBorders>
              <w:bottom w:val="single" w:sz="8" w:color="auto"/>
              <w:right w:val="single" w:sz="8" w:color="auto"/>
            </w:tcBorders>
          </w:tcPr>
          <w:p>
            <w:pPr>
              <w:ind w:left="440"/>
              <w:spacing w:after="0" w:line="183" w:lineRule="exact"/>
              <w:rPr>
                <w:sz w:val="20"/>
                <w:szCs w:val="20"/>
                <w:color w:val="auto"/>
              </w:rPr>
            </w:pPr>
            <w:r>
              <w:rPr>
                <w:rFonts w:ascii="Arial" w:cs="Arial" w:eastAsia="Arial" w:hAnsi="Arial"/>
                <w:sz w:val="16"/>
                <w:szCs w:val="16"/>
                <w:color w:val="auto"/>
              </w:rPr>
              <w:t>F</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French</w:t>
            </w:r>
          </w:p>
        </w:tc>
        <w:tc>
          <w:tcPr>
            <w:tcW w:w="16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June 29, 2021</w:t>
            </w:r>
          </w:p>
        </w:tc>
        <w:tc>
          <w:tcPr>
            <w:tcW w:w="35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At the end of the AGM to be held in 2025</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100 %</w:t>
            </w:r>
          </w:p>
        </w:tc>
      </w:tr>
      <w:tr>
        <w:trPr>
          <w:trHeight w:val="183"/>
        </w:trPr>
        <w:tc>
          <w:tcPr>
            <w:tcW w:w="2280" w:type="dxa"/>
            <w:vAlign w:val="bottom"/>
            <w:tcBorders>
              <w:left w:val="single" w:sz="8" w:color="auto"/>
              <w:bottom w:val="single" w:sz="8" w:color="auto"/>
              <w:right w:val="single" w:sz="8" w:color="auto"/>
            </w:tcBorders>
            <w:gridSpan w:val="3"/>
          </w:tcPr>
          <w:p>
            <w:pPr>
              <w:ind w:left="40"/>
              <w:spacing w:after="0" w:line="183" w:lineRule="exact"/>
              <w:rPr>
                <w:sz w:val="20"/>
                <w:szCs w:val="20"/>
                <w:color w:val="auto"/>
              </w:rPr>
            </w:pPr>
            <w:r>
              <w:rPr>
                <w:rFonts w:ascii="Arial" w:cs="Arial" w:eastAsia="Arial" w:hAnsi="Arial"/>
                <w:sz w:val="16"/>
                <w:szCs w:val="16"/>
                <w:color w:val="auto"/>
              </w:rPr>
              <w:t>Elisabeth Björk (63) **</w:t>
            </w:r>
          </w:p>
        </w:tc>
        <w:tc>
          <w:tcPr>
            <w:tcW w:w="1000" w:type="dxa"/>
            <w:vAlign w:val="bottom"/>
            <w:tcBorders>
              <w:bottom w:val="single" w:sz="8" w:color="auto"/>
              <w:right w:val="single" w:sz="8" w:color="auto"/>
            </w:tcBorders>
          </w:tcPr>
          <w:p>
            <w:pPr>
              <w:ind w:left="440"/>
              <w:spacing w:after="0" w:line="183" w:lineRule="exact"/>
              <w:rPr>
                <w:sz w:val="20"/>
                <w:szCs w:val="20"/>
                <w:color w:val="auto"/>
              </w:rPr>
            </w:pPr>
            <w:r>
              <w:rPr>
                <w:rFonts w:ascii="Arial" w:cs="Arial" w:eastAsia="Arial" w:hAnsi="Arial"/>
                <w:sz w:val="16"/>
                <w:szCs w:val="16"/>
                <w:color w:val="auto"/>
              </w:rPr>
              <w:t>F</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Swedish</w:t>
            </w:r>
          </w:p>
        </w:tc>
        <w:tc>
          <w:tcPr>
            <w:tcW w:w="16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December 1, 2021</w:t>
            </w:r>
          </w:p>
        </w:tc>
        <w:tc>
          <w:tcPr>
            <w:tcW w:w="35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At the end of the AGM to be held in 2026</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Executive 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Non-executive director</w:t>
      </w:r>
    </w:p>
    <w:p>
      <w:pPr>
        <w:spacing w:after="0" w:line="180" w:lineRule="exact"/>
        <w:rPr>
          <w:sz w:val="20"/>
          <w:szCs w:val="20"/>
          <w:color w:val="auto"/>
        </w:rPr>
      </w:pPr>
    </w:p>
    <w:p>
      <w:pPr>
        <w:jc w:val="right"/>
        <w:ind w:right="980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181" w:lineRule="exact"/>
        <w:rPr>
          <w:sz w:val="20"/>
          <w:szCs w:val="20"/>
          <w:color w:val="auto"/>
        </w:rPr>
      </w:pPr>
    </w:p>
    <w:p>
      <w:pPr>
        <w:jc w:val="right"/>
        <w:ind w:right="9820"/>
        <w:spacing w:after="0"/>
        <w:rPr>
          <w:sz w:val="20"/>
          <w:szCs w:val="20"/>
          <w:color w:val="auto"/>
        </w:rPr>
      </w:pPr>
      <w:r>
        <w:rPr>
          <w:rFonts w:ascii="Arial" w:cs="Arial" w:eastAsia="Arial" w:hAnsi="Arial"/>
          <w:sz w:val="16"/>
          <w:szCs w:val="16"/>
          <w:i w:val="1"/>
          <w:iCs w:val="1"/>
          <w:color w:val="auto"/>
        </w:rPr>
        <w:t>Berndt Modig</w:t>
      </w:r>
    </w:p>
    <w:p>
      <w:pPr>
        <w:spacing w:after="0" w:line="192" w:lineRule="exact"/>
        <w:rPr>
          <w:sz w:val="20"/>
          <w:szCs w:val="20"/>
          <w:color w:val="auto"/>
        </w:rPr>
      </w:pPr>
    </w:p>
    <w:p>
      <w:pPr>
        <w:ind w:right="160" w:firstLine="458"/>
        <w:spacing w:after="0" w:line="259" w:lineRule="auto"/>
        <w:rPr>
          <w:sz w:val="20"/>
          <w:szCs w:val="20"/>
          <w:color w:val="auto"/>
        </w:rPr>
      </w:pPr>
      <w:r>
        <w:rPr>
          <w:rFonts w:ascii="Arial" w:cs="Arial" w:eastAsia="Arial" w:hAnsi="Arial"/>
          <w:sz w:val="16"/>
          <w:szCs w:val="16"/>
          <w:color w:val="auto"/>
        </w:rPr>
        <w:t>Mr. Modig co-founded Pharvaris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37"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Takeda Pharmaceuticals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 Mr. Modig received a bachelor’s degree in business administration, economics and German from the University of Lund, Sweden, and an MBA from INSEAD, Fontainbleau, France.</w:t>
      </w:r>
    </w:p>
    <w:p>
      <w:pPr>
        <w:spacing w:after="0" w:line="3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Hans Schikan, Pharm.D.</w:t>
      </w:r>
    </w:p>
    <w:p>
      <w:pPr>
        <w:spacing w:after="0" w:line="192" w:lineRule="exact"/>
        <w:rPr>
          <w:sz w:val="20"/>
          <w:szCs w:val="20"/>
          <w:color w:val="auto"/>
        </w:rPr>
      </w:pPr>
    </w:p>
    <w:p>
      <w:pPr>
        <w:jc w:val="both"/>
        <w:ind w:right="340" w:firstLine="458"/>
        <w:spacing w:after="0" w:line="266" w:lineRule="auto"/>
        <w:rPr>
          <w:sz w:val="20"/>
          <w:szCs w:val="20"/>
          <w:color w:val="auto"/>
        </w:rPr>
      </w:pPr>
      <w:r>
        <w:rPr>
          <w:rFonts w:ascii="Arial" w:cs="Arial" w:eastAsia="Arial" w:hAnsi="Arial"/>
          <w:sz w:val="16"/>
          <w:szCs w:val="16"/>
          <w:color w:val="auto"/>
        </w:rPr>
        <w:t>Mr. Schikan is a co-founder of the Company and has been a director since August 2019. Mr. Schikan is the former CEO of Prosensa Holding N.V. (Nasdaq: RNA), a biopharmaceutical company focusing on novel RNA modulating treatments for rare diseases including Duchenne muscular dystrophy, from January 2009 through its IPO on the Nasdaq in 2013 until its acquisition by BioMarin Pharmaceutical Inc. in January 2015.</w:t>
      </w:r>
    </w:p>
    <w:p>
      <w:pPr>
        <w:spacing w:after="0" w:line="131"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Mr. Schikan was previously at Genzyme, most recently serving as VP for Global Marketing and Strategic Development of Genzyme’s product portfolio for rare genetic diseases. He is currently Chairman of the Board of Vicore Pharma (STO: VICO) and Microbiotica, and Board Member of Organon N.V. Finally, he is a member of the Top Team of the Dutch Top Sector Life Sciences &amp; Health. Previously, he served on the boards of Sobi (STO: SOBI), Hansa Biopharma (STO: HNSA), Wilson Therapeutics (STO: WTX) (acquired by Alexion), Therachon (acquired by Pfizer), VectivBio (Nasdaq: VECT) (acquired by IronWood), Asceneuron, Complix and InteRNA. Mr. Schikan has a Pharm.D. degree from Utrecht University.</w:t>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David Meeker, M.D.</w:t>
      </w:r>
    </w:p>
    <w:p>
      <w:pPr>
        <w:spacing w:after="0" w:line="192"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He also served as a Director of MyoKardia, Inc. until its acquisition by Bristol Myers Squibb.</w:t>
      </w:r>
    </w:p>
    <w:p>
      <w:pPr>
        <w:spacing w:after="0" w:line="141" w:lineRule="exact"/>
        <w:rPr>
          <w:sz w:val="20"/>
          <w:szCs w:val="20"/>
          <w:color w:val="auto"/>
        </w:rPr>
      </w:pPr>
    </w:p>
    <w:p>
      <w:pPr>
        <w:ind w:right="280" w:firstLine="458"/>
        <w:spacing w:after="0" w:line="286" w:lineRule="auto"/>
        <w:rPr>
          <w:sz w:val="20"/>
          <w:szCs w:val="20"/>
          <w:color w:val="auto"/>
        </w:rPr>
      </w:pPr>
      <w:r>
        <w:rPr>
          <w:rFonts w:ascii="Arial" w:cs="Arial" w:eastAsia="Arial" w:hAnsi="Arial"/>
          <w:sz w:val="16"/>
          <w:szCs w:val="16"/>
          <w:color w:val="auto"/>
        </w:rPr>
        <w:t>Dr. Meeker holds a medical degree from the University of Vermont Medical School and completed the Advanced Management Program at Harvard Business School in 2000.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Robert Glassman, M.D.</w:t>
      </w:r>
    </w:p>
    <w:p>
      <w:pPr>
        <w:spacing w:after="0" w:line="192" w:lineRule="exact"/>
        <w:rPr>
          <w:sz w:val="20"/>
          <w:szCs w:val="20"/>
          <w:color w:val="auto"/>
        </w:rPr>
      </w:pPr>
    </w:p>
    <w:p>
      <w:pPr>
        <w:ind w:right="180" w:firstLine="458"/>
        <w:spacing w:after="0" w:line="266" w:lineRule="auto"/>
        <w:rPr>
          <w:sz w:val="20"/>
          <w:szCs w:val="20"/>
          <w:color w:val="auto"/>
        </w:rPr>
      </w:pPr>
      <w:r>
        <w:rPr>
          <w:rFonts w:ascii="Arial" w:cs="Arial" w:eastAsia="Arial" w:hAnsi="Arial"/>
          <w:sz w:val="16"/>
          <w:szCs w:val="16"/>
          <w:color w:val="auto"/>
        </w:rPr>
        <w:t>Dr. Glassman has been a director since January 2021. Since July 2022, Dr. Glassman served as the Executive Vice President, Search &amp; Evaluation at Enavate Sciences, a $600M private equity fund that is a subsidiary of Patient Square Capital. Dr. Glassman also serves as a board member for Umoja and EluraBio and he is an advisor at Centrexion.</w:t>
      </w:r>
    </w:p>
    <w:p>
      <w:pPr>
        <w:spacing w:after="0" w:line="13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Dr. Glassman is an industry veteran with nearly 30 years of healthcare leadership and investment experience. Most recently, he was a venture partner in public equity at OrbiMed Advisors, returning to the firm after serving as a private equity partner. Previously, he worked as a senior investment banking professional for over seventeen years across Credit Suisse, Merrill Lynch, Bank of America, most recently serving as Vice Chairman of the Global Health Care Investment Banking division at Credit Suisse. Earlier in his career, Dr. Glassman oversaw healthcare investments at Merrill Lynch Global Private Equity and was a consultant within McKinsey &amp; Company’s Pharmaceutical</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96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and Medical Products practice. Dr. Glassman was a board-certified hematologist-oncologist and remains on the faculty of Weill Cornell as a Clinical Assistant Professor of Medicine. He also spent several years as a basic science investigator at Rockefeller University in the laboratory of Hidesaburo Hanafusa, where he received Howard Hughes Medical Institute and American Cancer Society awards. Dr. Glassman earned his A.B. from Harvard College and an M.D. from Harvard Medical School.</w:t>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Elisabeth Björk, M.D.</w:t>
      </w:r>
    </w:p>
    <w:p>
      <w:pPr>
        <w:spacing w:after="0" w:line="143" w:lineRule="exact"/>
        <w:rPr>
          <w:sz w:val="20"/>
          <w:szCs w:val="20"/>
          <w:color w:val="auto"/>
        </w:rPr>
      </w:pPr>
    </w:p>
    <w:p>
      <w:pPr>
        <w:ind w:right="80" w:firstLine="458"/>
        <w:spacing w:after="0" w:line="263" w:lineRule="auto"/>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 has been a director since December 2021. Dr. Bj</w:t>
      </w:r>
      <w:r>
        <w:rPr>
          <w:rFonts w:ascii="Arial" w:cs="Arial" w:eastAsia="Arial" w:hAnsi="Arial"/>
          <w:sz w:val="16"/>
          <w:szCs w:val="16"/>
          <w:color w:val="auto"/>
        </w:rPr>
        <w:t>ӧ</w:t>
      </w:r>
      <w:r>
        <w:rPr>
          <w:rFonts w:ascii="Arial" w:cs="Arial" w:eastAsia="Arial" w:hAnsi="Arial"/>
          <w:sz w:val="16"/>
          <w:szCs w:val="16"/>
          <w:color w:val="auto"/>
        </w:rPr>
        <w:t>rk is currently Senior Vice President, Late-stage Development, Cardiovascular, Renal and Metabolism (CVRM), BioPharmaceuticals R&amp;D at AstraZeneca and has led the global development of medicines within this area for over 10 years. Throughout her career at AstraZeneca which began in 2002, she has gained broad drug development experience covering clinical development phase I-IV, large outcomes programs, major global filings and health authority interactions, and commercial strategy/implementation. Dr. Bj</w:t>
      </w:r>
      <w:r>
        <w:rPr>
          <w:rFonts w:ascii="Arial" w:cs="Arial" w:eastAsia="Arial" w:hAnsi="Arial"/>
          <w:sz w:val="16"/>
          <w:szCs w:val="16"/>
          <w:color w:val="auto"/>
        </w:rPr>
        <w:t>ӧ</w:t>
      </w:r>
      <w:r>
        <w:rPr>
          <w:rFonts w:ascii="Arial" w:cs="Arial" w:eastAsia="Arial" w:hAnsi="Arial"/>
          <w:sz w:val="16"/>
          <w:szCs w:val="16"/>
          <w:color w:val="auto"/>
        </w:rPr>
        <w:t>rk is an endocrinologist by training and an associate professor of medicine at Uppsala University, Sweden. She is also a board member of Rocket Pharmaceuticals, Chalmers University of Technology, Vicore Pharma AB and Betula Consulting AB.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Viviane Monges</w:t>
      </w:r>
    </w:p>
    <w:p>
      <w:pPr>
        <w:spacing w:after="0" w:line="179"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Ms. Monges has been a director since July 2021 and serves as the Chair of the Audit Committee. She serves as a non-executive director at Ferring Pharmaceuticals, ADC Therapeutics, BioMerieux and Novo Holdings. Prior to these roles, Ms. Monges was Chair of the board of EUROAPI, she held a position as VP of Finance of Nestlé's Business Excellence Division. Prior to that, she served as the Global CFO of the OTC division at Novartis. Ms. Monges also served as CFO of European Pharmaceuticals at Wyeth/Pfizer and as CFO of the Global Pharmaceutical Business unit of Wyeth/Pfizer. She holds an MBA from Ecole Supérieure de Commerce de Paris.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5.6 Committees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b w:val="1"/>
          <w:bCs w:val="1"/>
          <w:color w:val="auto"/>
        </w:rPr>
        <w:t>5.6.1 General</w:t>
      </w:r>
    </w:p>
    <w:p>
      <w:pPr>
        <w:spacing w:after="0" w:line="201"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The Board has established an audit committee, a compensation committee and a nomination and corporate governance committee. Each committee operates pursuant to its charter.</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at December 31, 2024, the committees were composed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1808480" cy="411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08480" cy="4114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Audit committee</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Compensation</w:t>
            </w:r>
          </w:p>
        </w:tc>
        <w:tc>
          <w:tcPr>
            <w:tcW w:w="1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Nomination</w:t>
            </w: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and</w:t>
            </w:r>
          </w:p>
        </w:tc>
        <w:tc>
          <w:tcPr>
            <w:tcW w:w="9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corporate</w:t>
            </w:r>
          </w:p>
        </w:tc>
      </w:tr>
      <w:tr>
        <w:trPr>
          <w:trHeight w:val="189"/>
        </w:trPr>
        <w:tc>
          <w:tcPr>
            <w:tcW w:w="2820" w:type="dxa"/>
            <w:vAlign w:val="bottom"/>
          </w:tcPr>
          <w:p>
            <w:pPr>
              <w:spacing w:after="0"/>
              <w:rPr>
                <w:sz w:val="16"/>
                <w:szCs w:val="16"/>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(and attendance rate)</w:t>
            </w:r>
          </w:p>
        </w:tc>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committee</w:t>
            </w:r>
          </w:p>
        </w:tc>
        <w:tc>
          <w:tcPr>
            <w:tcW w:w="1900" w:type="dxa"/>
            <w:vAlign w:val="bottom"/>
            <w:gridSpan w:val="2"/>
          </w:tcPr>
          <w:p>
            <w:pPr>
              <w:ind w:left="20"/>
              <w:spacing w:after="0"/>
              <w:rPr>
                <w:sz w:val="20"/>
                <w:szCs w:val="20"/>
                <w:color w:val="auto"/>
              </w:rPr>
            </w:pPr>
            <w:r>
              <w:rPr>
                <w:rFonts w:ascii="Arial" w:cs="Arial" w:eastAsia="Arial" w:hAnsi="Arial"/>
                <w:sz w:val="16"/>
                <w:szCs w:val="16"/>
                <w:b w:val="1"/>
                <w:bCs w:val="1"/>
                <w:color w:val="auto"/>
              </w:rPr>
              <w:t>governance committee</w:t>
            </w:r>
          </w:p>
        </w:tc>
        <w:tc>
          <w:tcPr>
            <w:tcW w:w="900" w:type="dxa"/>
            <w:vAlign w:val="bottom"/>
            <w:tcBorders>
              <w:right w:val="single" w:sz="8" w:color="auto"/>
            </w:tcBorders>
          </w:tcPr>
          <w:p>
            <w:pPr>
              <w:spacing w:after="0"/>
              <w:rPr>
                <w:sz w:val="16"/>
                <w:szCs w:val="16"/>
                <w:color w:val="auto"/>
              </w:rPr>
            </w:pPr>
          </w:p>
        </w:tc>
      </w:tr>
      <w:tr>
        <w:trPr>
          <w:trHeight w:val="210"/>
        </w:trPr>
        <w:tc>
          <w:tcPr>
            <w:tcW w:w="2820" w:type="dxa"/>
            <w:vAlign w:val="bottom"/>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(and attendance rate)</w:t>
            </w: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(and attendance rate)</w:t>
            </w:r>
          </w:p>
        </w:tc>
        <w:tc>
          <w:tcPr>
            <w:tcW w:w="900" w:type="dxa"/>
            <w:vAlign w:val="bottom"/>
            <w:tcBorders>
              <w:bottom w:val="single" w:sz="8" w:color="auto"/>
              <w:right w:val="single" w:sz="8" w:color="auto"/>
            </w:tcBorders>
          </w:tcPr>
          <w:p>
            <w:pPr>
              <w:spacing w:after="0"/>
              <w:rPr>
                <w:sz w:val="18"/>
                <w:szCs w:val="18"/>
                <w:color w:val="auto"/>
              </w:rPr>
            </w:pPr>
          </w:p>
        </w:tc>
      </w:tr>
      <w:tr>
        <w:trPr>
          <w:trHeight w:val="189"/>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Elisabeth Björk, M.D.</w:t>
            </w:r>
          </w:p>
        </w:tc>
        <w:tc>
          <w:tcPr>
            <w:tcW w:w="282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X (50% attendance)</w:t>
            </w:r>
          </w:p>
        </w:tc>
        <w:tc>
          <w:tcPr>
            <w:tcW w:w="900" w:type="dxa"/>
            <w:vAlign w:val="bottom"/>
            <w:tcBorders>
              <w:bottom w:val="single" w:sz="8" w:color="auto"/>
              <w:right w:val="single" w:sz="8" w:color="auto"/>
            </w:tcBorders>
          </w:tcPr>
          <w:p>
            <w:pPr>
              <w:spacing w:after="0"/>
              <w:rPr>
                <w:sz w:val="16"/>
                <w:szCs w:val="16"/>
                <w:color w:val="auto"/>
              </w:rPr>
            </w:pPr>
          </w:p>
        </w:tc>
      </w:tr>
      <w:tr>
        <w:trPr>
          <w:trHeight w:val="183"/>
        </w:trPr>
        <w:tc>
          <w:tcPr>
            <w:tcW w:w="282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Robert Glassman M.D.</w:t>
            </w:r>
          </w:p>
        </w:tc>
        <w:tc>
          <w:tcPr>
            <w:tcW w:w="282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X (100% attendance)</w:t>
            </w:r>
          </w:p>
        </w:tc>
        <w:tc>
          <w:tcPr>
            <w:tcW w:w="280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X (100% attendance)</w:t>
            </w: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83"/>
        </w:trPr>
        <w:tc>
          <w:tcPr>
            <w:tcW w:w="282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David Meeker, M.D.</w:t>
            </w:r>
          </w:p>
        </w:tc>
        <w:tc>
          <w:tcPr>
            <w:tcW w:w="2820" w:type="dxa"/>
            <w:vAlign w:val="bottom"/>
            <w:tcBorders>
              <w:bottom w:val="single" w:sz="8" w:color="auto"/>
              <w:right w:val="single" w:sz="8" w:color="auto"/>
            </w:tcBorders>
          </w:tcPr>
          <w:p>
            <w:pPr>
              <w:spacing w:after="0"/>
              <w:rPr>
                <w:sz w:val="15"/>
                <w:szCs w:val="15"/>
                <w:color w:val="auto"/>
              </w:rPr>
            </w:pPr>
          </w:p>
        </w:tc>
        <w:tc>
          <w:tcPr>
            <w:tcW w:w="28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X (100% attendance)</w:t>
            </w:r>
          </w:p>
        </w:tc>
        <w:tc>
          <w:tcPr>
            <w:tcW w:w="190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X* (100% attendance)</w:t>
            </w:r>
          </w:p>
        </w:tc>
        <w:tc>
          <w:tcPr>
            <w:tcW w:w="900" w:type="dxa"/>
            <w:vAlign w:val="bottom"/>
            <w:tcBorders>
              <w:bottom w:val="single" w:sz="8" w:color="auto"/>
              <w:right w:val="single" w:sz="8" w:color="auto"/>
            </w:tcBorders>
          </w:tcPr>
          <w:p>
            <w:pPr>
              <w:spacing w:after="0"/>
              <w:rPr>
                <w:sz w:val="15"/>
                <w:szCs w:val="15"/>
                <w:color w:val="auto"/>
              </w:rPr>
            </w:pPr>
          </w:p>
        </w:tc>
      </w:tr>
      <w:tr>
        <w:trPr>
          <w:trHeight w:val="183"/>
        </w:trPr>
        <w:tc>
          <w:tcPr>
            <w:tcW w:w="282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Viviane Monges</w:t>
            </w:r>
          </w:p>
        </w:tc>
        <w:tc>
          <w:tcPr>
            <w:tcW w:w="28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X* (100% attendance)</w:t>
            </w:r>
          </w:p>
        </w:tc>
        <w:tc>
          <w:tcPr>
            <w:tcW w:w="280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83"/>
        </w:trPr>
        <w:tc>
          <w:tcPr>
            <w:tcW w:w="282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Hans Schikan, Pharm.D.</w:t>
            </w:r>
          </w:p>
        </w:tc>
        <w:tc>
          <w:tcPr>
            <w:tcW w:w="28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X (100% attendance)</w:t>
            </w:r>
          </w:p>
        </w:tc>
        <w:tc>
          <w:tcPr>
            <w:tcW w:w="28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X* (100% attendance)</w:t>
            </w: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84"/>
        </w:trPr>
        <w:tc>
          <w:tcPr>
            <w:tcW w:w="2820" w:type="dxa"/>
            <w:vAlign w:val="bottom"/>
          </w:tcPr>
          <w:p>
            <w:pPr>
              <w:spacing w:after="0"/>
              <w:rPr>
                <w:sz w:val="20"/>
                <w:szCs w:val="20"/>
                <w:color w:val="auto"/>
              </w:rPr>
            </w:pPr>
            <w:r>
              <w:rPr>
                <w:rFonts w:ascii="Arial" w:cs="Arial" w:eastAsia="Arial" w:hAnsi="Arial"/>
                <w:sz w:val="14"/>
                <w:szCs w:val="14"/>
                <w:color w:val="auto"/>
              </w:rPr>
              <w:t>* Chairperson</w:t>
            </w:r>
          </w:p>
        </w:tc>
        <w:tc>
          <w:tcPr>
            <w:tcW w:w="28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87"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5.6.2 Audit Committee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responsibilities of our audit committee include:</w:t>
      </w:r>
    </w:p>
    <w:p>
      <w:pPr>
        <w:spacing w:after="0" w:line="302" w:lineRule="exact"/>
        <w:rPr>
          <w:sz w:val="20"/>
          <w:szCs w:val="20"/>
          <w:color w:val="auto"/>
        </w:rPr>
      </w:pPr>
    </w:p>
    <w:p>
      <w:pPr>
        <w:jc w:val="both"/>
        <w:ind w:left="1020" w:hanging="503"/>
        <w:spacing w:after="0" w:line="259"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monitoring the Board with respect to (i) the relations with, and the compliance with recommendations and follow-up of comments made by, the Company's internal audit function and the Dutch independent auditor, and, if relevant, other external parties involved in the audit of the Company's sustainability reporting (ii) the Company's funding, (iii) the application of information and communication technology by the Company, including risks relating to cybersecurity and (iv) the Company's tax policy;</w:t>
      </w:r>
    </w:p>
    <w:p>
      <w:pPr>
        <w:spacing w:after="0" w:line="69" w:lineRule="exact"/>
        <w:rPr>
          <w:rFonts w:ascii="Arial" w:cs="Arial" w:eastAsia="Arial" w:hAnsi="Arial"/>
          <w:sz w:val="16"/>
          <w:szCs w:val="16"/>
          <w:color w:val="auto"/>
        </w:rPr>
      </w:pPr>
    </w:p>
    <w:p>
      <w:pPr>
        <w:ind w:left="1020" w:hanging="503"/>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Company's compliance with applicable legal and regulatory requirements;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operation of the Company's code of business conduct and ethics and its other internal policies;</w:t>
      </w:r>
    </w:p>
    <w:p>
      <w:pPr>
        <w:spacing w:after="0" w:line="113"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issuing recommendations concerning the appointment and the dismissal of the head of the Company's internal audit function and reviewing and discussing the performance of the Company's internal audit function;</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t>97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1020" w:hanging="503"/>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and discussing the Company's audit plan with the Company's internal audit function and the Dutch independent auditor;</w:t>
      </w:r>
    </w:p>
    <w:p>
      <w:pPr>
        <w:spacing w:after="0" w:line="113"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and discussing the audit results with the Company's internal audit function and the Dutch independent auditor, including (i) flaws in the effectiveness of the Company's internal risk management and control systems, (ii) findings and observations with a material impact on the Company's risk profile and (iii) failing in the follow-up of recommendations made previously by the Company's internal audit function;</w:t>
      </w:r>
    </w:p>
    <w:p>
      <w:pPr>
        <w:spacing w:after="0" w:line="63"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and discussing with the Dutch independent auditor, at least annually, (i) the scope and materiality of the Company's audit plan and the principal risks of the Company's annual financial reporting identified in such audit plan, (ii) the findings and outcome of the Dutch independent auditor of the Company's financial statements and its management letter and (iii) significant findings from the audit of the Company's financial statements and any problems or difficulties encountered, including restrictions on the scope of the Dutch independent auditor's activities or on access to requested information, as well as significant disagreements with the Company's management;</w:t>
      </w:r>
    </w:p>
    <w:p>
      <w:pPr>
        <w:spacing w:after="0" w:line="71" w:lineRule="exact"/>
        <w:rPr>
          <w:rFonts w:ascii="Arial" w:cs="Arial" w:eastAsia="Arial" w:hAnsi="Arial"/>
          <w:sz w:val="16"/>
          <w:szCs w:val="16"/>
          <w:color w:val="auto"/>
        </w:rPr>
      </w:pPr>
    </w:p>
    <w:p>
      <w:pPr>
        <w:jc w:val="both"/>
        <w:ind w:left="1020" w:right="20" w:hanging="503"/>
        <w:spacing w:after="0" w:line="26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receiving from the Dutch independent auditor a formal written statement at least annually delineating all relationships between the Dutch independent auditor and the Company consistent with applicable requirements of the Public Company Accounting Oversight Board regarding the Dutch independent auditor's communications with the audit committee concerning independence;</w:t>
      </w:r>
    </w:p>
    <w:p>
      <w:pPr>
        <w:spacing w:after="0" w:line="63" w:lineRule="exact"/>
        <w:rPr>
          <w:rFonts w:ascii="Arial" w:cs="Arial" w:eastAsia="Arial" w:hAnsi="Arial"/>
          <w:sz w:val="16"/>
          <w:szCs w:val="16"/>
          <w:color w:val="auto"/>
        </w:rPr>
      </w:pPr>
    </w:p>
    <w:p>
      <w:pPr>
        <w:ind w:left="1020" w:right="20" w:hanging="503"/>
        <w:spacing w:after="0" w:line="28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determining whether and, if so, how the Dutch independent auditor should be involved in the content and publication of financial reports other than the Company's financial statements;</w:t>
      </w:r>
    </w:p>
    <w:p>
      <w:pPr>
        <w:spacing w:after="0" w:line="47" w:lineRule="exact"/>
        <w:rPr>
          <w:rFonts w:ascii="Arial" w:cs="Arial" w:eastAsia="Arial" w:hAnsi="Arial"/>
          <w:sz w:val="16"/>
          <w:szCs w:val="16"/>
          <w:color w:val="auto"/>
        </w:rPr>
      </w:pPr>
    </w:p>
    <w:p>
      <w:pPr>
        <w:ind w:left="1020" w:hanging="503"/>
        <w:spacing w:after="0" w:line="263"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resolving disagreements between the Company's management and the Dutch independent auditor regarding the Company's financial reporting;</w:t>
      </w:r>
    </w:p>
    <w:p>
      <w:pPr>
        <w:spacing w:after="0" w:line="284" w:lineRule="exact"/>
        <w:rPr>
          <w:rFonts w:ascii="Arial" w:cs="Arial" w:eastAsia="Arial" w:hAnsi="Arial"/>
          <w:sz w:val="16"/>
          <w:szCs w:val="16"/>
          <w:color w:val="auto"/>
        </w:rPr>
      </w:pPr>
    </w:p>
    <w:p>
      <w:pPr>
        <w:jc w:val="both"/>
        <w:ind w:left="1020" w:hanging="503"/>
        <w:spacing w:after="0" w:line="254"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and discussing with the Dutch independent auditor any audit problems or difficulties and the response of the Company's management thereto, including those matters required to be discussed with the audit committee by the Dutch independent auditor pursuant to established auditing standards, including (i) restrictions on the scope of the Dutch independent auditor's activities or on access to requested information, (ii) accounting adjustments that were noted or proposed by the Dutch independent auditor but were "passed" as immaterial or otherwise, (iii) communications between the audit team and the audit firm's national office regarding auditing or accounting issues presented by the engagement, and (iv) management or internal control letters issued, or proposed to be issued, by the Dutch independent auditor;</w:t>
      </w:r>
    </w:p>
    <w:p>
      <w:pPr>
        <w:spacing w:after="0" w:line="73" w:lineRule="exact"/>
        <w:rPr>
          <w:rFonts w:ascii="Arial" w:cs="Arial" w:eastAsia="Arial" w:hAnsi="Arial"/>
          <w:sz w:val="16"/>
          <w:szCs w:val="16"/>
          <w:color w:val="auto"/>
        </w:rPr>
      </w:pPr>
    </w:p>
    <w:p>
      <w:pPr>
        <w:jc w:val="both"/>
        <w:ind w:left="1020" w:hanging="503"/>
        <w:spacing w:after="0" w:line="253"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and discussing the effectiveness of the design and operation of the Company's risk management and control systems with the Board, the CEO and the CFO, including (i) identified material failings, deficiencies or material weaknesses in the Company's internal risk management and control systems, including whether there are significant deficiencies and material weaknesses in the design or operation of the Company's internal risk management and control systems which are reasonably likely to affect the Company's ability to record, process, summarize and report financial information and fraud involving the Company's management or other employees with a significant role in the design or operation of the Company's internal risk management and control systems and (ii) material changes made to, and material improvements planned for, the Company's internal risk management and control systems;</w:t>
      </w:r>
    </w:p>
    <w:p>
      <w:pPr>
        <w:spacing w:after="0" w:line="73"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assisting the Company in preparing the disclosure to be included in the Company's applicable filings as required by the Securities Act, the Exchange Act and their related rules;</w:t>
      </w:r>
    </w:p>
    <w:p>
      <w:pPr>
        <w:spacing w:after="0" w:line="47"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advising the Board regarding the Dutch independent auditor's nomination for (re)appointment or dismissal (including confirmation and evaluation on the rotation of the audit partners on the audit engagement team as required by applicable law and NASDAQ requirements) and preparing the selection of the Dutch independent auditor for such purpose, as relevant;</w:t>
      </w:r>
    </w:p>
    <w:p>
      <w:pPr>
        <w:spacing w:after="0" w:line="63"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and discussing the terms of engagement of the Dutch independent auditor to audit the Company's financial statements, to prepare or issue an audit report, or to perform other audit, review or attest services, submitting proposals to the Board concerning the Dutch independent auditor 's engagement to audit the Company's financial statements, in each case including the scope of the audit, the materiality standard to be applied and the Dutch independent auditor 's compensation and causing the Company, without further action, to pay the compensation of the Dutch independent auditor as approved by the audit committee;</w:t>
      </w:r>
    </w:p>
    <w:p>
      <w:pPr>
        <w:spacing w:after="0" w:line="71" w:lineRule="exact"/>
        <w:rPr>
          <w:rFonts w:ascii="Arial" w:cs="Arial" w:eastAsia="Arial" w:hAnsi="Arial"/>
          <w:sz w:val="16"/>
          <w:szCs w:val="16"/>
          <w:color w:val="auto"/>
        </w:rPr>
      </w:pPr>
    </w:p>
    <w:p>
      <w:pPr>
        <w:jc w:val="both"/>
        <w:ind w:left="1020" w:right="20" w:hanging="503"/>
        <w:spacing w:after="0" w:line="26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engagement of such independent legal, accounting and other advisors as the audit committee deems necessary or appropriate to carry out its responsibilities, including causing the Company, without further action, to pay the reasonable compensation of such advisors as approved by the audit committee;</w:t>
      </w:r>
    </w:p>
    <w:p>
      <w:pPr>
        <w:spacing w:after="0" w:line="63" w:lineRule="exact"/>
        <w:rPr>
          <w:rFonts w:ascii="Arial" w:cs="Arial" w:eastAsia="Arial" w:hAnsi="Arial"/>
          <w:sz w:val="16"/>
          <w:szCs w:val="16"/>
          <w:color w:val="auto"/>
        </w:rPr>
      </w:pPr>
    </w:p>
    <w:p>
      <w:pPr>
        <w:ind w:left="1020" w:right="20" w:hanging="503"/>
        <w:spacing w:after="0" w:line="28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causing the Company to pay, without further action, the ordinary administrative expenses of the audit committee that are necessary or appropriate in carrying out its responsibilities;</w:t>
      </w:r>
    </w:p>
    <w:p>
      <w:pPr>
        <w:spacing w:after="0" w:line="47"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preparing the audit committee report that the SEC rules require to be included in the Company's annual proxy statement (if and when the Company would become subject to those rules);</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establishing policies for the Company's hiring of current or former employees of the Dutch independent auditor;</w:t>
      </w:r>
    </w:p>
    <w:p>
      <w:pPr>
        <w:spacing w:after="0" w:line="113"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establishing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63"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potential conflicts of interest involving our directors, including whether they may take part in the deliberations and the decision-making on any issue as to which there may be a conflict;</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b w:val="1"/>
          <w:bCs w:val="1"/>
          <w:color w:val="auto"/>
        </w:rPr>
        <w:t>98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1020" w:hanging="503"/>
        <w:spacing w:after="0" w:line="286"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reviewing, approving and overseeing any transaction between the Company and any related persons on an ongoing basis, in accordance with the Company’s policies and procedures; and</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developing and recommending to the Board the Company's related person transaction policy.</w:t>
      </w:r>
    </w:p>
    <w:p>
      <w:pPr>
        <w:spacing w:after="0" w:line="370"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During the fiscal year to which this report relates, our audit committee met four times in order to carry out its responsibilities. The main items discussed at those meetings included the internal control remediation plan and follow-up on this during 2024, the (interim) financial statements, the actual financial results of each of the quarters, securities filings and financial press releases as well as the audit approach and the budget for 2024 and partly 2025.</w:t>
      </w:r>
    </w:p>
    <w:p>
      <w:pPr>
        <w:spacing w:after="0" w:line="333"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5.6.3 Compensation committee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responsibilities of our compensation committee include:</w:t>
      </w:r>
    </w:p>
    <w:p>
      <w:pPr>
        <w:spacing w:after="0" w:line="113" w:lineRule="exact"/>
        <w:rPr>
          <w:sz w:val="20"/>
          <w:szCs w:val="20"/>
          <w:color w:val="auto"/>
        </w:rPr>
      </w:pPr>
    </w:p>
    <w:p>
      <w:pPr>
        <w:jc w:val="both"/>
        <w:ind w:left="1020" w:hanging="503"/>
        <w:spacing w:after="0" w:line="266"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reviewing and evaluating the Company's compensation policy (the "</w:t>
      </w:r>
      <w:r>
        <w:rPr>
          <w:rFonts w:ascii="Arial" w:cs="Arial" w:eastAsia="Arial" w:hAnsi="Arial"/>
          <w:sz w:val="16"/>
          <w:szCs w:val="16"/>
          <w:b w:val="1"/>
          <w:bCs w:val="1"/>
          <w:color w:val="auto"/>
        </w:rPr>
        <w:t>Compensation Policy</w:t>
      </w:r>
      <w:r>
        <w:rPr>
          <w:rFonts w:ascii="Arial" w:cs="Arial" w:eastAsia="Arial" w:hAnsi="Arial"/>
          <w:sz w:val="16"/>
          <w:szCs w:val="16"/>
          <w:color w:val="auto"/>
        </w:rPr>
        <w:t>") and benefits policies generally, including the review and recommendation of incentive-compensation and equity-based plans of the Company, as well as the compensation of the CEO and the Company's other executive officers;</w:t>
      </w:r>
    </w:p>
    <w:p>
      <w:pPr>
        <w:spacing w:after="0" w:line="63" w:lineRule="exact"/>
        <w:rPr>
          <w:rFonts w:ascii="Arial" w:cs="Arial" w:eastAsia="Arial" w:hAnsi="Arial"/>
          <w:sz w:val="16"/>
          <w:szCs w:val="16"/>
          <w:color w:val="auto"/>
        </w:rPr>
      </w:pPr>
    </w:p>
    <w:p>
      <w:pPr>
        <w:ind w:left="1020" w:right="20" w:hanging="503"/>
        <w:spacing w:after="0" w:line="286"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evaluate at least annually the CEO's performance in light of those goals and objectives, and make recommendations to the Board regarding the CEO's compensation level based on this evaluation;</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submitting proposals to the Board concerning changes to Compensation Policy, as relevant;</w:t>
      </w:r>
    </w:p>
    <w:p>
      <w:pPr>
        <w:spacing w:after="0" w:line="113" w:lineRule="exact"/>
        <w:rPr>
          <w:rFonts w:ascii="Arial" w:cs="Arial" w:eastAsia="Arial" w:hAnsi="Arial"/>
          <w:sz w:val="16"/>
          <w:szCs w:val="16"/>
          <w:color w:val="auto"/>
        </w:rPr>
      </w:pPr>
    </w:p>
    <w:p>
      <w:pPr>
        <w:jc w:val="both"/>
        <w:ind w:left="1020" w:hanging="503"/>
        <w:spacing w:after="0" w:line="254"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submitting proposals to the Board concerning the compensation of the Company's executive officers and the individual directors, at least covering (i) the compensation structure, (ii) the amount of the fixed and variable compensation components, (iii) the applicable performance criteria (iv) the scenario analyses that have been carried out (v) the pay ratios within the Company's group, (vi) if it concerns the compensation of a director, the views of the director concerned with regard to the amount and structure of his own compensation and (vii) if considered appropriate by the Board or the compensation committee, the views of the executive officer concerned with regard to the amount and structure of his own compensation;</w:t>
      </w:r>
    </w:p>
    <w:p>
      <w:pPr>
        <w:spacing w:after="0" w:line="73"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review and assessment of risks arising from the Compensation Policy and practices and whether any such risks are reasonably likely to have a material adverse effect on the Company;</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preparation of the Company's compensation report for the Board;</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set the composition of the peer company group used for market comparison for executive compensation;</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preparation of the compensation committee's report required by SEC rules or the rules of any other regulatory body;</w:t>
      </w:r>
    </w:p>
    <w:p>
      <w:pPr>
        <w:spacing w:after="0" w:line="113"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review and recommend to the Board for approval the adoption, amendment or modification of a “clawback” policy that allows the Company to recoup incentive compensation in compliance with Section 10D of the Securities Exchange Act of 1934, as amended, the rules promulgated thereunder, and the NASDAQ listing standards, and to administer the “clawback” policy in accordance with its terms ; and</w:t>
      </w:r>
    </w:p>
    <w:p>
      <w:pPr>
        <w:spacing w:after="0" w:line="63" w:lineRule="exact"/>
        <w:rPr>
          <w:rFonts w:ascii="Arial" w:cs="Arial" w:eastAsia="Arial" w:hAnsi="Arial"/>
          <w:sz w:val="16"/>
          <w:szCs w:val="16"/>
          <w:color w:val="auto"/>
        </w:rPr>
      </w:pPr>
    </w:p>
    <w:p>
      <w:pPr>
        <w:jc w:val="both"/>
        <w:ind w:left="1020" w:hanging="503"/>
        <w:spacing w:after="0" w:line="253"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retention of or obtaining advice from a compensation consultant, legal counsel or other advisor as the compensation committee deems necessary or appropriate to carry out its responsibilities, including the appointment of such consultant, counsel or advisor and the ability to cause the Company, without further action, to pay with Company funds the reasonable compensation of such consultant, counsel or advisor as approved by the compensation committee, provided, however, that (i) in retaining or obtaining the advice of such consultant, counsel or advisor, other than in-house legal counsel, the compensation committee shall take into consideration the factors affecting independence and conflicts of interest required by applicable SEC rules and NASDAQ rules and (ii) the compensation committee will be responsible for the oversight of the work of any such consultant, counsel or advisor.</w:t>
      </w:r>
    </w:p>
    <w:p>
      <w:pPr>
        <w:spacing w:after="0" w:line="141" w:lineRule="exact"/>
        <w:rPr>
          <w:sz w:val="20"/>
          <w:szCs w:val="20"/>
          <w:color w:val="auto"/>
        </w:rPr>
      </w:pPr>
    </w:p>
    <w:p>
      <w:pPr>
        <w:jc w:val="both"/>
        <w:ind w:right="40" w:firstLine="458"/>
        <w:spacing w:after="0" w:line="266" w:lineRule="auto"/>
        <w:rPr>
          <w:sz w:val="20"/>
          <w:szCs w:val="20"/>
          <w:color w:val="auto"/>
        </w:rPr>
      </w:pPr>
      <w:r>
        <w:rPr>
          <w:rFonts w:ascii="Arial" w:cs="Arial" w:eastAsia="Arial" w:hAnsi="Arial"/>
          <w:sz w:val="16"/>
          <w:szCs w:val="16"/>
          <w:color w:val="auto"/>
        </w:rPr>
        <w:t>During the fiscal year to which this report relates, our compensation committee met four times in order to carry out its responsibilities. The main items discussed at those meetings included the performance and terms and conditions of our executive compensation, the long-term incentive grants analysis and recommendations and the non-executive salary increase and bonus proposal.</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5.6.4 Nomination and corporate governance committee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responsibilities of our nomination and corporate governance committee include:</w:t>
      </w:r>
    </w:p>
    <w:p>
      <w:pPr>
        <w:spacing w:after="0" w:line="343" w:lineRule="exact"/>
        <w:rPr>
          <w:sz w:val="20"/>
          <w:szCs w:val="20"/>
          <w:color w:val="auto"/>
        </w:rPr>
      </w:pPr>
    </w:p>
    <w:p>
      <w:pPr>
        <w:ind w:left="1020" w:hanging="503"/>
        <w:spacing w:after="0"/>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drawing up selection criteria and appointment procedures for our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reviewing the size and composition of the Board and submitting proposals for the composition profile of the Board;</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making recommendations to the Board as to the determination of independence of non-executive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reviewing the functioning of individual directors and reporting on such review to the Board;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99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1020" w:hanging="503"/>
        <w:spacing w:after="0"/>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drawing up a plan for the succession of our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submitting proposals for (re)appointment of our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supervising the policy of the Board regarding the selection criteria and appointment procedures for the Company's senior management;</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overseeing the self-evaluation of the Board and its committees to determine whether they are functioning effectively;</w:t>
      </w:r>
    </w:p>
    <w:p>
      <w:pPr>
        <w:spacing w:after="0" w:line="113"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and discussing with management disclosure of the Company's corporate governance practices, including information regarding the operations of the corporate governance committee and other Board committees, director independence and the director nominations process, and to recommend that this disclosure be included in the Company's annual report on Form 20-F;</w:t>
      </w:r>
    </w:p>
    <w:p>
      <w:pPr>
        <w:spacing w:after="0" w:line="63" w:lineRule="exact"/>
        <w:rPr>
          <w:rFonts w:ascii="Arial" w:cs="Arial" w:eastAsia="Arial" w:hAnsi="Arial"/>
          <w:sz w:val="16"/>
          <w:szCs w:val="16"/>
          <w:color w:val="auto"/>
        </w:rPr>
      </w:pPr>
    </w:p>
    <w:p>
      <w:pPr>
        <w:ind w:left="1020" w:right="20" w:hanging="503"/>
        <w:spacing w:after="0" w:line="286" w:lineRule="auto"/>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developing and implementing the goals the Company may establish from time to time with respect to its environmental, social and governance and sustainability matters, and provide guidance to the Board on such matters;</w:t>
      </w:r>
    </w:p>
    <w:p>
      <w:pPr>
        <w:spacing w:after="0" w:line="47" w:lineRule="exact"/>
        <w:rPr>
          <w:rFonts w:ascii="Arial" w:cs="Arial" w:eastAsia="Arial" w:hAnsi="Arial"/>
          <w:sz w:val="16"/>
          <w:szCs w:val="16"/>
          <w:color w:val="auto"/>
        </w:rPr>
      </w:pPr>
    </w:p>
    <w:p>
      <w:pPr>
        <w:jc w:val="both"/>
        <w:ind w:left="1020" w:right="20" w:hanging="503"/>
        <w:spacing w:after="0" w:line="286" w:lineRule="auto"/>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developing the Company's code of conduct, corporate governance guidelines and other corporate governance policies, including, at least annually, reviewing and reassessing the adequacy of the Company's code of conduct and recommending any proposed changes to the Board;</w:t>
      </w:r>
    </w:p>
    <w:p>
      <w:pPr>
        <w:spacing w:after="0" w:line="47"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relating to succession planning for the CEO, including in the event of an emergency, and reviewing development plans for those individuals identified as potential successors to the CEO; and</w:t>
      </w:r>
    </w:p>
    <w:p>
      <w:pPr>
        <w:spacing w:after="0" w:line="47"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and making recommendations relating to talent management and succession planning for senior executive officers other than the CEO.</w:t>
      </w:r>
    </w:p>
    <w:p>
      <w:pPr>
        <w:spacing w:after="0" w:line="115" w:lineRule="exact"/>
        <w:rPr>
          <w:sz w:val="20"/>
          <w:szCs w:val="20"/>
          <w:color w:val="auto"/>
        </w:rPr>
      </w:pPr>
    </w:p>
    <w:p>
      <w:pPr>
        <w:ind w:right="700" w:firstLine="458"/>
        <w:spacing w:after="0" w:line="286" w:lineRule="auto"/>
        <w:rPr>
          <w:sz w:val="20"/>
          <w:szCs w:val="20"/>
          <w:color w:val="auto"/>
        </w:rPr>
      </w:pPr>
      <w:r>
        <w:rPr>
          <w:rFonts w:ascii="Arial" w:cs="Arial" w:eastAsia="Arial" w:hAnsi="Arial"/>
          <w:sz w:val="16"/>
          <w:szCs w:val="16"/>
          <w:color w:val="auto"/>
        </w:rPr>
        <w:t>During the fiscal year to which this report relates, our nomination and corporate governance committee met four times in order to carry out its responsibilities. The main items discussed at those meetings included a regulatory update and committee governance.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5.7 Evaluation</w:t>
      </w:r>
    </w:p>
    <w:p>
      <w:pPr>
        <w:spacing w:after="0" w:line="194"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During the fiscal year to which this report relates, the Board has evaluated its own functioning, the functioning of the committees of the Board and that of the individual directors on the basis of a questionnaire approved by the Nominating and Governance committee. The Company conducted interviews with each member of the Board utilizing the approved questionnaire. As part of these evaluations, the Board has considered (i) substantive aspects, mutual interaction, (ii) events that occurred in practice from which lessons may be learned and (iii) the desired profile, composition, competencies and expertise of the Board. These evaluations are intended to facilitate an examination and discussion by the Board of its effectiveness and areas for improvement. The Board conducted a self-evaluation in 2024 and reviewed the findings at the Company's December Board meeting. The overall assessment from the Board members is that the Board is performing well, has constructive discussions and is effective in its decision-making. The Board questionnaire addressed four themes:</w:t>
      </w:r>
    </w:p>
    <w:p>
      <w:pPr>
        <w:spacing w:after="0" w:line="200" w:lineRule="exact"/>
        <w:rPr>
          <w:sz w:val="20"/>
          <w:szCs w:val="20"/>
          <w:color w:val="auto"/>
        </w:rPr>
      </w:pPr>
    </w:p>
    <w:p>
      <w:pPr>
        <w:spacing w:after="0" w:line="270"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 Composition of the Board</w:t>
      </w:r>
    </w:p>
    <w:p>
      <w:pPr>
        <w:spacing w:after="0" w:line="20" w:lineRule="exact"/>
        <w:rPr>
          <w:rFonts w:ascii="Times New Roman" w:cs="Times New Roman" w:eastAsia="Times New Roman" w:hAnsi="Times New Roman"/>
          <w:sz w:val="16"/>
          <w:szCs w:val="16"/>
          <w:color w:val="auto"/>
        </w:rPr>
      </w:pPr>
    </w:p>
    <w:p>
      <w:pPr>
        <w:ind w:left="1120" w:hanging="94"/>
        <w:spacing w:after="0"/>
        <w:tabs>
          <w:tab w:leader="none" w:pos="11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Functioning of the Board</w:t>
      </w:r>
    </w:p>
    <w:p>
      <w:pPr>
        <w:spacing w:after="0" w:line="5" w:lineRule="exact"/>
        <w:rPr>
          <w:rFonts w:ascii="Arial" w:cs="Arial" w:eastAsia="Arial" w:hAnsi="Arial"/>
          <w:sz w:val="16"/>
          <w:szCs w:val="16"/>
          <w:color w:val="auto"/>
        </w:rPr>
      </w:pPr>
    </w:p>
    <w:p>
      <w:pPr>
        <w:ind w:left="1120" w:hanging="94"/>
        <w:spacing w:after="0"/>
        <w:tabs>
          <w:tab w:leader="none" w:pos="11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Access to Information</w:t>
      </w:r>
    </w:p>
    <w:p>
      <w:pPr>
        <w:spacing w:after="0" w:line="5" w:lineRule="exact"/>
        <w:rPr>
          <w:rFonts w:ascii="Arial" w:cs="Arial" w:eastAsia="Arial" w:hAnsi="Arial"/>
          <w:sz w:val="16"/>
          <w:szCs w:val="16"/>
          <w:color w:val="auto"/>
        </w:rPr>
      </w:pPr>
    </w:p>
    <w:p>
      <w:pPr>
        <w:ind w:left="1120" w:hanging="94"/>
        <w:spacing w:after="0"/>
        <w:tabs>
          <w:tab w:leader="none" w:pos="11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Functioning of the Committees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basis of these evaluations, the Board has concluded that the Board is functioning properly.</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5.8 Diversity</w:t>
      </w:r>
    </w:p>
    <w:p>
      <w:pPr>
        <w:spacing w:after="0" w:line="181"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i w:val="1"/>
          <w:iCs w:val="1"/>
          <w:color w:val="auto"/>
        </w:rPr>
        <w:t>Diversity Policy</w:t>
      </w:r>
      <w:r>
        <w:rPr>
          <w:rFonts w:ascii="Arial" w:cs="Arial" w:eastAsia="Arial" w:hAnsi="Arial"/>
          <w:sz w:val="16"/>
          <w:szCs w:val="16"/>
          <w:color w:val="auto"/>
        </w:rPr>
        <w:t>. The Company does not have a Diversity and Inclusion Policy that is fully responsive to the DCGC; however, the Company has</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objectives with respect to the composition of the Board as part of the Company’s policy regarding the qualification and nomination of director candidates. The Company is committed to supporting, valuing and leveraging diversity and the Company recognizes and welcomes diversity with respect to gender, age, race, ethnicity, nationality, sexual orientation and other important cultural differences. In its evaluation of new candidates, the nominating and governance committee may consider race or ethnicity, nationality, gender, sexual orientation, age, background, education skills and experience, as well as the restrictions, requirements and recommendations concerning those matters under applicable law, Nasdaq rules or best practice provisions of the Dutch Corporate Governance Code in relation to the full Board and/or individual directors or director candidates. However, the Company also believes that there is a fine line between diversity and unintentional discrimination. For that reason, the importance of diversity, in and of itself, should not set aside the overriding principle that someone should be recommended, nominated and appointed for being “the right person for the job.”</w:t>
      </w:r>
    </w:p>
    <w:p>
      <w:pPr>
        <w:spacing w:after="0" w:line="158"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Although the Company has not yet set specific targets with respect to certain elements of diversity, the Company believes that it is important for the Board and its senior management to represent a diverse composite mix of personal backgrounds, experiences, qualifications, knowledge, abilities and viewpoints, consistent with the principles outlined above. The Company also seeks to combine the skills and experience of long-standing members of the Board and its senior management with the fresh perspectives, insights, skills and experiences of new candidates from time to time. To further increase the range of viewpoints, perspectives, talents and experience, the Company strives for a mix of ages among the Board and its senior management, but also does not set a specific target in this respect.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100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81" w:lineRule="exact"/>
        <w:rPr>
          <w:sz w:val="20"/>
          <w:szCs w:val="20"/>
          <w:color w:val="auto"/>
        </w:rPr>
      </w:pPr>
    </w:p>
    <w:p>
      <w:pPr>
        <w:jc w:val="both"/>
        <w:ind w:right="140" w:firstLine="458"/>
        <w:spacing w:after="0" w:line="266" w:lineRule="auto"/>
        <w:rPr>
          <w:sz w:val="20"/>
          <w:szCs w:val="20"/>
          <w:color w:val="auto"/>
        </w:rPr>
      </w:pPr>
      <w:r>
        <w:rPr>
          <w:rFonts w:ascii="Arial" w:cs="Arial" w:eastAsia="Arial" w:hAnsi="Arial"/>
          <w:sz w:val="16"/>
          <w:szCs w:val="16"/>
          <w:i w:val="1"/>
          <w:iCs w:val="1"/>
          <w:color w:val="auto"/>
        </w:rPr>
        <w:t>Diversity Targets</w:t>
      </w:r>
      <w:r>
        <w:rPr>
          <w:rFonts w:ascii="Arial" w:cs="Arial" w:eastAsia="Arial" w:hAnsi="Arial"/>
          <w:sz w:val="16"/>
          <w:szCs w:val="16"/>
          <w:color w:val="auto"/>
        </w:rPr>
        <w:t>. As of December 31, 2024, 4 out of 6 of the Directors were male and 2 out of 6 of the Directors were female. To the extent possible</w:t>
      </w:r>
      <w:r>
        <w:rPr>
          <w:rFonts w:ascii="Arial" w:cs="Arial" w:eastAsia="Arial" w:hAnsi="Arial"/>
          <w:sz w:val="16"/>
          <w:szCs w:val="16"/>
          <w:i w:val="1"/>
          <w:iCs w:val="1"/>
          <w:color w:val="auto"/>
        </w:rPr>
        <w:t xml:space="preserve"> </w:t>
      </w:r>
      <w:r>
        <w:rPr>
          <w:rFonts w:ascii="Arial" w:cs="Arial" w:eastAsia="Arial" w:hAnsi="Arial"/>
          <w:sz w:val="16"/>
          <w:szCs w:val="16"/>
          <w:color w:val="auto"/>
        </w:rPr>
        <w:t>and practicable, the Company intends for the composition of the Board to remain as balanced as reasonably possible, provided for a minimum target of at least 30% of the directors to be male and at least 30% of them to be female.</w:t>
      </w:r>
    </w:p>
    <w:p>
      <w:pPr>
        <w:spacing w:after="0" w:line="144" w:lineRule="exact"/>
        <w:rPr>
          <w:sz w:val="20"/>
          <w:szCs w:val="20"/>
          <w:color w:val="auto"/>
        </w:rPr>
      </w:pPr>
    </w:p>
    <w:p>
      <w:pPr>
        <w:ind w:right="320" w:firstLine="458"/>
        <w:spacing w:after="0" w:line="286" w:lineRule="auto"/>
        <w:rPr>
          <w:sz w:val="20"/>
          <w:szCs w:val="20"/>
          <w:color w:val="auto"/>
        </w:rPr>
      </w:pPr>
      <w:r>
        <w:rPr>
          <w:rFonts w:ascii="Arial" w:cs="Arial" w:eastAsia="Arial" w:hAnsi="Arial"/>
          <w:sz w:val="16"/>
          <w:szCs w:val="16"/>
          <w:color w:val="auto"/>
        </w:rPr>
        <w:t>The Company believes that the current composition of its Board has achieved the Company’s diversity objectives, as outlined above, including the Company’s diversity objective with respect to gender.</w:t>
      </w:r>
    </w:p>
    <w:p>
      <w:pPr>
        <w:spacing w:after="0" w:line="115"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In connection with the operation of the Company's diversity objectives, the Company has defined its senior management.The Company's senior management consists of senior professionals either holding an Officer role at Pharvaris, overseeing a department and relevant department budget and reporting to the CEO or being the CEO or is the Principal Accounting Officer/Head of SOX. As of December 31, 2024, 4 out of 8 senior management members were male and 4 out of 8 senior management members were female. To the extent reasonable and practicable, the Company intends for the composition of senior management to be at least 30% female. Based on the size of our senior management, the Company’s goal is to maintain our current level of gender diversity and believes that the current composition of its senior management has more than achieved the Company’s diversity objective with respect to gender.</w:t>
      </w:r>
    </w:p>
    <w:p>
      <w:pPr>
        <w:spacing w:after="0" w:line="141"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The Company employs 111 persons as of December 31, 2024, of which 50 are male and 61 are female. The Company targets an overall gender ratio among its employees of at least 30% male employees and at least 30% female employees.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has taken the following activities and measures for a more balanced gender ratio within the organization:</w:t>
      </w:r>
    </w:p>
    <w:p>
      <w:pPr>
        <w:spacing w:after="0" w:line="343" w:lineRule="exact"/>
        <w:rPr>
          <w:sz w:val="20"/>
          <w:szCs w:val="20"/>
          <w:color w:val="auto"/>
        </w:rPr>
      </w:pPr>
    </w:p>
    <w:p>
      <w:pPr>
        <w:ind w:left="1020" w:hanging="503"/>
        <w:spacing w:after="0"/>
        <w:tabs>
          <w:tab w:leader="none" w:pos="102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establishing policies that support equal opportunities for employees, senior management and applicants for employment;</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encouraging and enforcing respectful communication and cooperation among all employees and senior management;</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fostering a corporate culture where employees and senior management are treated with dignity, respect and understanding;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requiring employee and senior management participation in training on diversity and inclusion;</w:t>
      </w:r>
    </w:p>
    <w:p>
      <w:pPr>
        <w:spacing w:after="0" w:line="125"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actively encouraging employees and officers who feel that they have been subjected to discrimination or harassment to report this to their supervisor or to the Company’s human resources department;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regularly review our corporate policies to ensure equal treatment.</w:t>
      </w:r>
    </w:p>
    <w:p>
      <w:pPr>
        <w:spacing w:after="0" w:line="207"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Given the gender ratios both in the Board as well as senior management, we are satisfied overall with our efforts towards improving gender diversity and we believe that our activities, training, mentoring and programs will continue to enhance the Company’s diversity objectives.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5.9 Corporate values and code of business conduct and ethics</w:t>
      </w:r>
    </w:p>
    <w:p>
      <w:pPr>
        <w:spacing w:after="0" w:line="181" w:lineRule="exact"/>
        <w:rPr>
          <w:sz w:val="20"/>
          <w:szCs w:val="20"/>
          <w:color w:val="auto"/>
        </w:rPr>
      </w:pPr>
    </w:p>
    <w:p>
      <w:pPr>
        <w:ind w:right="400" w:firstLine="458"/>
        <w:spacing w:after="0" w:line="266" w:lineRule="auto"/>
        <w:rPr>
          <w:sz w:val="20"/>
          <w:szCs w:val="20"/>
          <w:color w:val="auto"/>
        </w:rPr>
      </w:pPr>
      <w:r>
        <w:rPr>
          <w:rFonts w:ascii="Arial" w:cs="Arial" w:eastAsia="Arial" w:hAnsi="Arial"/>
          <w:sz w:val="16"/>
          <w:szCs w:val="16"/>
          <w:color w:val="auto"/>
        </w:rPr>
        <w:t>We recently revised our code of business conduct and ethics which covers a broad range of matters including the handling of conflicts of interest, compliance topics (including reporting concerns), and other corporate policies such as insider trading and equal opportunity and non-discrimination standards. We believe our code of business conduct and ethics is effective.</w:t>
      </w:r>
    </w:p>
    <w:p>
      <w:pPr>
        <w:spacing w:after="0" w:line="131" w:lineRule="exact"/>
        <w:rPr>
          <w:sz w:val="20"/>
          <w:szCs w:val="20"/>
          <w:color w:val="auto"/>
        </w:rPr>
      </w:pPr>
    </w:p>
    <w:p>
      <w:pPr>
        <w:jc w:val="both"/>
        <w:ind w:right="500" w:firstLine="458"/>
        <w:spacing w:after="0" w:line="266" w:lineRule="auto"/>
        <w:rPr>
          <w:sz w:val="20"/>
          <w:szCs w:val="20"/>
          <w:color w:val="auto"/>
        </w:rPr>
      </w:pPr>
      <w:r>
        <w:rPr>
          <w:rFonts w:ascii="Arial" w:cs="Arial" w:eastAsia="Arial" w:hAnsi="Arial"/>
          <w:sz w:val="16"/>
          <w:szCs w:val="16"/>
          <w:color w:val="auto"/>
        </w:rPr>
        <w:t>We have defined and communicated internally and externally our Corporate Values which underpin our overall Company Culture and reflect the organization's brand. The values act as a set of guiding principles and beliefs and help the workforce function together as a team and work towards a common goal.</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Compensation</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6.1 Compensation policy</w:t>
      </w:r>
    </w:p>
    <w:p>
      <w:pPr>
        <w:spacing w:after="0" w:line="181"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Pursuant to Section 2:135(1) DCC, the General Meeting has adopted a Compensation Policy. The Compensation Policy is designed to contribute to the Company's strategy, long-term interests and sustainability by:</w:t>
      </w:r>
    </w:p>
    <w:p>
      <w:pPr>
        <w:spacing w:after="0" w:line="237" w:lineRule="exact"/>
        <w:rPr>
          <w:sz w:val="20"/>
          <w:szCs w:val="20"/>
          <w:color w:val="auto"/>
        </w:rPr>
      </w:pPr>
    </w:p>
    <w:p>
      <w:pPr>
        <w:ind w:left="2040" w:hanging="505"/>
        <w:spacing w:after="0" w:line="286" w:lineRule="auto"/>
        <w:tabs>
          <w:tab w:leader="none" w:pos="20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attracting, retaining and motivating highly skilled individuals with the qualities, capabilities, profile and experience needed to support and promote the growth and sustainable success of the Company and its business;</w:t>
      </w:r>
    </w:p>
    <w:p>
      <w:pPr>
        <w:spacing w:after="0" w:line="47" w:lineRule="exact"/>
        <w:rPr>
          <w:rFonts w:ascii="Arial" w:cs="Arial" w:eastAsia="Arial" w:hAnsi="Arial"/>
          <w:sz w:val="16"/>
          <w:szCs w:val="16"/>
          <w:color w:val="auto"/>
        </w:rPr>
      </w:pPr>
    </w:p>
    <w:p>
      <w:pPr>
        <w:jc w:val="both"/>
        <w:ind w:left="2040" w:hanging="505"/>
        <w:spacing w:after="0" w:line="266" w:lineRule="auto"/>
        <w:tabs>
          <w:tab w:leader="none" w:pos="20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driving strong business performance, promoting accountability and incentivising the achievement of short and long-term performance targets with the objective of furthering long-term value creation in a manner consistent with the Company's identity, mission and values;</w:t>
      </w:r>
    </w:p>
    <w:p>
      <w:pPr>
        <w:spacing w:after="0" w:line="63" w:lineRule="exact"/>
        <w:rPr>
          <w:rFonts w:ascii="Arial" w:cs="Arial" w:eastAsia="Arial" w:hAnsi="Arial"/>
          <w:sz w:val="16"/>
          <w:szCs w:val="16"/>
          <w:color w:val="auto"/>
        </w:rPr>
      </w:pPr>
    </w:p>
    <w:p>
      <w:pPr>
        <w:ind w:left="2040" w:hanging="505"/>
        <w:spacing w:after="0"/>
        <w:tabs>
          <w:tab w:leader="none" w:pos="20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assuring that the interests of the Directors are closely aligned to those of the Company, its business and its stakeholders; and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101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2040" w:hanging="505"/>
        <w:spacing w:after="0" w:line="286" w:lineRule="auto"/>
        <w:tabs>
          <w:tab w:leader="none" w:pos="20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ensuring overall market competitiveness of the Compensation Packages, while providing the Board sufficient flexibility to tailor the Company's compensation practices on a case-by-case basis, depending on the market conditions from time to time.</w:t>
      </w:r>
    </w:p>
    <w:p>
      <w:pPr>
        <w:spacing w:after="0" w:line="345"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We believe that this approach and philosophy benefits the realisation of the Company's long-term objectives while keeping with the Company's risk profile.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6.2 Compensation of directors</w:t>
      </w:r>
    </w:p>
    <w:p>
      <w:pPr>
        <w:spacing w:after="0" w:line="194"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See Note 20 (Related parties) to the consolidated financial statements for an overview of the implementation of the Compensation Policy in the fiscal year to which this report relates. In determining the level and structure of the compensation of the directors in the fiscal year to which this report relates relevant scenario analyses carried out in advance have been considered as follows: In December 2024 – and after Compensation Committee approval in August 2024 - with the support of an independent and objective Compensation consultant, a review and update of the global peer group was completed and 5 peer group companies were removed (1 delisted company, and 4 companies with important (&gt;80%) drops in share price). The updated peer group and relevant market data was used in assessing and proposing adjustments to the Company’s cash compensation and pay philosophy and considering our approach to cash adjustments and equity awards for 2025.</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6.3 Pay ratio</w:t>
      </w:r>
    </w:p>
    <w:p>
      <w:pPr>
        <w:spacing w:after="0" w:line="18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The DCGC recommends that the Company provide a ratio comparing the total annual compensation of our executive director and that of a "representative reference group" determined by the Company. We have chosen to compare the cash compensation of our Chief Executive Officer to that of a median full-time permanent employee. Our methodology for producing this ratio excludes employees employed on a non-permanent basis. We have used the aggregate target cash compensation over the fiscal year concerned as a reference amount (i.e., excluding the value of equity incentive awards and other non-cash compensation components). To calculate the ratio, we have annualized the salaries of employees who had worked with us for less than a year as of December 31, 2024, and have calculated the salaries of employees on a part-time basis to reflect a full-time employment. Based on this methodology, the ratio between the total target cash compensation (Annual Base Salary and bonus target) of our Chief Executive Officer and a median full-time permanent employee for the fiscal year to which this report relates is 1 to 3.57 (rounded to the nearest integer). This CEO pay ratio has increased slightly in 2024 compared to the CEO pay ratio reported in our previous report for 2023 at 1 to 3.20 (2022: 1 to 3.18, 2021: 1 to 2.77).</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Related party transactions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on related party transactions, see Note 20 (Related parties) to the Consolidated Financial Statements.</w:t>
      </w:r>
    </w:p>
    <w:p>
      <w:pPr>
        <w:spacing w:after="0" w:line="181"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Where applicable, best practice provisions 2.7.3, 2.7.4 and 2.7.5 of the DCGC have been observed with respect to the transactions referenced above in this chapter 7.</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Protective Measures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several provisions that may have the effect of making a takeover of our Company more difficult or less attractive, including:</w:t>
      </w:r>
    </w:p>
    <w:p>
      <w:pPr>
        <w:spacing w:after="0" w:line="113" w:lineRule="exact"/>
        <w:rPr>
          <w:sz w:val="20"/>
          <w:szCs w:val="20"/>
          <w:color w:val="auto"/>
        </w:rPr>
      </w:pPr>
    </w:p>
    <w:p>
      <w:pPr>
        <w:ind w:left="1020" w:hanging="503"/>
        <w:spacing w:after="0" w:line="285" w:lineRule="auto"/>
        <w:tabs>
          <w:tab w:leader="none" w:pos="102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removed at the general meeting by a two-thirds majority of votes cast representing more than half of our issued share capital if such removal is not proposed by our Board;</w:t>
      </w:r>
    </w:p>
    <w:p>
      <w:pPr>
        <w:spacing w:after="0" w:line="48" w:lineRule="exact"/>
        <w:rPr>
          <w:rFonts w:ascii="Times New Roman" w:cs="Times New Roman" w:eastAsia="Times New Roman" w:hAnsi="Times New Roman"/>
          <w:sz w:val="16"/>
          <w:szCs w:val="16"/>
          <w:color w:val="auto"/>
        </w:rPr>
      </w:pPr>
    </w:p>
    <w:p>
      <w:pPr>
        <w:jc w:val="both"/>
        <w:ind w:left="1020" w:right="20" w:hanging="503"/>
        <w:spacing w:after="0" w:line="266" w:lineRule="auto"/>
        <w:tabs>
          <w:tab w:leader="none" w:pos="102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62"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former chairman of our Board or our former chief executive officer to be charged with our management if all of our directors are absent or incapacitated; and</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brought to our shareholders for a vote upon a proposal by our Board.</w:t>
      </w:r>
    </w:p>
    <w:p>
      <w:pPr>
        <w:spacing w:after="0" w:line="116" w:lineRule="exact"/>
        <w:rPr>
          <w:sz w:val="20"/>
          <w:szCs w:val="20"/>
          <w:color w:val="auto"/>
        </w:rPr>
      </w:pPr>
    </w:p>
    <w:p>
      <w:pPr>
        <w:ind w:right="820" w:firstLine="458"/>
        <w:spacing w:after="0" w:line="28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115" w:lineRule="exact"/>
        <w:rPr>
          <w:sz w:val="20"/>
          <w:szCs w:val="20"/>
          <w:color w:val="auto"/>
        </w:rPr>
      </w:pPr>
    </w:p>
    <w:p>
      <w:pPr>
        <w:jc w:val="both"/>
        <w:ind w:right="180" w:firstLine="458"/>
        <w:spacing w:after="0" w:line="266"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directors), our Board must be given the opportunity to</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102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53"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41"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(the "Enterprise Chamber") for early termination of the cooling-off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Enterprise Chamber must rule in favor of the request if the shareholders can demonstrate that:</w:t>
      </w:r>
    </w:p>
    <w:p>
      <w:pPr>
        <w:spacing w:after="0" w:line="113" w:lineRule="exact"/>
        <w:rPr>
          <w:sz w:val="20"/>
          <w:szCs w:val="20"/>
          <w:color w:val="auto"/>
        </w:rPr>
      </w:pPr>
    </w:p>
    <w:p>
      <w:pPr>
        <w:ind w:left="1020" w:right="20" w:hanging="503"/>
        <w:spacing w:after="0" w:line="285" w:lineRule="auto"/>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25" w:lineRule="exact"/>
        <w:rPr>
          <w:rFonts w:ascii="Times New Roman" w:cs="Times New Roman" w:eastAsia="Times New Roman" w:hAnsi="Times New Roman"/>
          <w:sz w:val="16"/>
          <w:szCs w:val="16"/>
          <w:color w:val="auto"/>
        </w:rPr>
      </w:pPr>
    </w:p>
    <w:p>
      <w:pPr>
        <w:jc w:val="both"/>
        <w:ind w:left="1020" w:hanging="503"/>
        <w:spacing w:after="0" w:line="266" w:lineRule="auto"/>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t>103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104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99.4</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466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Consolidated Statement of Loss and Comprehensive Loss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4"/>
                <w:szCs w:val="24"/>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7"/>
              </w:rPr>
              <w:t>Years ended December 31,</w:t>
            </w:r>
          </w:p>
        </w:tc>
        <w:tc>
          <w:tcPr>
            <w:tcW w:w="1460" w:type="dxa"/>
            <w:vAlign w:val="bottom"/>
            <w:vMerge w:val="restart"/>
          </w:tcPr>
          <w:p>
            <w:pPr>
              <w:jc w:val="right"/>
              <w:ind w:right="52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Note</w:t>
            </w:r>
          </w:p>
        </w:tc>
        <w:tc>
          <w:tcPr>
            <w:tcW w:w="120" w:type="dxa"/>
            <w:vAlign w:val="bottom"/>
            <w:vMerge w:val="restart"/>
          </w:tcPr>
          <w:p>
            <w:pPr>
              <w:spacing w:after="0"/>
              <w:rPr>
                <w:sz w:val="13"/>
                <w:szCs w:val="13"/>
                <w:color w:val="auto"/>
              </w:rPr>
            </w:pP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468"/>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3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3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4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Research and development expenses</w:t>
            </w:r>
          </w:p>
        </w:tc>
        <w:tc>
          <w:tcPr>
            <w:tcW w:w="3100" w:type="dxa"/>
            <w:vAlign w:val="bottom"/>
            <w:gridSpan w:val="2"/>
            <w:shd w:val="clear" w:color="auto" w:fill="CFF0FC"/>
          </w:tcPr>
          <w:p>
            <w:pPr>
              <w:jc w:val="center"/>
              <w:ind w:left="2199"/>
              <w:spacing w:after="0" w:line="183" w:lineRule="exact"/>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(98,563,529)</w:t>
            </w:r>
          </w:p>
        </w:tc>
        <w:tc>
          <w:tcPr>
            <w:tcW w:w="1680" w:type="dxa"/>
            <w:vAlign w:val="bottom"/>
            <w:gridSpan w:val="3"/>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(65,575,030)</w:t>
            </w:r>
          </w:p>
        </w:tc>
        <w:tc>
          <w:tcPr>
            <w:tcW w:w="15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(57,375,574)</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3100" w:type="dxa"/>
            <w:vAlign w:val="bottom"/>
            <w:gridSpan w:val="2"/>
          </w:tcPr>
          <w:p>
            <w:pPr>
              <w:jc w:val="center"/>
              <w:ind w:left="219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(47,124,638)</w:t>
            </w:r>
          </w:p>
        </w:tc>
        <w:tc>
          <w:tcPr>
            <w:tcW w:w="1680" w:type="dxa"/>
            <w:vAlign w:val="bottom"/>
            <w:gridSpan w:val="3"/>
          </w:tcPr>
          <w:p>
            <w:pPr>
              <w:jc w:val="right"/>
              <w:ind w:right="160"/>
              <w:spacing w:after="0"/>
              <w:rPr>
                <w:sz w:val="20"/>
                <w:szCs w:val="20"/>
                <w:color w:val="auto"/>
              </w:rPr>
            </w:pPr>
            <w:r>
              <w:rPr>
                <w:rFonts w:ascii="Arial" w:cs="Arial" w:eastAsia="Arial" w:hAnsi="Arial"/>
                <w:sz w:val="16"/>
                <w:szCs w:val="16"/>
                <w:color w:val="auto"/>
              </w:rPr>
              <w:t>(31,338,590)</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(29,339,034)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operating expenses</w:t>
            </w:r>
          </w:p>
        </w:tc>
        <w:tc>
          <w:tcPr>
            <w:tcW w:w="2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(145,688,167)</w:t>
            </w:r>
          </w:p>
        </w:tc>
        <w:tc>
          <w:tcPr>
            <w:tcW w:w="1680" w:type="dxa"/>
            <w:vAlign w:val="bottom"/>
            <w:gridSpan w:val="3"/>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(96,913,620)</w:t>
            </w:r>
          </w:p>
        </w:tc>
        <w:tc>
          <w:tcPr>
            <w:tcW w:w="15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(86,714,608)</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tcPr>
          <w:p>
            <w:pPr>
              <w:spacing w:after="0" w:line="183" w:lineRule="exact"/>
              <w:rPr>
                <w:sz w:val="20"/>
                <w:szCs w:val="20"/>
                <w:color w:val="auto"/>
              </w:rPr>
            </w:pPr>
            <w:r>
              <w:rPr>
                <w:rFonts w:ascii="Arial" w:cs="Arial" w:eastAsia="Arial" w:hAnsi="Arial"/>
                <w:sz w:val="16"/>
                <w:szCs w:val="16"/>
                <w:color w:val="auto"/>
              </w:rPr>
              <w:t>Finance income (expenses)</w:t>
            </w:r>
          </w:p>
        </w:tc>
        <w:tc>
          <w:tcPr>
            <w:tcW w:w="3100" w:type="dxa"/>
            <w:vAlign w:val="bottom"/>
            <w:gridSpan w:val="2"/>
          </w:tcPr>
          <w:p>
            <w:pPr>
              <w:jc w:val="center"/>
              <w:ind w:left="2199"/>
              <w:spacing w:after="0" w:line="183" w:lineRule="exact"/>
              <w:rPr>
                <w:sz w:val="20"/>
                <w:szCs w:val="20"/>
                <w:color w:val="auto"/>
              </w:rPr>
            </w:pPr>
            <w:r>
              <w:rPr>
                <w:rFonts w:ascii="Arial" w:cs="Arial" w:eastAsia="Arial" w:hAnsi="Arial"/>
                <w:sz w:val="16"/>
                <w:szCs w:val="16"/>
                <w:color w:val="auto"/>
              </w:rPr>
              <w:t>6</w:t>
            </w:r>
          </w:p>
        </w:tc>
        <w:tc>
          <w:tcPr>
            <w:tcW w:w="12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13,291,664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(2,912,643)</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11,061,138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Loss before income tax</w:t>
            </w:r>
          </w:p>
        </w:tc>
        <w:tc>
          <w:tcPr>
            <w:tcW w:w="2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(132,396,503)</w:t>
            </w:r>
          </w:p>
        </w:tc>
        <w:tc>
          <w:tcPr>
            <w:tcW w:w="1680" w:type="dxa"/>
            <w:vAlign w:val="bottom"/>
            <w:gridSpan w:val="3"/>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(99,826,263)</w:t>
            </w:r>
          </w:p>
        </w:tc>
        <w:tc>
          <w:tcPr>
            <w:tcW w:w="15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(75,653,470)</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tcPr>
          <w:p>
            <w:pPr>
              <w:spacing w:after="0" w:line="183" w:lineRule="exact"/>
              <w:rPr>
                <w:sz w:val="20"/>
                <w:szCs w:val="20"/>
                <w:color w:val="auto"/>
              </w:rPr>
            </w:pPr>
            <w:r>
              <w:rPr>
                <w:rFonts w:ascii="Arial" w:cs="Arial" w:eastAsia="Arial" w:hAnsi="Arial"/>
                <w:sz w:val="16"/>
                <w:szCs w:val="16"/>
                <w:color w:val="auto"/>
              </w:rPr>
              <w:t>Income tax expense</w:t>
            </w:r>
          </w:p>
        </w:tc>
        <w:tc>
          <w:tcPr>
            <w:tcW w:w="3100" w:type="dxa"/>
            <w:vAlign w:val="bottom"/>
            <w:gridSpan w:val="2"/>
          </w:tcPr>
          <w:p>
            <w:pPr>
              <w:jc w:val="center"/>
              <w:ind w:left="2199"/>
              <w:spacing w:after="0" w:line="183" w:lineRule="exact"/>
              <w:rPr>
                <w:sz w:val="20"/>
                <w:szCs w:val="20"/>
                <w:color w:val="auto"/>
              </w:rPr>
            </w:pPr>
            <w:r>
              <w:rPr>
                <w:rFonts w:ascii="Arial" w:cs="Arial" w:eastAsia="Arial" w:hAnsi="Arial"/>
                <w:sz w:val="16"/>
                <w:szCs w:val="16"/>
                <w:color w:val="auto"/>
              </w:rPr>
              <w:t>7</w:t>
            </w:r>
          </w:p>
        </w:tc>
        <w:tc>
          <w:tcPr>
            <w:tcW w:w="120" w:type="dxa"/>
            <w:vAlign w:val="bottom"/>
          </w:tcPr>
          <w:p>
            <w:pPr>
              <w:spacing w:after="0"/>
              <w:rPr>
                <w:sz w:val="15"/>
                <w:szCs w:val="15"/>
                <w:color w:val="auto"/>
              </w:rPr>
            </w:pPr>
          </w:p>
        </w:tc>
        <w:tc>
          <w:tcPr>
            <w:tcW w:w="14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(1,825,024)</w:t>
            </w:r>
          </w:p>
        </w:tc>
        <w:tc>
          <w:tcPr>
            <w:tcW w:w="1680" w:type="dxa"/>
            <w:vAlign w:val="bottom"/>
            <w:gridSpan w:val="3"/>
          </w:tcPr>
          <w:p>
            <w:pPr>
              <w:jc w:val="right"/>
              <w:ind w:right="160"/>
              <w:spacing w:after="0" w:line="183" w:lineRule="exact"/>
              <w:rPr>
                <w:sz w:val="20"/>
                <w:szCs w:val="20"/>
                <w:color w:val="auto"/>
              </w:rPr>
            </w:pPr>
            <w:r>
              <w:rPr>
                <w:rFonts w:ascii="Arial" w:cs="Arial" w:eastAsia="Arial" w:hAnsi="Arial"/>
                <w:sz w:val="16"/>
                <w:szCs w:val="16"/>
                <w:color w:val="auto"/>
              </w:rPr>
              <w:t>(1,048,805)</w:t>
            </w:r>
          </w:p>
        </w:tc>
        <w:tc>
          <w:tcPr>
            <w:tcW w:w="15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(679,087)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Loss</w:t>
            </w:r>
          </w:p>
        </w:tc>
        <w:tc>
          <w:tcPr>
            <w:tcW w:w="2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(134,221,527)</w:t>
            </w:r>
          </w:p>
        </w:tc>
        <w:tc>
          <w:tcPr>
            <w:tcW w:w="1680" w:type="dxa"/>
            <w:vAlign w:val="bottom"/>
            <w:gridSpan w:val="3"/>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(100,875,068)</w:t>
            </w:r>
          </w:p>
        </w:tc>
        <w:tc>
          <w:tcPr>
            <w:tcW w:w="15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(76,332,557)</w:t>
            </w:r>
          </w:p>
        </w:tc>
        <w:tc>
          <w:tcPr>
            <w:tcW w:w="0" w:type="dxa"/>
            <w:vAlign w:val="bottom"/>
          </w:tcPr>
          <w:p>
            <w:pPr>
              <w:spacing w:after="0"/>
              <w:rPr>
                <w:sz w:val="1"/>
                <w:szCs w:val="1"/>
                <w:color w:val="auto"/>
              </w:rPr>
            </w:pPr>
          </w:p>
        </w:tc>
      </w:tr>
      <w:tr>
        <w:trPr>
          <w:trHeight w:val="183"/>
        </w:trPr>
        <w:tc>
          <w:tcPr>
            <w:tcW w:w="334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Other comprehensive income / (loss)</w:t>
            </w:r>
          </w:p>
        </w:tc>
        <w:tc>
          <w:tcPr>
            <w:tcW w:w="2300" w:type="dxa"/>
            <w:vAlign w:val="bottom"/>
            <w:tcBorders>
              <w:top w:val="single" w:sz="8" w:color="CFF0FC"/>
            </w:tcBorders>
          </w:tcPr>
          <w:p>
            <w:pPr>
              <w:spacing w:after="0"/>
              <w:rPr>
                <w:sz w:val="15"/>
                <w:szCs w:val="15"/>
                <w:color w:val="auto"/>
              </w:rPr>
            </w:pPr>
          </w:p>
        </w:tc>
        <w:tc>
          <w:tcPr>
            <w:tcW w:w="8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Items that may be reclassified to profit or loss:</w:t>
            </w:r>
          </w:p>
        </w:tc>
        <w:tc>
          <w:tcPr>
            <w:tcW w:w="23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gridSpan w:val="4"/>
          </w:tcPr>
          <w:p>
            <w:pPr>
              <w:spacing w:after="0"/>
              <w:rPr>
                <w:sz w:val="20"/>
                <w:szCs w:val="20"/>
                <w:color w:val="auto"/>
              </w:rPr>
            </w:pPr>
            <w:r>
              <w:rPr>
                <w:rFonts w:ascii="Arial" w:cs="Arial" w:eastAsia="Arial" w:hAnsi="Arial"/>
                <w:sz w:val="16"/>
                <w:szCs w:val="16"/>
                <w:color w:val="auto"/>
              </w:rPr>
              <w:t>Exchange gain (loss) arising on translation of foreign operations</w:t>
            </w:r>
          </w:p>
        </w:tc>
        <w:tc>
          <w:tcPr>
            <w:tcW w:w="1340" w:type="dxa"/>
            <w:vAlign w:val="bottom"/>
          </w:tcPr>
          <w:p>
            <w:pPr>
              <w:jc w:val="right"/>
              <w:spacing w:after="0"/>
              <w:rPr>
                <w:sz w:val="20"/>
                <w:szCs w:val="20"/>
                <w:color w:val="auto"/>
              </w:rPr>
            </w:pPr>
            <w:r>
              <w:rPr>
                <w:rFonts w:ascii="Arial" w:cs="Arial" w:eastAsia="Arial" w:hAnsi="Arial"/>
                <w:sz w:val="16"/>
                <w:szCs w:val="16"/>
                <w:color w:val="auto"/>
              </w:rPr>
              <w:t>152,310</w:t>
            </w:r>
          </w:p>
        </w:tc>
        <w:tc>
          <w:tcPr>
            <w:tcW w:w="100" w:type="dxa"/>
            <w:vAlign w:val="bottom"/>
          </w:tcPr>
          <w:p>
            <w:pPr>
              <w:spacing w:after="0"/>
              <w:rPr>
                <w:sz w:val="16"/>
                <w:szCs w:val="16"/>
                <w:color w:val="auto"/>
              </w:rPr>
            </w:pPr>
          </w:p>
        </w:tc>
        <w:tc>
          <w:tcPr>
            <w:tcW w:w="1680" w:type="dxa"/>
            <w:vAlign w:val="bottom"/>
            <w:gridSpan w:val="3"/>
          </w:tcPr>
          <w:p>
            <w:pPr>
              <w:jc w:val="right"/>
              <w:ind w:right="160"/>
              <w:spacing w:after="0"/>
              <w:rPr>
                <w:sz w:val="20"/>
                <w:szCs w:val="20"/>
                <w:color w:val="auto"/>
              </w:rPr>
            </w:pPr>
            <w:r>
              <w:rPr>
                <w:rFonts w:ascii="Arial" w:cs="Arial" w:eastAsia="Arial" w:hAnsi="Arial"/>
                <w:sz w:val="16"/>
                <w:szCs w:val="16"/>
                <w:color w:val="auto"/>
              </w:rPr>
              <w:t>(57,874)</w:t>
            </w:r>
          </w:p>
        </w:tc>
        <w:tc>
          <w:tcPr>
            <w:tcW w:w="1460" w:type="dxa"/>
            <w:vAlign w:val="bottom"/>
          </w:tcPr>
          <w:p>
            <w:pPr>
              <w:jc w:val="right"/>
              <w:spacing w:after="0"/>
              <w:rPr>
                <w:sz w:val="20"/>
                <w:szCs w:val="20"/>
                <w:color w:val="auto"/>
              </w:rPr>
            </w:pPr>
            <w:r>
              <w:rPr>
                <w:rFonts w:ascii="Arial" w:cs="Arial" w:eastAsia="Arial" w:hAnsi="Arial"/>
                <w:sz w:val="16"/>
                <w:szCs w:val="16"/>
                <w:color w:val="auto"/>
              </w:rPr>
              <w:t>17,362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comprehensive loss attributable to:</w:t>
            </w:r>
          </w:p>
        </w:tc>
        <w:tc>
          <w:tcPr>
            <w:tcW w:w="2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Equity holders of the Company</w:t>
            </w:r>
          </w:p>
        </w:tc>
        <w:tc>
          <w:tcPr>
            <w:tcW w:w="2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(134,069,217)</w:t>
            </w:r>
          </w:p>
        </w:tc>
        <w:tc>
          <w:tcPr>
            <w:tcW w:w="1680" w:type="dxa"/>
            <w:vAlign w:val="bottom"/>
            <w:gridSpan w:val="3"/>
          </w:tcPr>
          <w:p>
            <w:pPr>
              <w:jc w:val="right"/>
              <w:ind w:right="160"/>
              <w:spacing w:after="0"/>
              <w:rPr>
                <w:sz w:val="20"/>
                <w:szCs w:val="20"/>
                <w:color w:val="auto"/>
              </w:rPr>
            </w:pPr>
            <w:r>
              <w:rPr>
                <w:rFonts w:ascii="Arial" w:cs="Arial" w:eastAsia="Arial" w:hAnsi="Arial"/>
                <w:sz w:val="16"/>
                <w:szCs w:val="16"/>
                <w:color w:val="auto"/>
              </w:rPr>
              <w:t>(100,932,942)</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(76,315,195)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Basic and diluted loss per share</w:t>
            </w:r>
          </w:p>
        </w:tc>
        <w:tc>
          <w:tcPr>
            <w:tcW w:w="3100" w:type="dxa"/>
            <w:vAlign w:val="bottom"/>
            <w:gridSpan w:val="2"/>
            <w:shd w:val="clear" w:color="auto" w:fill="CFF0FC"/>
          </w:tcPr>
          <w:p>
            <w:pPr>
              <w:jc w:val="center"/>
              <w:ind w:left="2199"/>
              <w:spacing w:after="0" w:line="170" w:lineRule="exact"/>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(2.48)</w:t>
            </w:r>
          </w:p>
        </w:tc>
        <w:tc>
          <w:tcPr>
            <w:tcW w:w="1680" w:type="dxa"/>
            <w:vAlign w:val="bottom"/>
            <w:gridSpan w:val="3"/>
            <w:shd w:val="clear" w:color="auto" w:fill="CFF0FC"/>
          </w:tcPr>
          <w:p>
            <w:pPr>
              <w:jc w:val="right"/>
              <w:ind w:right="160"/>
              <w:spacing w:after="0" w:line="170" w:lineRule="exact"/>
              <w:rPr>
                <w:sz w:val="20"/>
                <w:szCs w:val="20"/>
                <w:color w:val="auto"/>
              </w:rPr>
            </w:pPr>
            <w:r>
              <w:rPr>
                <w:rFonts w:ascii="Arial" w:cs="Arial" w:eastAsia="Arial" w:hAnsi="Arial"/>
                <w:sz w:val="16"/>
                <w:szCs w:val="16"/>
                <w:color w:val="auto"/>
              </w:rPr>
              <w:t>(2.63)</w:t>
            </w:r>
          </w:p>
        </w:tc>
        <w:tc>
          <w:tcPr>
            <w:tcW w:w="156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-1276985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-1276985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-1019810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-1019810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-762635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-762635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105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99.4</w:t>
            </w:r>
          </w:p>
        </w:tc>
        <w:tc>
          <w:tcPr>
            <w:tcW w:w="0" w:type="dxa"/>
            <w:vAlign w:val="bottom"/>
          </w:tcPr>
          <w:p>
            <w:pPr>
              <w:spacing w:after="0"/>
              <w:rPr>
                <w:sz w:val="1"/>
                <w:szCs w:val="1"/>
                <w:color w:val="auto"/>
              </w:rPr>
            </w:pPr>
          </w:p>
        </w:tc>
      </w:tr>
      <w:tr>
        <w:trPr>
          <w:trHeight w:val="297"/>
        </w:trPr>
        <w:tc>
          <w:tcPr>
            <w:tcW w:w="3040" w:type="dxa"/>
            <w:vAlign w:val="bottom"/>
          </w:tcPr>
          <w:p>
            <w:pPr>
              <w:spacing w:after="0"/>
              <w:rPr>
                <w:sz w:val="24"/>
                <w:szCs w:val="24"/>
                <w:color w:val="auto"/>
              </w:rPr>
            </w:pPr>
          </w:p>
        </w:tc>
        <w:tc>
          <w:tcPr>
            <w:tcW w:w="5220" w:type="dxa"/>
            <w:vAlign w:val="bottom"/>
            <w:gridSpan w:val="3"/>
          </w:tcPr>
          <w:p>
            <w:pPr>
              <w:ind w:left="840"/>
              <w:spacing w:after="0"/>
              <w:rPr>
                <w:sz w:val="20"/>
                <w:szCs w:val="20"/>
                <w:color w:val="auto"/>
              </w:rPr>
            </w:pPr>
            <w:r>
              <w:rPr>
                <w:rFonts w:ascii="Arial" w:cs="Arial" w:eastAsia="Arial" w:hAnsi="Arial"/>
                <w:sz w:val="16"/>
                <w:szCs w:val="16"/>
                <w:b w:val="1"/>
                <w:bCs w:val="1"/>
                <w:color w:val="auto"/>
              </w:rPr>
              <w:t>Consolidated Statement of Financial Position</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0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As at</w:t>
            </w:r>
          </w:p>
        </w:tc>
        <w:tc>
          <w:tcPr>
            <w:tcW w:w="15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As at</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December 31,</w:t>
            </w:r>
          </w:p>
        </w:tc>
        <w:tc>
          <w:tcPr>
            <w:tcW w:w="156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Notes</w:t>
            </w: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46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406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4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5100" w:type="dxa"/>
            <w:vAlign w:val="bottom"/>
            <w:gridSpan w:val="2"/>
            <w:shd w:val="clear" w:color="auto" w:fill="CFF0FC"/>
          </w:tcPr>
          <w:p>
            <w:pPr>
              <w:jc w:val="center"/>
              <w:ind w:left="3979"/>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667,000</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223,678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Right of use assets</w:t>
            </w:r>
          </w:p>
        </w:tc>
        <w:tc>
          <w:tcPr>
            <w:tcW w:w="5100" w:type="dxa"/>
            <w:vAlign w:val="bottom"/>
            <w:gridSpan w:val="2"/>
          </w:tcPr>
          <w:p>
            <w:pPr>
              <w:jc w:val="center"/>
              <w:ind w:left="3979"/>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813,842</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231,893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5100" w:type="dxa"/>
            <w:vAlign w:val="bottom"/>
            <w:gridSpan w:val="2"/>
            <w:shd w:val="clear" w:color="auto" w:fill="CFF0FC"/>
          </w:tcPr>
          <w:p>
            <w:pPr>
              <w:jc w:val="center"/>
              <w:ind w:left="3979"/>
              <w:spacing w:after="0"/>
              <w:rPr>
                <w:sz w:val="20"/>
                <w:szCs w:val="20"/>
                <w:color w:val="auto"/>
              </w:rPr>
            </w:pPr>
            <w:r>
              <w:rPr>
                <w:rFonts w:ascii="Arial" w:cs="Arial" w:eastAsia="Arial" w:hAnsi="Arial"/>
                <w:sz w:val="16"/>
                <w:szCs w:val="16"/>
                <w:color w:val="auto"/>
                <w:w w:val="89"/>
              </w:rPr>
              <w:t>7</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474,347</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387,529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4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Current tax receivable</w:t>
            </w:r>
          </w:p>
        </w:tc>
        <w:tc>
          <w:tcPr>
            <w:tcW w:w="5100" w:type="dxa"/>
            <w:vAlign w:val="bottom"/>
            <w:gridSpan w:val="2"/>
            <w:shd w:val="clear" w:color="auto" w:fill="CFF0FC"/>
          </w:tcPr>
          <w:p>
            <w:pPr>
              <w:jc w:val="center"/>
              <w:ind w:left="399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2,486,680</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615,538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Receivables</w:t>
            </w:r>
          </w:p>
        </w:tc>
        <w:tc>
          <w:tcPr>
            <w:tcW w:w="5100" w:type="dxa"/>
            <w:vAlign w:val="bottom"/>
            <w:gridSpan w:val="2"/>
          </w:tcPr>
          <w:p>
            <w:pPr>
              <w:jc w:val="center"/>
              <w:ind w:left="399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457,834</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423,486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5100" w:type="dxa"/>
            <w:vAlign w:val="bottom"/>
            <w:gridSpan w:val="2"/>
            <w:shd w:val="clear" w:color="auto" w:fill="CFF0FC"/>
          </w:tcPr>
          <w:p>
            <w:pPr>
              <w:jc w:val="center"/>
              <w:ind w:left="399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5,747,025</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5,580,704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100" w:type="dxa"/>
            <w:vAlign w:val="bottom"/>
            <w:gridSpan w:val="2"/>
          </w:tcPr>
          <w:p>
            <w:pPr>
              <w:jc w:val="center"/>
              <w:ind w:left="399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280,728,037</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391,231,637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40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291,374,765</w:t>
            </w:r>
          </w:p>
        </w:tc>
        <w:tc>
          <w:tcPr>
            <w:tcW w:w="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398,694,465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line="170" w:lineRule="exact"/>
              <w:rPr>
                <w:sz w:val="20"/>
                <w:szCs w:val="20"/>
                <w:color w:val="auto"/>
              </w:rPr>
            </w:pPr>
            <w:r>
              <w:rPr>
                <w:rFonts w:ascii="Arial" w:cs="Arial" w:eastAsia="Arial" w:hAnsi="Arial"/>
                <w:sz w:val="16"/>
                <w:szCs w:val="16"/>
                <w:b w:val="1"/>
                <w:bCs w:val="1"/>
                <w:color w:val="auto"/>
              </w:rPr>
              <w:t>Equity and liabilities</w:t>
            </w:r>
          </w:p>
        </w:tc>
        <w:tc>
          <w:tcPr>
            <w:tcW w:w="4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w:t>
            </w:r>
          </w:p>
        </w:tc>
        <w:tc>
          <w:tcPr>
            <w:tcW w:w="5100" w:type="dxa"/>
            <w:vAlign w:val="bottom"/>
            <w:gridSpan w:val="2"/>
            <w:shd w:val="clear" w:color="auto" w:fill="CFF0FC"/>
          </w:tcPr>
          <w:p>
            <w:pPr>
              <w:jc w:val="center"/>
              <w:ind w:left="399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Share capital</w:t>
            </w:r>
          </w:p>
        </w:tc>
        <w:tc>
          <w:tcPr>
            <w:tcW w:w="4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6,525,539</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6,274,833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Share premium</w:t>
            </w:r>
          </w:p>
        </w:tc>
        <w:tc>
          <w:tcPr>
            <w:tcW w:w="40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623,641,380</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615,811,986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Other reserves</w:t>
            </w:r>
          </w:p>
        </w:tc>
        <w:tc>
          <w:tcPr>
            <w:tcW w:w="4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39,711,103</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27,894,796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reserve</w:t>
            </w:r>
          </w:p>
        </w:tc>
        <w:tc>
          <w:tcPr>
            <w:tcW w:w="40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137,726</w:t>
            </w:r>
          </w:p>
        </w:tc>
        <w:tc>
          <w:tcPr>
            <w:tcW w:w="2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(14,584)</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Accumulated loss</w:t>
            </w:r>
          </w:p>
        </w:tc>
        <w:tc>
          <w:tcPr>
            <w:tcW w:w="4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(402,255,007)</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(265,918,628)</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equity</w:t>
            </w:r>
          </w:p>
        </w:tc>
        <w:tc>
          <w:tcPr>
            <w:tcW w:w="40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267,760,741</w:t>
            </w:r>
          </w:p>
        </w:tc>
        <w:tc>
          <w:tcPr>
            <w:tcW w:w="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384,048,403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line="170" w:lineRule="exact"/>
              <w:rPr>
                <w:sz w:val="20"/>
                <w:szCs w:val="20"/>
                <w:color w:val="auto"/>
              </w:rPr>
            </w:pPr>
            <w:r>
              <w:rPr>
                <w:rFonts w:ascii="Arial" w:cs="Arial" w:eastAsia="Arial" w:hAnsi="Arial"/>
                <w:sz w:val="16"/>
                <w:szCs w:val="16"/>
                <w:b w:val="1"/>
                <w:bCs w:val="1"/>
                <w:color w:val="auto"/>
              </w:rPr>
              <w:t>Long term liabilities</w:t>
            </w:r>
          </w:p>
        </w:tc>
        <w:tc>
          <w:tcPr>
            <w:tcW w:w="4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Non-current lease liability</w:t>
            </w:r>
          </w:p>
        </w:tc>
        <w:tc>
          <w:tcPr>
            <w:tcW w:w="5100" w:type="dxa"/>
            <w:vAlign w:val="bottom"/>
            <w:gridSpan w:val="2"/>
            <w:shd w:val="clear" w:color="auto" w:fill="CFF0FC"/>
          </w:tcPr>
          <w:p>
            <w:pPr>
              <w:jc w:val="center"/>
              <w:ind w:left="3979"/>
              <w:spacing w:after="0"/>
              <w:rPr>
                <w:sz w:val="20"/>
                <w:szCs w:val="20"/>
                <w:color w:val="auto"/>
              </w:rPr>
            </w:pPr>
            <w:r>
              <w:rPr>
                <w:rFonts w:ascii="Arial" w:cs="Arial" w:eastAsia="Arial" w:hAnsi="Arial"/>
                <w:sz w:val="16"/>
                <w:szCs w:val="16"/>
                <w:color w:val="auto"/>
                <w:w w:val="89"/>
              </w:rPr>
              <w:t>9</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639,043</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4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Trade and other payables</w:t>
            </w:r>
          </w:p>
        </w:tc>
        <w:tc>
          <w:tcPr>
            <w:tcW w:w="5100" w:type="dxa"/>
            <w:vAlign w:val="bottom"/>
            <w:gridSpan w:val="2"/>
            <w:shd w:val="clear" w:color="auto" w:fill="CFF0FC"/>
          </w:tcPr>
          <w:p>
            <w:pPr>
              <w:jc w:val="center"/>
              <w:ind w:left="399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4,562,900</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Accrued liabilities</w:t>
            </w:r>
          </w:p>
        </w:tc>
        <w:tc>
          <w:tcPr>
            <w:tcW w:w="5100" w:type="dxa"/>
            <w:vAlign w:val="bottom"/>
            <w:gridSpan w:val="2"/>
          </w:tcPr>
          <w:p>
            <w:pPr>
              <w:jc w:val="center"/>
              <w:ind w:left="399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17,588,407</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11,067,510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Current lease liability</w:t>
            </w:r>
          </w:p>
        </w:tc>
        <w:tc>
          <w:tcPr>
            <w:tcW w:w="5100" w:type="dxa"/>
            <w:vAlign w:val="bottom"/>
            <w:gridSpan w:val="2"/>
            <w:shd w:val="clear" w:color="auto" w:fill="CFF0FC"/>
          </w:tcPr>
          <w:p>
            <w:pPr>
              <w:jc w:val="center"/>
              <w:ind w:left="3979"/>
              <w:spacing w:after="0"/>
              <w:rPr>
                <w:sz w:val="20"/>
                <w:szCs w:val="20"/>
                <w:color w:val="auto"/>
              </w:rPr>
            </w:pPr>
            <w:r>
              <w:rPr>
                <w:rFonts w:ascii="Arial" w:cs="Arial" w:eastAsia="Arial" w:hAnsi="Arial"/>
                <w:sz w:val="16"/>
                <w:szCs w:val="16"/>
                <w:color w:val="auto"/>
                <w:w w:val="89"/>
              </w:rPr>
              <w:t>9</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222,427</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195,341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Current tax payable</w:t>
            </w:r>
          </w:p>
        </w:tc>
        <w:tc>
          <w:tcPr>
            <w:tcW w:w="4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601,247</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429,922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w:t>
            </w:r>
          </w:p>
        </w:tc>
        <w:tc>
          <w:tcPr>
            <w:tcW w:w="40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23,614,024</w:t>
            </w:r>
          </w:p>
        </w:tc>
        <w:tc>
          <w:tcPr>
            <w:tcW w:w="22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14,646,062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40" w:type="dxa"/>
            <w:vAlign w:val="bottom"/>
          </w:tcPr>
          <w:p>
            <w:pPr>
              <w:spacing w:after="0" w:line="183" w:lineRule="exact"/>
              <w:rPr>
                <w:sz w:val="20"/>
                <w:szCs w:val="20"/>
                <w:color w:val="auto"/>
              </w:rPr>
            </w:pPr>
            <w:r>
              <w:rPr>
                <w:rFonts w:ascii="Arial" w:cs="Arial" w:eastAsia="Arial" w:hAnsi="Arial"/>
                <w:sz w:val="16"/>
                <w:szCs w:val="16"/>
                <w:b w:val="1"/>
                <w:bCs w:val="1"/>
                <w:color w:val="auto"/>
              </w:rPr>
              <w:t>Total equity and liabilities</w:t>
            </w:r>
          </w:p>
        </w:tc>
        <w:tc>
          <w:tcPr>
            <w:tcW w:w="4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291,374,765</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398,694,465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-2133600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-2117090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-1139190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-1122680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106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99.4</w:t>
            </w:r>
          </w:p>
        </w:tc>
        <w:tc>
          <w:tcPr>
            <w:tcW w:w="0" w:type="dxa"/>
            <w:vAlign w:val="bottom"/>
          </w:tcPr>
          <w:p>
            <w:pPr>
              <w:spacing w:after="0"/>
              <w:rPr>
                <w:sz w:val="1"/>
                <w:szCs w:val="1"/>
                <w:color w:val="auto"/>
              </w:rPr>
            </w:pPr>
          </w:p>
        </w:tc>
      </w:tr>
      <w:tr>
        <w:trPr>
          <w:trHeight w:val="297"/>
        </w:trPr>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80" w:type="dxa"/>
            <w:vAlign w:val="bottom"/>
            <w:gridSpan w:val="8"/>
          </w:tcPr>
          <w:p>
            <w:pPr>
              <w:jc w:val="right"/>
              <w:ind w:right="440"/>
              <w:spacing w:after="0"/>
              <w:rPr>
                <w:sz w:val="20"/>
                <w:szCs w:val="20"/>
                <w:color w:val="auto"/>
              </w:rPr>
            </w:pPr>
            <w:r>
              <w:rPr>
                <w:rFonts w:ascii="Arial" w:cs="Arial" w:eastAsia="Arial" w:hAnsi="Arial"/>
                <w:sz w:val="16"/>
                <w:szCs w:val="16"/>
                <w:b w:val="1"/>
                <w:bCs w:val="1"/>
                <w:color w:val="auto"/>
              </w:rPr>
              <w:t>Consolidated Statement of Changes in Shareholders' Equity</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Share</w:t>
            </w:r>
          </w:p>
        </w:tc>
        <w:tc>
          <w:tcPr>
            <w:tcW w:w="120" w:type="dxa"/>
            <w:vAlign w:val="bottom"/>
          </w:tcPr>
          <w:p>
            <w:pPr>
              <w:spacing w:after="0"/>
              <w:rPr>
                <w:sz w:val="24"/>
                <w:szCs w:val="24"/>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Share</w:t>
            </w:r>
          </w:p>
        </w:tc>
        <w:tc>
          <w:tcPr>
            <w:tcW w:w="13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2"/>
              </w:rPr>
              <w:t>Other</w:t>
            </w: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Currency</w:t>
            </w:r>
          </w:p>
        </w:tc>
        <w:tc>
          <w:tcPr>
            <w:tcW w:w="14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5"/>
              </w:rPr>
              <w:t>Accumulated</w:t>
            </w:r>
          </w:p>
        </w:tc>
        <w:tc>
          <w:tcPr>
            <w:tcW w:w="14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Notes</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44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20" w:type="dxa"/>
            <w:vAlign w:val="bottom"/>
          </w:tcPr>
          <w:p>
            <w:pPr>
              <w:spacing w:after="0"/>
              <w:rPr>
                <w:sz w:val="13"/>
                <w:szCs w:val="13"/>
                <w:color w:val="auto"/>
              </w:rPr>
            </w:pP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premium</w:t>
            </w:r>
          </w:p>
        </w:tc>
        <w:tc>
          <w:tcPr>
            <w:tcW w:w="13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reserves</w:t>
            </w: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reserve</w:t>
            </w:r>
          </w:p>
        </w:tc>
        <w:tc>
          <w:tcPr>
            <w:tcW w:w="14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losses</w:t>
            </w: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360" w:type="dxa"/>
            <w:vAlign w:val="bottom"/>
            <w:tcBorders>
              <w:top w:val="single" w:sz="8" w:color="auto"/>
              <w:bottom w:val="single" w:sz="8" w:color="auto"/>
            </w:tcBorders>
          </w:tcPr>
          <w:p>
            <w:pPr>
              <w:jc w:val="center"/>
              <w:ind w:left="50"/>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center"/>
              <w:ind w:left="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center"/>
              <w:ind w:left="9"/>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center"/>
              <w:ind w:left="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January 1, 2022</w:t>
            </w:r>
          </w:p>
        </w:tc>
        <w:tc>
          <w:tcPr>
            <w:tcW w:w="4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3,978,227</w:t>
            </w:r>
          </w:p>
        </w:tc>
        <w:tc>
          <w:tcPr>
            <w:tcW w:w="14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278,742,900</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9,774,416</w:t>
            </w: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25,928</w:t>
            </w: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(87,568,401)</w:t>
            </w: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204,953,070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Net Loss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(76,332,557)</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(76,332,557)</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Issue of share capital</w:t>
            </w:r>
          </w:p>
        </w:tc>
        <w:tc>
          <w:tcPr>
            <w:tcW w:w="4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70,572</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9,464,901</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9,535,473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Transaction costs on issue of shares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60"/>
              <w:spacing w:after="0"/>
              <w:rPr>
                <w:sz w:val="20"/>
                <w:szCs w:val="20"/>
                <w:color w:val="auto"/>
              </w:rPr>
            </w:pPr>
            <w:r>
              <w:rPr>
                <w:rFonts w:ascii="Arial" w:cs="Arial" w:eastAsia="Arial" w:hAnsi="Arial"/>
                <w:sz w:val="14"/>
                <w:szCs w:val="14"/>
                <w:color w:val="auto"/>
              </w:rPr>
              <w:t>(307,710)</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(307,710)</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Tax effect on transaction costs</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257,734</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257,734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17,362</w:t>
            </w:r>
          </w:p>
        </w:tc>
        <w:tc>
          <w:tcPr>
            <w:tcW w:w="12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17,362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Settlement of share-based payments</w:t>
            </w:r>
          </w:p>
        </w:tc>
        <w:tc>
          <w:tcPr>
            <w:tcW w:w="4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9,177</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1,019,372</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(954,157)</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(287,934)</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(213,542)</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w:t>
            </w:r>
          </w:p>
        </w:tc>
        <w:tc>
          <w:tcPr>
            <w:tcW w:w="46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11,349,200</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11,349,200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2022</w:t>
            </w: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4,057,976</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289,177,197</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20,169,459</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43,290</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(164,188,892)</w:t>
            </w: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149,259,030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b w:val="1"/>
                <w:bCs w:val="1"/>
                <w:color w:val="auto"/>
              </w:rPr>
              <w:t>Balance at January 1, 2023</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4,057,976</w:t>
            </w:r>
          </w:p>
        </w:tc>
        <w:tc>
          <w:tcPr>
            <w:tcW w:w="120" w:type="dxa"/>
            <w:vAlign w:val="bottom"/>
          </w:tcPr>
          <w:p>
            <w:pPr>
              <w:spacing w:after="0"/>
              <w:rPr>
                <w:sz w:val="12"/>
                <w:szCs w:val="12"/>
                <w:color w:val="auto"/>
              </w:rPr>
            </w:pPr>
          </w:p>
        </w:tc>
        <w:tc>
          <w:tcPr>
            <w:tcW w:w="1360" w:type="dxa"/>
            <w:vAlign w:val="bottom"/>
          </w:tcPr>
          <w:p>
            <w:pPr>
              <w:jc w:val="right"/>
              <w:spacing w:after="0" w:line="143" w:lineRule="exact"/>
              <w:rPr>
                <w:sz w:val="20"/>
                <w:szCs w:val="20"/>
                <w:color w:val="auto"/>
              </w:rPr>
            </w:pPr>
            <w:r>
              <w:rPr>
                <w:rFonts w:ascii="Arial" w:cs="Arial" w:eastAsia="Arial" w:hAnsi="Arial"/>
                <w:sz w:val="14"/>
                <w:szCs w:val="14"/>
                <w:color w:val="auto"/>
              </w:rPr>
              <w:t>289,177,197</w:t>
            </w:r>
          </w:p>
        </w:tc>
        <w:tc>
          <w:tcPr>
            <w:tcW w:w="12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Arial" w:cs="Arial" w:eastAsia="Arial" w:hAnsi="Arial"/>
                <w:sz w:val="14"/>
                <w:szCs w:val="14"/>
                <w:color w:val="auto"/>
              </w:rPr>
              <w:t>20,169,459</w:t>
            </w:r>
          </w:p>
        </w:tc>
        <w:tc>
          <w:tcPr>
            <w:tcW w:w="10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43,290</w:t>
            </w:r>
          </w:p>
        </w:tc>
        <w:tc>
          <w:tcPr>
            <w:tcW w:w="120" w:type="dxa"/>
            <w:vAlign w:val="bottom"/>
          </w:tcPr>
          <w:p>
            <w:pPr>
              <w:spacing w:after="0"/>
              <w:rPr>
                <w:sz w:val="12"/>
                <w:szCs w:val="12"/>
                <w:color w:val="auto"/>
              </w:rPr>
            </w:pPr>
          </w:p>
        </w:tc>
        <w:tc>
          <w:tcPr>
            <w:tcW w:w="14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(164,188,892)</w:t>
            </w:r>
          </w:p>
        </w:tc>
        <w:tc>
          <w:tcPr>
            <w:tcW w:w="1320" w:type="dxa"/>
            <w:vAlign w:val="bottom"/>
          </w:tcPr>
          <w:p>
            <w:pPr>
              <w:jc w:val="right"/>
              <w:spacing w:after="0" w:line="143" w:lineRule="exact"/>
              <w:rPr>
                <w:sz w:val="20"/>
                <w:szCs w:val="20"/>
                <w:color w:val="auto"/>
              </w:rPr>
            </w:pPr>
            <w:r>
              <w:rPr>
                <w:rFonts w:ascii="Arial" w:cs="Arial" w:eastAsia="Arial" w:hAnsi="Arial"/>
                <w:sz w:val="14"/>
                <w:szCs w:val="14"/>
                <w:color w:val="auto"/>
              </w:rPr>
              <w:t>149,259,030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(100,875,068)</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(100,875,068)</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Issue of share capital</w:t>
            </w:r>
          </w:p>
        </w:tc>
        <w:tc>
          <w:tcPr>
            <w:tcW w:w="460" w:type="dxa"/>
            <w:vAlign w:val="bottom"/>
          </w:tcPr>
          <w:p>
            <w:pPr>
              <w:jc w:val="center"/>
              <w:spacing w:after="0"/>
              <w:rPr>
                <w:sz w:val="20"/>
                <w:szCs w:val="20"/>
                <w:color w:val="auto"/>
              </w:rPr>
            </w:pPr>
            <w:r>
              <w:rPr>
                <w:rFonts w:ascii="Arial" w:cs="Arial" w:eastAsia="Arial" w:hAnsi="Arial"/>
                <w:sz w:val="14"/>
                <w:szCs w:val="14"/>
                <w:color w:val="auto"/>
              </w:rPr>
              <w:t>13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2,169,859</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340,388,989</w:t>
            </w:r>
          </w:p>
        </w:tc>
        <w:tc>
          <w:tcPr>
            <w:tcW w:w="12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342,558,848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Transaction costs on issue of shares</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(17,712,292)</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(17,712,292)</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Tax effect on transaction costs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714,733</w:t>
            </w:r>
          </w:p>
        </w:tc>
        <w:tc>
          <w:tcPr>
            <w:tcW w:w="12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714,733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reserve</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(57,874)</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(57,874)</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Settlement of share-based payments</w:t>
            </w:r>
          </w:p>
        </w:tc>
        <w:tc>
          <w:tcPr>
            <w:tcW w:w="460" w:type="dxa"/>
            <w:vAlign w:val="bottom"/>
          </w:tcPr>
          <w:p>
            <w:pPr>
              <w:jc w:val="center"/>
              <w:spacing w:after="0"/>
              <w:rPr>
                <w:sz w:val="20"/>
                <w:szCs w:val="20"/>
                <w:color w:val="auto"/>
              </w:rPr>
            </w:pPr>
            <w:r>
              <w:rPr>
                <w:rFonts w:ascii="Arial" w:cs="Arial" w:eastAsia="Arial" w:hAnsi="Arial"/>
                <w:sz w:val="14"/>
                <w:szCs w:val="14"/>
                <w:color w:val="auto"/>
              </w:rPr>
              <w:t>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46,998</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3,243,359</w:t>
            </w:r>
          </w:p>
        </w:tc>
        <w:tc>
          <w:tcPr>
            <w:tcW w:w="12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(2,937,889)</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(854,668)</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(502,200)</w:t>
            </w:r>
          </w:p>
        </w:tc>
        <w:tc>
          <w:tcPr>
            <w:tcW w:w="0" w:type="dxa"/>
            <w:vAlign w:val="bottom"/>
          </w:tcPr>
          <w:p>
            <w:pPr>
              <w:spacing w:after="0"/>
              <w:rPr>
                <w:sz w:val="1"/>
                <w:szCs w:val="1"/>
                <w:color w:val="auto"/>
              </w:rPr>
            </w:pPr>
          </w:p>
        </w:tc>
      </w:tr>
      <w:tr>
        <w:trPr>
          <w:trHeight w:val="162"/>
        </w:trPr>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2023</w:t>
            </w:r>
          </w:p>
        </w:tc>
        <w:tc>
          <w:tcPr>
            <w:tcW w:w="460" w:type="dxa"/>
            <w:vAlign w:val="bottom"/>
          </w:tcPr>
          <w:p>
            <w:pPr>
              <w:spacing w:after="0"/>
              <w:rPr>
                <w:sz w:val="13"/>
                <w:szCs w:val="13"/>
                <w:color w:val="auto"/>
              </w:rPr>
            </w:pP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6,274,833</w:t>
            </w:r>
          </w:p>
        </w:tc>
        <w:tc>
          <w:tcPr>
            <w:tcW w:w="1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615,811,986</w:t>
            </w:r>
          </w:p>
        </w:tc>
        <w:tc>
          <w:tcPr>
            <w:tcW w:w="12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27,894,796</w:t>
            </w:r>
          </w:p>
        </w:tc>
        <w:tc>
          <w:tcPr>
            <w:tcW w:w="100" w:type="dxa"/>
            <w:vAlign w:val="bottom"/>
          </w:tcPr>
          <w:p>
            <w:pPr>
              <w:spacing w:after="0"/>
              <w:rPr>
                <w:sz w:val="13"/>
                <w:szCs w:val="13"/>
                <w:color w:val="auto"/>
              </w:rPr>
            </w:pPr>
          </w:p>
        </w:tc>
        <w:tc>
          <w:tcPr>
            <w:tcW w:w="12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(14,584)</w:t>
            </w:r>
          </w:p>
        </w:tc>
        <w:tc>
          <w:tcPr>
            <w:tcW w:w="14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(265,918,628)</w:t>
            </w: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384,048,403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Balance at January 1, 2024</w:t>
            </w:r>
          </w:p>
        </w:tc>
        <w:tc>
          <w:tcPr>
            <w:tcW w:w="4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6,274,833</w:t>
            </w:r>
          </w:p>
        </w:tc>
        <w:tc>
          <w:tcPr>
            <w:tcW w:w="148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615,811,986</w:t>
            </w: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27,894,796</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(14,584)</w:t>
            </w:r>
          </w:p>
        </w:tc>
        <w:tc>
          <w:tcPr>
            <w:tcW w:w="144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(265,918,628)</w:t>
            </w:r>
          </w:p>
        </w:tc>
        <w:tc>
          <w:tcPr>
            <w:tcW w:w="13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384,048,403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Net Loss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(134,221,527)</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(134,221,527)</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Issue of share capital</w:t>
            </w:r>
          </w:p>
        </w:tc>
        <w:tc>
          <w:tcPr>
            <w:tcW w:w="4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165,000</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(165,000)</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Transaction costs on issue of shares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592,000</w:t>
            </w:r>
          </w:p>
        </w:tc>
        <w:tc>
          <w:tcPr>
            <w:tcW w:w="12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592,000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Tax effect on transaction costs</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851,662</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851,662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152,310</w:t>
            </w:r>
          </w:p>
        </w:tc>
        <w:tc>
          <w:tcPr>
            <w:tcW w:w="12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152,310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Settlement of share-based payments</w:t>
            </w:r>
          </w:p>
        </w:tc>
        <w:tc>
          <w:tcPr>
            <w:tcW w:w="4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85,706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6,550,732</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(4,404,835)</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(2,114,852)</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116,751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w:t>
            </w:r>
          </w:p>
        </w:tc>
        <w:tc>
          <w:tcPr>
            <w:tcW w:w="46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16,208,533</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16,208,533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2024</w:t>
            </w: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6,525,539</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623,641,380</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39,711,103</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137,726</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(402,255,007)</w:t>
            </w: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267,760,741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-1945005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-1928495</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-1945005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-1928495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-1945005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-1928495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-1945005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-1928495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-1945005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-1928495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-1096645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-1096645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-1096645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-1096645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-1096645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-24765</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107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99.4</w:t>
            </w: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4"/>
                <w:szCs w:val="24"/>
                <w:color w:val="auto"/>
              </w:rPr>
            </w:pPr>
          </w:p>
        </w:tc>
        <w:tc>
          <w:tcPr>
            <w:tcW w:w="3080" w:type="dxa"/>
            <w:vAlign w:val="bottom"/>
            <w:gridSpan w:val="3"/>
          </w:tcPr>
          <w:p>
            <w:pPr>
              <w:ind w:left="60"/>
              <w:spacing w:after="0"/>
              <w:rPr>
                <w:sz w:val="20"/>
                <w:szCs w:val="20"/>
                <w:color w:val="auto"/>
              </w:rPr>
            </w:pPr>
            <w:r>
              <w:rPr>
                <w:rFonts w:ascii="Arial" w:cs="Arial" w:eastAsia="Arial" w:hAnsi="Arial"/>
                <w:sz w:val="16"/>
                <w:szCs w:val="16"/>
                <w:b w:val="1"/>
                <w:bCs w:val="1"/>
                <w:color w:val="auto"/>
              </w:rPr>
              <w:t>Consolidated Statement of Cash Flows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rPr>
              <w:t>Years ended December 31,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Notes</w:t>
            </w:r>
          </w:p>
        </w:tc>
        <w:tc>
          <w:tcPr>
            <w:tcW w:w="1260" w:type="dxa"/>
            <w:vAlign w:val="bottom"/>
            <w:tcBorders>
              <w:top w:val="single" w:sz="8" w:color="auto"/>
              <w:bottom w:val="single" w:sz="8" w:color="auto"/>
            </w:tcBorders>
          </w:tcPr>
          <w:p>
            <w:pPr>
              <w:jc w:val="right"/>
              <w:ind w:right="401"/>
              <w:spacing w:after="0" w:line="129"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ind w:right="341"/>
              <w:spacing w:after="0" w:line="129" w:lineRule="exact"/>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right"/>
              <w:ind w:right="360"/>
              <w:spacing w:after="0" w:line="129"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Operating activities</w:t>
            </w:r>
          </w:p>
        </w:tc>
        <w:tc>
          <w:tcPr>
            <w:tcW w:w="210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Loss before tax</w:t>
            </w:r>
          </w:p>
        </w:tc>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(132,396,503)</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(99,826,263)</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(75,653,470)</w:t>
            </w:r>
          </w:p>
        </w:tc>
        <w:tc>
          <w:tcPr>
            <w:tcW w:w="0" w:type="dxa"/>
            <w:vAlign w:val="bottom"/>
          </w:tcPr>
          <w:p>
            <w:pPr>
              <w:spacing w:after="0"/>
              <w:rPr>
                <w:sz w:val="1"/>
                <w:szCs w:val="1"/>
                <w:color w:val="auto"/>
              </w:rPr>
            </w:pPr>
          </w:p>
        </w:tc>
      </w:tr>
      <w:tr>
        <w:trPr>
          <w:trHeight w:val="177"/>
        </w:trPr>
        <w:tc>
          <w:tcPr>
            <w:tcW w:w="7140" w:type="dxa"/>
            <w:vAlign w:val="bottom"/>
            <w:gridSpan w:val="4"/>
            <w:shd w:val="clear" w:color="auto" w:fill="CFF0FC"/>
          </w:tcPr>
          <w:p>
            <w:pPr>
              <w:spacing w:after="0" w:line="177" w:lineRule="exact"/>
              <w:rPr>
                <w:sz w:val="20"/>
                <w:szCs w:val="20"/>
                <w:color w:val="auto"/>
              </w:rPr>
            </w:pPr>
            <w:r>
              <w:rPr>
                <w:rFonts w:ascii="Arial" w:cs="Arial" w:eastAsia="Arial" w:hAnsi="Arial"/>
                <w:sz w:val="16"/>
                <w:szCs w:val="16"/>
                <w:i w:val="1"/>
                <w:iCs w:val="1"/>
                <w:color w:val="auto"/>
              </w:rPr>
              <w:t>Non-cash adjustments to reconcile loss before tax to net cash flows / used in</w:t>
            </w:r>
          </w:p>
        </w:tc>
        <w:tc>
          <w:tcPr>
            <w:tcW w:w="126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operations:</w:t>
            </w:r>
          </w:p>
        </w:tc>
        <w:tc>
          <w:tcPr>
            <w:tcW w:w="2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Share-based payment expense</w:t>
            </w:r>
          </w:p>
        </w:tc>
        <w:tc>
          <w:tcPr>
            <w:tcW w:w="2960" w:type="dxa"/>
            <w:vAlign w:val="bottom"/>
            <w:gridSpan w:val="2"/>
          </w:tcPr>
          <w:p>
            <w:pPr>
              <w:jc w:val="center"/>
              <w:ind w:left="20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16,208,533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10,663,226</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11,349,200</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Depreciation expense</w:t>
            </w:r>
          </w:p>
        </w:tc>
        <w:tc>
          <w:tcPr>
            <w:tcW w:w="2960" w:type="dxa"/>
            <w:vAlign w:val="bottom"/>
            <w:gridSpan w:val="2"/>
            <w:shd w:val="clear" w:color="auto" w:fill="CFF0FC"/>
          </w:tcPr>
          <w:p>
            <w:pPr>
              <w:jc w:val="center"/>
              <w:ind w:left="2019"/>
              <w:spacing w:after="0"/>
              <w:rPr>
                <w:sz w:val="20"/>
                <w:szCs w:val="20"/>
                <w:color w:val="auto"/>
              </w:rPr>
            </w:pPr>
            <w:r>
              <w:rPr>
                <w:rFonts w:ascii="Arial" w:cs="Arial" w:eastAsia="Arial" w:hAnsi="Arial"/>
                <w:sz w:val="16"/>
                <w:szCs w:val="16"/>
                <w:color w:val="auto"/>
              </w:rPr>
              <w:t>8 &amp; 9</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269,562</w:t>
            </w:r>
          </w:p>
        </w:tc>
        <w:tc>
          <w:tcPr>
            <w:tcW w:w="120" w:type="dxa"/>
            <w:vAlign w:val="bottom"/>
            <w:tcBorders>
              <w:lef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257,551</w:t>
            </w:r>
          </w:p>
        </w:tc>
        <w:tc>
          <w:tcPr>
            <w:tcW w:w="2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152,941</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Net foreign exchange (gain) loss</w:t>
            </w:r>
          </w:p>
        </w:tc>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(7,329,038)</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2,794,435</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(11,100,392)</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Finance (income) costs</w:t>
            </w:r>
          </w:p>
        </w:tc>
        <w:tc>
          <w:tcPr>
            <w:tcW w:w="2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(5,422,550)</w:t>
            </w: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(204,019)</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39,254</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i w:val="1"/>
                <w:iCs w:val="1"/>
                <w:color w:val="auto"/>
              </w:rPr>
              <w:t>Changes in working capital:</w:t>
            </w:r>
          </w:p>
        </w:tc>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(Increase) decrease in receivables</w:t>
            </w:r>
          </w:p>
        </w:tc>
        <w:tc>
          <w:tcPr>
            <w:tcW w:w="2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(34,316)</w:t>
            </w:r>
          </w:p>
        </w:tc>
        <w:tc>
          <w:tcPr>
            <w:tcW w:w="100" w:type="dxa"/>
            <w:vAlign w:val="bottom"/>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(41,051)</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317,612</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(Increase) decrease in other current assets</w:t>
            </w:r>
          </w:p>
        </w:tc>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(136,354)</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(953,861)</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(2,511,076)</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Increase (decrease) in trade and other payables</w:t>
            </w:r>
          </w:p>
        </w:tc>
        <w:tc>
          <w:tcPr>
            <w:tcW w:w="2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1,653,175</w:t>
            </w:r>
          </w:p>
        </w:tc>
        <w:tc>
          <w:tcPr>
            <w:tcW w:w="120" w:type="dxa"/>
            <w:vAlign w:val="bottom"/>
            <w:tcBorders>
              <w:left w:val="single" w:sz="8" w:color="CFF0FC"/>
            </w:tcBorders>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(4,171,990)</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3,905,486</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Increase (decrease) in accrued liabilities</w:t>
            </w:r>
          </w:p>
        </w:tc>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4,407,453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(695,753)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6,664,878</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Income taxes paid</w:t>
            </w:r>
          </w:p>
        </w:tc>
        <w:tc>
          <w:tcPr>
            <w:tcW w:w="2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(2,767,247)</w:t>
            </w:r>
          </w:p>
        </w:tc>
        <w:tc>
          <w:tcPr>
            <w:tcW w:w="100" w:type="dxa"/>
            <w:vAlign w:val="bottom"/>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(1,108,410)</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(182,824)</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Received (paid) interest</w:t>
            </w:r>
          </w:p>
        </w:tc>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5,417,094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237,042</w:t>
            </w:r>
          </w:p>
        </w:tc>
        <w:tc>
          <w:tcPr>
            <w:tcW w:w="2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(144,243)</w:t>
            </w: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cash flows used in operating activities</w:t>
            </w:r>
          </w:p>
        </w:tc>
        <w:tc>
          <w:tcPr>
            <w:tcW w:w="2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(120,130,191)</w:t>
            </w:r>
          </w:p>
        </w:tc>
        <w:tc>
          <w:tcPr>
            <w:tcW w:w="120" w:type="dxa"/>
            <w:vAlign w:val="bottom"/>
            <w:tcBorders>
              <w:lef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(93,049,093)</w:t>
            </w:r>
          </w:p>
        </w:tc>
        <w:tc>
          <w:tcPr>
            <w:tcW w:w="22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(67,162,634)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06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Investing activities</w:t>
            </w:r>
          </w:p>
        </w:tc>
        <w:tc>
          <w:tcPr>
            <w:tcW w:w="2100" w:type="dxa"/>
            <w:vAlign w:val="bottom"/>
            <w:tcBorders>
              <w:top w:val="single" w:sz="8" w:color="CFF0FC"/>
            </w:tcBorders>
          </w:tcPr>
          <w:p>
            <w:pPr>
              <w:spacing w:after="0"/>
              <w:rPr>
                <w:sz w:val="14"/>
                <w:szCs w:val="14"/>
                <w:color w:val="auto"/>
              </w:rPr>
            </w:pPr>
          </w:p>
        </w:tc>
        <w:tc>
          <w:tcPr>
            <w:tcW w:w="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plant and equipment</w:t>
            </w:r>
          </w:p>
        </w:tc>
        <w:tc>
          <w:tcPr>
            <w:tcW w:w="2960" w:type="dxa"/>
            <w:vAlign w:val="bottom"/>
            <w:gridSpan w:val="2"/>
            <w:shd w:val="clear" w:color="auto" w:fill="CFF0FC"/>
          </w:tcPr>
          <w:p>
            <w:pPr>
              <w:jc w:val="center"/>
              <w:ind w:left="20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(538,086)</w:t>
            </w: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(89,984)</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(124,296)</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Pr>
          <w:p>
            <w:pPr>
              <w:spacing w:after="0" w:line="183" w:lineRule="exact"/>
              <w:rPr>
                <w:sz w:val="20"/>
                <w:szCs w:val="20"/>
                <w:color w:val="auto"/>
              </w:rPr>
            </w:pPr>
            <w:r>
              <w:rPr>
                <w:rFonts w:ascii="Arial" w:cs="Arial" w:eastAsia="Arial" w:hAnsi="Arial"/>
                <w:sz w:val="16"/>
                <w:szCs w:val="16"/>
                <w:b w:val="1"/>
                <w:bCs w:val="1"/>
                <w:color w:val="auto"/>
              </w:rPr>
              <w:t>Net cash flows used in investing activities</w:t>
            </w:r>
          </w:p>
        </w:tc>
        <w:tc>
          <w:tcPr>
            <w:tcW w:w="2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(538,086)</w:t>
            </w:r>
          </w:p>
        </w:tc>
        <w:tc>
          <w:tcPr>
            <w:tcW w:w="100" w:type="dxa"/>
            <w:vAlign w:val="bottom"/>
          </w:tcPr>
          <w:p>
            <w:pPr>
              <w:spacing w:after="0"/>
              <w:rPr>
                <w:sz w:val="15"/>
                <w:szCs w:val="15"/>
                <w:color w:val="auto"/>
              </w:rPr>
            </w:pPr>
          </w:p>
        </w:tc>
        <w:tc>
          <w:tcPr>
            <w:tcW w:w="13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(89,984)</w:t>
            </w:r>
          </w:p>
        </w:tc>
        <w:tc>
          <w:tcPr>
            <w:tcW w:w="12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(124,296)</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2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Proceeds from issue of shares and pre-funded warrants</w:t>
            </w:r>
          </w:p>
        </w:tc>
        <w:tc>
          <w:tcPr>
            <w:tcW w:w="2960" w:type="dxa"/>
            <w:vAlign w:val="bottom"/>
            <w:gridSpan w:val="2"/>
          </w:tcPr>
          <w:p>
            <w:pPr>
              <w:jc w:val="center"/>
              <w:ind w:left="20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2,244,212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342,911,317</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9,609,865</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Transaction costs</w:t>
            </w:r>
          </w:p>
        </w:tc>
        <w:tc>
          <w:tcPr>
            <w:tcW w:w="2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592,000</w:t>
            </w:r>
          </w:p>
        </w:tc>
        <w:tc>
          <w:tcPr>
            <w:tcW w:w="120" w:type="dxa"/>
            <w:vAlign w:val="bottom"/>
            <w:tcBorders>
              <w:lef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(17,297,810)</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(839,970)</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Payment of principal portion of lease liabilities</w:t>
            </w:r>
          </w:p>
        </w:tc>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(159,657)</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(220,507)</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(119,527)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cash flows provided by financing activities</w:t>
            </w:r>
          </w:p>
        </w:tc>
        <w:tc>
          <w:tcPr>
            <w:tcW w:w="2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2,676,555</w:t>
            </w:r>
          </w:p>
        </w:tc>
        <w:tc>
          <w:tcPr>
            <w:tcW w:w="120" w:type="dxa"/>
            <w:vAlign w:val="bottom"/>
            <w:tcBorders>
              <w:lef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325,393,000</w:t>
            </w:r>
          </w:p>
        </w:tc>
        <w:tc>
          <w:tcPr>
            <w:tcW w:w="12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8,650,368</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60" w:type="dxa"/>
            <w:vAlign w:val="bottom"/>
          </w:tcPr>
          <w:p>
            <w:pPr>
              <w:spacing w:after="0" w:line="170" w:lineRule="exact"/>
              <w:rPr>
                <w:sz w:val="20"/>
                <w:szCs w:val="20"/>
                <w:color w:val="auto"/>
              </w:rPr>
            </w:pPr>
            <w:r>
              <w:rPr>
                <w:rFonts w:ascii="Arial" w:cs="Arial" w:eastAsia="Arial" w:hAnsi="Arial"/>
                <w:sz w:val="16"/>
                <w:szCs w:val="16"/>
                <w:color w:val="auto"/>
              </w:rPr>
              <w:t>Net (decrease) increase in cash and cash equivalents</w:t>
            </w:r>
          </w:p>
        </w:tc>
        <w:tc>
          <w:tcPr>
            <w:tcW w:w="2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60"/>
              <w:spacing w:after="0" w:line="170" w:lineRule="exact"/>
              <w:rPr>
                <w:sz w:val="20"/>
                <w:szCs w:val="20"/>
                <w:color w:val="auto"/>
              </w:rPr>
            </w:pPr>
            <w:r>
              <w:rPr>
                <w:rFonts w:ascii="Arial" w:cs="Arial" w:eastAsia="Arial" w:hAnsi="Arial"/>
                <w:sz w:val="16"/>
                <w:szCs w:val="16"/>
                <w:color w:val="auto"/>
              </w:rPr>
              <w:t>(117,991,722)</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line="170" w:lineRule="exact"/>
              <w:rPr>
                <w:sz w:val="20"/>
                <w:szCs w:val="20"/>
                <w:color w:val="auto"/>
              </w:rPr>
            </w:pPr>
            <w:r>
              <w:rPr>
                <w:rFonts w:ascii="Arial" w:cs="Arial" w:eastAsia="Arial" w:hAnsi="Arial"/>
                <w:sz w:val="16"/>
                <w:szCs w:val="16"/>
                <w:color w:val="auto"/>
              </w:rPr>
              <w:t>232,253,923</w:t>
            </w:r>
          </w:p>
        </w:tc>
        <w:tc>
          <w:tcPr>
            <w:tcW w:w="1260" w:type="dxa"/>
            <w:vAlign w:val="bottom"/>
            <w:gridSpan w:val="2"/>
          </w:tcPr>
          <w:p>
            <w:pPr>
              <w:jc w:val="right"/>
              <w:ind w:right="60"/>
              <w:spacing w:after="0" w:line="170" w:lineRule="exact"/>
              <w:rPr>
                <w:sz w:val="20"/>
                <w:szCs w:val="20"/>
                <w:color w:val="auto"/>
              </w:rPr>
            </w:pPr>
            <w:r>
              <w:rPr>
                <w:rFonts w:ascii="Arial" w:cs="Arial" w:eastAsia="Arial" w:hAnsi="Arial"/>
                <w:sz w:val="16"/>
                <w:szCs w:val="16"/>
                <w:color w:val="auto"/>
              </w:rPr>
              <w:t>(58,636,562)</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the beginning of the year</w:t>
            </w:r>
          </w:p>
        </w:tc>
        <w:tc>
          <w:tcPr>
            <w:tcW w:w="2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391,231,637</w:t>
            </w:r>
          </w:p>
        </w:tc>
        <w:tc>
          <w:tcPr>
            <w:tcW w:w="120" w:type="dxa"/>
            <w:vAlign w:val="bottom"/>
            <w:tcBorders>
              <w:lef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161,837,429</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209,353,132</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7,488,122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(2,859,715)</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11,120,859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Cash and cash equivalents at the end of the year</w:t>
            </w:r>
          </w:p>
        </w:tc>
        <w:tc>
          <w:tcPr>
            <w:tcW w:w="2960" w:type="dxa"/>
            <w:vAlign w:val="bottom"/>
            <w:gridSpan w:val="2"/>
            <w:shd w:val="clear" w:color="auto" w:fill="CFF0FC"/>
          </w:tcPr>
          <w:p>
            <w:pPr>
              <w:jc w:val="center"/>
              <w:ind w:left="2019"/>
              <w:spacing w:after="0" w:line="169" w:lineRule="exact"/>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280,728,037</w:t>
            </w:r>
          </w:p>
        </w:tc>
        <w:tc>
          <w:tcPr>
            <w:tcW w:w="120" w:type="dxa"/>
            <w:vAlign w:val="bottom"/>
            <w:tcBorders>
              <w:lef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6"/>
                <w:szCs w:val="16"/>
                <w:color w:val="auto"/>
              </w:rPr>
              <w:t>391,231,637</w:t>
            </w:r>
          </w:p>
        </w:tc>
        <w:tc>
          <w:tcPr>
            <w:tcW w:w="12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161,837,429</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5324475</wp:posOffset>
            </wp:positionH>
            <wp:positionV relativeFrom="paragraph">
              <wp:posOffset>-3681095</wp:posOffset>
            </wp:positionV>
            <wp:extent cx="93980" cy="1282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-3681095</wp:posOffset>
            </wp:positionV>
            <wp:extent cx="93980" cy="128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-3681095</wp:posOffset>
            </wp:positionV>
            <wp:extent cx="93980" cy="1282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-1542415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-1525270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-1542415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-1525270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-1276350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-1276350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-539115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-521970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-539115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-521970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Corporate and Group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Corporate information</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consolidated financial statements of Pharvaris N.V. (the "Company" or "Pharvaris") and its subsidiaries (collectively, "The Group") for the year ended December 31, 2024 were authorized for issue in accordance with a resolution of the directors on May 30, 2025.</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Pharvaris N.V. was incorporated on September 30, 2015 and is based in Leiden, the Netherlands. The Company’s registered office is located at Emmy Noetherweg 2, Leiden. The Company has been registered at the Chamber of Commerce under file number 64239411.</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angioedema and other bradykinin-mediated diseases.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Group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Subsidiaries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Group include: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spacing w:after="0"/>
              <w:rPr>
                <w:sz w:val="13"/>
                <w:szCs w:val="13"/>
                <w:color w:val="auto"/>
              </w:rPr>
            </w:pPr>
          </w:p>
        </w:tc>
        <w:tc>
          <w:tcPr>
            <w:tcW w:w="156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Legal seat</w:t>
            </w:r>
          </w:p>
        </w:tc>
        <w:tc>
          <w:tcPr>
            <w:tcW w:w="140" w:type="dxa"/>
            <w:vAlign w:val="bottom"/>
          </w:tcPr>
          <w:p>
            <w:pPr>
              <w:spacing w:after="0"/>
              <w:rPr>
                <w:sz w:val="13"/>
                <w:szCs w:val="13"/>
                <w:color w:val="auto"/>
              </w:rPr>
            </w:pPr>
          </w:p>
        </w:tc>
        <w:tc>
          <w:tcPr>
            <w:tcW w:w="252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Country of incorporation</w:t>
            </w:r>
          </w:p>
        </w:tc>
        <w:tc>
          <w:tcPr>
            <w:tcW w:w="140" w:type="dxa"/>
            <w:vAlign w:val="bottom"/>
          </w:tcPr>
          <w:p>
            <w:pPr>
              <w:spacing w:after="0"/>
              <w:rPr>
                <w:sz w:val="13"/>
                <w:szCs w:val="13"/>
                <w:color w:val="auto"/>
              </w:rPr>
            </w:pPr>
          </w:p>
        </w:tc>
        <w:tc>
          <w:tcPr>
            <w:tcW w:w="2700" w:type="dxa"/>
            <w:vAlign w:val="bottom"/>
            <w:gridSpan w:val="4"/>
          </w:tcPr>
          <w:p>
            <w:pPr>
              <w:jc w:val="right"/>
              <w:ind w:right="860"/>
              <w:spacing w:after="0"/>
              <w:rPr>
                <w:sz w:val="20"/>
                <w:szCs w:val="20"/>
                <w:color w:val="auto"/>
              </w:rPr>
            </w:pPr>
            <w:r>
              <w:rPr>
                <w:rFonts w:ascii="Arial" w:cs="Arial" w:eastAsia="Arial" w:hAnsi="Arial"/>
                <w:sz w:val="13"/>
                <w:szCs w:val="13"/>
                <w:b w:val="1"/>
                <w:bCs w:val="1"/>
                <w:color w:val="auto"/>
              </w:rPr>
              <w:t>% of equity interest</w:t>
            </w: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ind w:right="337"/>
              <w:spacing w:after="0" w:line="129" w:lineRule="exact"/>
              <w:rPr>
                <w:sz w:val="20"/>
                <w:szCs w:val="20"/>
                <w:color w:val="auto"/>
              </w:rPr>
            </w:pPr>
            <w:r>
              <w:rPr>
                <w:rFonts w:ascii="Arial" w:cs="Arial" w:eastAsia="Arial" w:hAnsi="Arial"/>
                <w:sz w:val="13"/>
                <w:szCs w:val="13"/>
                <w:b w:val="1"/>
                <w:bCs w:val="1"/>
                <w:color w:val="auto"/>
              </w:rPr>
              <w:t>2024</w:t>
            </w:r>
          </w:p>
        </w:tc>
        <w:tc>
          <w:tcPr>
            <w:tcW w:w="30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right"/>
              <w:ind w:right="343"/>
              <w:spacing w:after="0" w:line="129" w:lineRule="exact"/>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Pharvaris Holdings B.V.</w:t>
            </w:r>
          </w:p>
        </w:tc>
        <w:tc>
          <w:tcPr>
            <w:tcW w:w="2660" w:type="dxa"/>
            <w:vAlign w:val="bottom"/>
            <w:gridSpan w:val="2"/>
            <w:shd w:val="clear" w:color="auto" w:fill="CFF0FC"/>
          </w:tcPr>
          <w:p>
            <w:pPr>
              <w:ind w:left="1100"/>
              <w:spacing w:after="0" w:line="183" w:lineRule="exact"/>
              <w:rPr>
                <w:sz w:val="20"/>
                <w:szCs w:val="20"/>
                <w:color w:val="auto"/>
              </w:rPr>
            </w:pPr>
            <w:r>
              <w:rPr>
                <w:rFonts w:ascii="Arial" w:cs="Arial" w:eastAsia="Arial" w:hAnsi="Arial"/>
                <w:sz w:val="16"/>
                <w:szCs w:val="16"/>
                <w:color w:val="auto"/>
              </w:rPr>
              <w:t>Leiden</w:t>
            </w:r>
          </w:p>
        </w:tc>
        <w:tc>
          <w:tcPr>
            <w:tcW w:w="266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The Netherlands</w:t>
            </w:r>
          </w:p>
        </w:tc>
        <w:tc>
          <w:tcPr>
            <w:tcW w:w="1540" w:type="dxa"/>
            <w:vAlign w:val="bottom"/>
            <w:gridSpan w:val="3"/>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100%</w:t>
            </w:r>
          </w:p>
        </w:tc>
        <w:tc>
          <w:tcPr>
            <w:tcW w:w="13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6"/>
                <w:szCs w:val="16"/>
                <w:color w:val="auto"/>
              </w:rPr>
              <w:t>Pharvaris Netherlands B.V.</w:t>
            </w:r>
          </w:p>
        </w:tc>
        <w:tc>
          <w:tcPr>
            <w:tcW w:w="2660" w:type="dxa"/>
            <w:vAlign w:val="bottom"/>
            <w:gridSpan w:val="2"/>
          </w:tcPr>
          <w:p>
            <w:pPr>
              <w:ind w:left="1100"/>
              <w:spacing w:after="0"/>
              <w:rPr>
                <w:sz w:val="20"/>
                <w:szCs w:val="20"/>
                <w:color w:val="auto"/>
              </w:rPr>
            </w:pPr>
            <w:r>
              <w:rPr>
                <w:rFonts w:ascii="Arial" w:cs="Arial" w:eastAsia="Arial" w:hAnsi="Arial"/>
                <w:sz w:val="16"/>
                <w:szCs w:val="16"/>
                <w:color w:val="auto"/>
              </w:rPr>
              <w:t>Leiden</w:t>
            </w:r>
          </w:p>
        </w:tc>
        <w:tc>
          <w:tcPr>
            <w:tcW w:w="2660" w:type="dxa"/>
            <w:vAlign w:val="bottom"/>
            <w:gridSpan w:val="2"/>
          </w:tcPr>
          <w:p>
            <w:pPr>
              <w:ind w:left="140"/>
              <w:spacing w:after="0"/>
              <w:rPr>
                <w:sz w:val="20"/>
                <w:szCs w:val="20"/>
                <w:color w:val="auto"/>
              </w:rPr>
            </w:pPr>
            <w:r>
              <w:rPr>
                <w:rFonts w:ascii="Arial" w:cs="Arial" w:eastAsia="Arial" w:hAnsi="Arial"/>
                <w:sz w:val="16"/>
                <w:szCs w:val="16"/>
                <w:color w:val="auto"/>
              </w:rPr>
              <w:t>The Netherlands</w:t>
            </w:r>
          </w:p>
        </w:tc>
        <w:tc>
          <w:tcPr>
            <w:tcW w:w="1540" w:type="dxa"/>
            <w:vAlign w:val="bottom"/>
            <w:gridSpan w:val="3"/>
          </w:tcPr>
          <w:p>
            <w:pPr>
              <w:jc w:val="right"/>
              <w:ind w:right="140"/>
              <w:spacing w:after="0"/>
              <w:rPr>
                <w:sz w:val="20"/>
                <w:szCs w:val="20"/>
                <w:color w:val="auto"/>
              </w:rPr>
            </w:pPr>
            <w:r>
              <w:rPr>
                <w:rFonts w:ascii="Arial" w:cs="Arial" w:eastAsia="Arial" w:hAnsi="Arial"/>
                <w:sz w:val="16"/>
                <w:szCs w:val="16"/>
                <w:color w:val="auto"/>
              </w:rPr>
              <w:t>100%</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Pharvaris, Inc.</w:t>
            </w:r>
          </w:p>
        </w:tc>
        <w:tc>
          <w:tcPr>
            <w:tcW w:w="2660" w:type="dxa"/>
            <w:vAlign w:val="bottom"/>
            <w:gridSpan w:val="2"/>
            <w:shd w:val="clear" w:color="auto" w:fill="CFF0FC"/>
          </w:tcPr>
          <w:p>
            <w:pPr>
              <w:ind w:left="1100"/>
              <w:spacing w:after="0"/>
              <w:rPr>
                <w:sz w:val="20"/>
                <w:szCs w:val="20"/>
                <w:color w:val="auto"/>
              </w:rPr>
            </w:pPr>
            <w:r>
              <w:rPr>
                <w:rFonts w:ascii="Arial" w:cs="Arial" w:eastAsia="Arial" w:hAnsi="Arial"/>
                <w:sz w:val="16"/>
                <w:szCs w:val="16"/>
                <w:color w:val="auto"/>
              </w:rPr>
              <w:t>Delaware</w:t>
            </w:r>
          </w:p>
        </w:tc>
        <w:tc>
          <w:tcPr>
            <w:tcW w:w="26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United States of America</w:t>
            </w: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6"/>
                <w:szCs w:val="16"/>
                <w:color w:val="auto"/>
              </w:rPr>
              <w:t>Pharvaris GmbH</w:t>
            </w:r>
          </w:p>
        </w:tc>
        <w:tc>
          <w:tcPr>
            <w:tcW w:w="2660" w:type="dxa"/>
            <w:vAlign w:val="bottom"/>
            <w:gridSpan w:val="2"/>
          </w:tcPr>
          <w:p>
            <w:pPr>
              <w:ind w:left="1100"/>
              <w:spacing w:after="0"/>
              <w:rPr>
                <w:sz w:val="20"/>
                <w:szCs w:val="20"/>
                <w:color w:val="auto"/>
              </w:rPr>
            </w:pPr>
            <w:r>
              <w:rPr>
                <w:rFonts w:ascii="Arial" w:cs="Arial" w:eastAsia="Arial" w:hAnsi="Arial"/>
                <w:sz w:val="16"/>
                <w:szCs w:val="16"/>
                <w:color w:val="auto"/>
              </w:rPr>
              <w:t>Zug</w:t>
            </w:r>
          </w:p>
        </w:tc>
        <w:tc>
          <w:tcPr>
            <w:tcW w:w="2660" w:type="dxa"/>
            <w:vAlign w:val="bottom"/>
            <w:gridSpan w:val="2"/>
          </w:tcPr>
          <w:p>
            <w:pPr>
              <w:ind w:left="140"/>
              <w:spacing w:after="0"/>
              <w:rPr>
                <w:sz w:val="20"/>
                <w:szCs w:val="20"/>
                <w:color w:val="auto"/>
              </w:rPr>
            </w:pPr>
            <w:r>
              <w:rPr>
                <w:rFonts w:ascii="Arial" w:cs="Arial" w:eastAsia="Arial" w:hAnsi="Arial"/>
                <w:sz w:val="16"/>
                <w:szCs w:val="16"/>
                <w:color w:val="auto"/>
              </w:rPr>
              <w:t>Switzerland</w:t>
            </w:r>
          </w:p>
        </w:tc>
        <w:tc>
          <w:tcPr>
            <w:tcW w:w="1540" w:type="dxa"/>
            <w:vAlign w:val="bottom"/>
            <w:gridSpan w:val="3"/>
          </w:tcPr>
          <w:p>
            <w:pPr>
              <w:jc w:val="right"/>
              <w:ind w:right="140"/>
              <w:spacing w:after="0"/>
              <w:rPr>
                <w:sz w:val="20"/>
                <w:szCs w:val="20"/>
                <w:color w:val="auto"/>
              </w:rPr>
            </w:pPr>
            <w:r>
              <w:rPr>
                <w:rFonts w:ascii="Arial" w:cs="Arial" w:eastAsia="Arial" w:hAnsi="Arial"/>
                <w:sz w:val="16"/>
                <w:szCs w:val="16"/>
                <w:color w:val="auto"/>
              </w:rPr>
              <w:t>100%</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-611505</wp:posOffset>
            </wp:positionV>
            <wp:extent cx="136525" cy="1282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6525" cy="12827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-611505</wp:posOffset>
            </wp:positionV>
            <wp:extent cx="137160" cy="1282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108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Pharvaris, Inc. and Pharvaris GmbH were incorporated on January 31, 2020 and March 27, 2020 respectively. Pharvaris, Inc. acts as a service provider to the principal Company of the Group. Pharvaris GmbH is the principal Company of the Group starting April 1, 2020. The principal Company owns the Group’s intellectual property and makes the major operating decisions.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ultimate parent company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181"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material accounting policies</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 Basis of preparation</w:t>
      </w:r>
    </w:p>
    <w:p>
      <w:pPr>
        <w:spacing w:after="0" w:line="181" w:lineRule="exact"/>
        <w:rPr>
          <w:sz w:val="20"/>
          <w:szCs w:val="20"/>
          <w:color w:val="auto"/>
        </w:rPr>
      </w:pPr>
    </w:p>
    <w:p>
      <w:pPr>
        <w:ind w:right="920"/>
        <w:spacing w:after="0" w:line="286" w:lineRule="auto"/>
        <w:rPr>
          <w:sz w:val="20"/>
          <w:szCs w:val="20"/>
          <w:color w:val="auto"/>
        </w:rPr>
      </w:pPr>
      <w:r>
        <w:rPr>
          <w:rFonts w:ascii="Arial" w:cs="Arial" w:eastAsia="Arial" w:hAnsi="Arial"/>
          <w:sz w:val="16"/>
          <w:szCs w:val="16"/>
          <w:color w:val="auto"/>
        </w:rPr>
        <w:t>The consolidated financial statements of the Group have been prepared in accordance with IFRS Accounting Standards (IFRS) as issued by the International Accounting Standards Board (IASB).</w:t>
      </w:r>
    </w:p>
    <w:p>
      <w:pPr>
        <w:spacing w:after="0" w:line="11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consolidated financial statements have been prepared on a historical cost basis. Unless otherwise stated, the consolidated financial statements are presented in euro and all values are rounded to the nearest EUR (€), except per share amounts.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Going concern</w:t>
      </w:r>
    </w:p>
    <w:p>
      <w:pPr>
        <w:spacing w:after="0" w:line="194"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Basis of consolidation</w:t>
      </w:r>
    </w:p>
    <w:p>
      <w:pPr>
        <w:spacing w:after="0" w:line="181"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 Since the profit and loss statement for 2024 of Pharvaris N.V. is included in the consolidated financial statements, an abridged profit and loss statement has been disclosed in the company financial statements in accordance with Section 402, Book 2, of the Dutch Civil Code.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Segment reporting</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the Executive Committee, or the “Chief Operating Decision Maker ("CODM"). By these criteria, the activities of Pharvaris are considered to be one segment which comprises the discovery, development and commercialization of oral bradykinin B2 receptor antagonists and the segmental analysis is the same as the analysis for Pharvaris as a whole. The CODM reviews the consolidated operating results regularly to make decisions about the resources and to assess overall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Foreign currencies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Items included in the financial statements of each of the group’s entities are measured using the currency of the primary economic environment in which the entity operates. The Group’s consolidated financial statements are presented in Euro, which is also the functional currency of Pharvaris N.V.</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and balances</w:t>
      </w:r>
    </w:p>
    <w:p>
      <w:pPr>
        <w:spacing w:after="0" w:line="17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Differences arising on settlement or translation of monetary items are recognized in profit or loss.</w:t>
      </w:r>
    </w:p>
    <w:p>
      <w:pPr>
        <w:spacing w:after="0" w:line="18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Non-monetary items that are measured in terms of historical cost in a foreign currency are translated using the exchange rates at the dates of the initial transactions.</w:t>
      </w:r>
    </w:p>
    <w:p>
      <w:pPr>
        <w:spacing w:after="0" w:line="129"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directly in other comprehensive income.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109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Notes to the cash flow statement</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cash flow statement has been prepared using the indirect method. The cash and cash equivalents disclosed in the cash flow statement comprises of cash at bank.</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Property, Plant and Equipment</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Depreciation on property, plant and equipment is calculated using the straight-line method to allocate their cost over their estimated useful lives, as follows:</w:t>
      </w:r>
    </w:p>
    <w:p>
      <w:pPr>
        <w:spacing w:after="0" w:line="181" w:lineRule="exact"/>
        <w:rPr>
          <w:sz w:val="20"/>
          <w:szCs w:val="20"/>
          <w:color w:val="auto"/>
        </w:rPr>
      </w:pPr>
    </w:p>
    <w:p>
      <w:pPr>
        <w:ind w:left="1140" w:hanging="444"/>
        <w:spacing w:after="0"/>
        <w:tabs>
          <w:tab w:leader="none" w:pos="114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Office equipment 3-5 years</w:t>
      </w:r>
    </w:p>
    <w:p>
      <w:pPr>
        <w:spacing w:after="0" w:line="19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2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Gains and losses on disposals are determined by comparing proceeds with the carrying amount and are recognized in the consolidated statements of loss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Financial instruments Recognition and measurement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9"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Financial assets are initially measured at fair value plus or minus, for an item not at fair value through profit or loss ("FVTPL") transaction costs that are directly attributable to its acquisition or issue. After the initial measurement, the gains and losses are either recognized in profit and loss, or recognized in other comprehensive income.</w:t>
      </w:r>
    </w:p>
    <w:p>
      <w:pPr>
        <w:spacing w:after="0" w:line="131" w:lineRule="exact"/>
        <w:rPr>
          <w:sz w:val="20"/>
          <w:szCs w:val="20"/>
          <w:color w:val="auto"/>
        </w:rPr>
      </w:pPr>
    </w:p>
    <w:p>
      <w:pPr>
        <w:jc w:val="both"/>
        <w:ind w:right="360"/>
        <w:spacing w:after="0" w:line="266"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Financial assets are included in Group’s consolidated statements of financial position when Pharvaris becomes a party to the contractual provisions of the instrument.</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Transaction costs of equity transactions are either accounted for as a deduction from equity, but only to the extent they are incremental costs directly attributable to the equity transaction that otherwise would have been avoided or are deferred on the balance sheet until the equity instrument is recognized. The costs of an equity transaction that is abandoned are recognized as an expense.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Subsequent measurement</w:t>
      </w:r>
    </w:p>
    <w:p>
      <w:pPr>
        <w:spacing w:after="0" w:line="179"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Financial assets are subsequently measured at amortized cost. Financial assets at amortized cost are subsequently measured using the effective interest method and are subject to impairment. Gains and losses are recognized in the consolidated statements of loss and comprehensive loss when the asset is derecognized, modified or impaired.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2024, the Group had the following financial assets to be measured at amortized cost:</w:t>
      </w:r>
    </w:p>
    <w:p>
      <w:pPr>
        <w:spacing w:after="0" w:line="181" w:lineRule="exact"/>
        <w:rPr>
          <w:sz w:val="20"/>
          <w:szCs w:val="20"/>
          <w:color w:val="auto"/>
        </w:rPr>
      </w:pPr>
    </w:p>
    <w:p>
      <w:pPr>
        <w:ind w:left="1140" w:hanging="444"/>
        <w:spacing w:after="0"/>
        <w:tabs>
          <w:tab w:leader="none" w:pos="1140"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w:t>
      </w:r>
    </w:p>
    <w:p>
      <w:pPr>
        <w:spacing w:after="0" w:line="193"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Receivables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w:t>
      </w:r>
    </w:p>
    <w:p>
      <w:pPr>
        <w:spacing w:after="0" w:line="17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Financial assets are derecognized when the rights to receive cash flows from the investments have expired or have been transferred and where the Group has transferred substantially all risks and rewards of ownership.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All financial liabilities are recognized initially at fair value and, in the case of loans and borrowings and payables, net of directly attributable transaction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Group’s financial liabilities include trade payables and accrued liabilities.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110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measurement</w:t>
      </w:r>
    </w:p>
    <w:p>
      <w:pPr>
        <w:spacing w:after="0" w:line="194"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After initial recognition, trade payables and accrued liabilities are subsequently measured at amortized cost. Gains and losses are recognized in the consolidated statements of loss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Derecognition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financial liability is derecognized when the obligation under the liability is discharged or cancelled or is expired.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Receivables</w:t>
      </w:r>
    </w:p>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Receivables are recognized initially at fair value and subsequently measured at amortized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2.10 Cash and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bank balances.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2.11 Equity</w:t>
      </w:r>
    </w:p>
    <w:p>
      <w:pPr>
        <w:spacing w:after="0" w:line="18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2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are classified as equity.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9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Pre-funded warrants are classified as equity and are largely paid upfront. The pre-funded warrants can be converted into ordinary shares upon exercise of the warrant, which requires payment of a nominal exercise price to the Company at the time of exercise.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2.12 Trade and other payables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are obligations to pay for goods or services that have been acquired in the ordinary course of business from suppliers.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are classified as current liabilities if payment is due within one year or less (or in the normal operating cycle of the business if longer).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If not, they are presented as non-current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 IFRS 16 Leases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leases are accounted for by recognizing a right-of-use asset and a lease liability except for:</w:t>
      </w:r>
    </w:p>
    <w:p>
      <w:pPr>
        <w:spacing w:after="0" w:line="113"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6"/>
          <w:szCs w:val="16"/>
          <w:color w:val="auto"/>
        </w:rPr>
      </w:pPr>
      <w:r>
        <w:rPr>
          <w:rFonts w:ascii="Arial" w:cs="Arial" w:eastAsia="Arial" w:hAnsi="Arial"/>
          <w:sz w:val="16"/>
          <w:szCs w:val="16"/>
          <w:color w:val="auto"/>
        </w:rPr>
        <w:t>leases of low value assets;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2"/>
        </w:numPr>
        <w:rPr>
          <w:rFonts w:ascii="Times New Roman" w:cs="Times New Roman" w:eastAsia="Times New Roman" w:hAnsi="Times New Roman"/>
          <w:sz w:val="16"/>
          <w:szCs w:val="16"/>
          <w:color w:val="auto"/>
        </w:rPr>
      </w:pPr>
      <w:r>
        <w:rPr>
          <w:rFonts w:ascii="Arial" w:cs="Arial" w:eastAsia="Arial" w:hAnsi="Arial"/>
          <w:sz w:val="16"/>
          <w:szCs w:val="16"/>
          <w:color w:val="auto"/>
        </w:rPr>
        <w:t>leases with a duration of 12 months or less.</w:t>
      </w:r>
    </w:p>
    <w:p>
      <w:pPr>
        <w:spacing w:after="0" w:line="207"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Lease liabilities are measured at the present value of the contractual payments due to the lessor over the lease term, using the Group’s incremental borrowing rate at commencement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initial recognition, the carrying value of the lease liability also includes:</w:t>
      </w:r>
    </w:p>
    <w:p>
      <w:pPr>
        <w:spacing w:after="0" w:line="113" w:lineRule="exact"/>
        <w:rPr>
          <w:sz w:val="20"/>
          <w:szCs w:val="20"/>
          <w:color w:val="auto"/>
        </w:rPr>
      </w:pPr>
    </w:p>
    <w:p>
      <w:pPr>
        <w:ind w:right="60" w:firstLine="517"/>
        <w:spacing w:after="0" w:line="549" w:lineRule="auto"/>
        <w:tabs>
          <w:tab w:leader="none" w:pos="1018" w:val="left"/>
        </w:tabs>
        <w:numPr>
          <w:ilvl w:val="0"/>
          <w:numId w:val="93"/>
        </w:numPr>
        <w:rPr>
          <w:rFonts w:ascii="Times New Roman" w:cs="Times New Roman" w:eastAsia="Times New Roman" w:hAnsi="Times New Roman"/>
          <w:sz w:val="16"/>
          <w:szCs w:val="16"/>
          <w:color w:val="auto"/>
        </w:rPr>
      </w:pPr>
      <w:r>
        <w:rPr>
          <w:rFonts w:ascii="Arial" w:cs="Arial" w:eastAsia="Arial" w:hAnsi="Arial"/>
          <w:sz w:val="16"/>
          <w:szCs w:val="16"/>
          <w:color w:val="auto"/>
        </w:rPr>
        <w:t>any penalties payable for terminating the lease, if the term of the lease has been estimated on the basis of termination option being exercised. Right of use assets are initially measured at the amount of the lease liability, reduced for any lease incentives received, and increased for:</w:t>
      </w:r>
    </w:p>
    <w:p>
      <w:pPr>
        <w:sectPr>
          <w:pgSz w:w="11900" w:h="16838" w:orient="portrait"/>
          <w:cols w:equalWidth="0" w:num="1">
            <w:col w:w="11240"/>
          </w:cols>
          <w:pgMar w:left="320" w:top="773" w:right="3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6"/>
          <w:szCs w:val="16"/>
          <w:b w:val="1"/>
          <w:bCs w:val="1"/>
          <w:color w:val="auto"/>
        </w:rPr>
        <w:t>111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lease payments made at or before commencement of the lease;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initial direct costs incurred;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of any provision recognized where the Group is contractually required to dismantle, remove or restore the leased asset.</w:t>
      </w:r>
    </w:p>
    <w:p>
      <w:pPr>
        <w:spacing w:after="0" w:line="20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Subsequent to initial measurement lease liabilities increase as a result of interest charged at a constant rate on the balance outstanding and are reduced for lease payments made. Right-of-use assets are amortized on a straight-line basis over the remaining term of the lease.</w:t>
      </w:r>
    </w:p>
    <w:p>
      <w:pPr>
        <w:spacing w:after="0" w:line="11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When the Group revises its estimate of the term of any lease, it adjusts the carrying amount of the lease liability to reflect the payments to be made over the revised term, which are discounted using an updated discount 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2.14 Current and deferred income tax</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tax expense for the period comprises current and deferred tax. Tax effects are recognized in the consolidated statements of loss and comprehensive loss.</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Deferred income tax assets are recognized only to the extent that it is probable that future taxable profit will be available or tax planning opportunities are available to the Company that will create taxable profit in appropriate periods against which the temporary differences and/or tax losses carried forward can be utilized. IAS 12 states that it is ‘probable’ that there will be sufficient taxable profit if a deductible temporary difference can be offset against a taxable temporary difference (deferred tax liability) relating to the same tax authority and the same taxable entity which will reverse in the same period as the asset, or in a period into which a loss arising from the asset may be carried back or forward.</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allocating the recognition and derecognition of DTAs on losses carried forward within a jurisdiction between equity and profit or loss (considering backward tracing), it is the Company’s accounting policy to use a so-called vertical approach instead of a horizontal one to offset results of the current year with carry forward losses of previous years. That means the carry forward losses initially accounted for in profit or loss (equity) are used to offset current year gains accounted for in profit or loss (equity) first insofar available. Any remaining gains accounted for in profit or loss (equity) are offset with losses accounted for in equity (profit or loss) of the same year, and carry forward losses initially accounted for in equity (profit or loss).</w:t>
      </w:r>
    </w:p>
    <w:p>
      <w:pPr>
        <w:spacing w:after="0" w:line="139"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 Deferred tax balances are not discounted.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2.15 Share-based payment</w:t>
      </w:r>
    </w:p>
    <w:p>
      <w:pPr>
        <w:spacing w:after="0" w:line="18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The total amount to be expensed is determined by reference to the fair value of the options or restricted stock units granted.</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Service vesting condition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The Group recognizes the impact of the revision to previous estimates, if any, in the consolidated statements of loss and comprehensive loss, with a corresponding adjustment to equity. The tax effect of issued restricted stock units is debited to accumulated losses when net settlement is used in order to satisfy the Company’s tax withholding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2.16 Expenses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b w:val="1"/>
          <w:bCs w:val="1"/>
          <w:color w:val="auto"/>
        </w:rPr>
        <w:t>112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development costs to intangible assets, as set out in IAS 38, have not been met and therefore the Group has not capitalized any development expenses in 2024 or 2023. See Note 3 for information relating to research and development expenses incurred in the reporting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At each balance sheet date, the Group estimates the level of services performed by the vendors and the associated cost incurred for the services performed.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Expenses are recognized in the Group’s consolidated statements of loss and comprehensive loss as expenses when incurred.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Personnel expenses</w:t>
      </w:r>
    </w:p>
    <w:p>
      <w:pPr>
        <w:spacing w:after="0" w:line="17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Wages and salaries, social security contributions, paid leave and bonuses, and other employee benefits are recognized in the financial year in which the employee provide the associated services.</w:t>
      </w:r>
    </w:p>
    <w:p>
      <w:pPr>
        <w:spacing w:after="0" w:line="11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group’s pension plans are classified as defined contribution plans, and, accordingly, no pension obligations are recognized in the balance sheet. Costs relating to defined contribution plans are included in the consolidated statements of loss and comprehensive loss in the period in which they are incurred, and outstanding contributions are included in other payables.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2.17 New and amended standards and interpretations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Non-current Liabilities with Covenants (Amendments to IAS 1)</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October 31, 2022, the IASB issued amendments to IAS 1 - Non-current Liabilities with Covenants. The amendment clarifies how conditions with which an entity must comply within twelve months after the reporting period affect the classification of a liability. The amendment is effective for reporting periods beginning on or after January 1, 2024. The amendments do not have a material impact on the Group.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Classification of Liabilities as Current or Non-current (Amendments to IAS 1)</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In January 2020, the IASB issued amendments to paragraphs 69 to 76 of IAS 1 to specify the requirements for classifying liabilities as current or non-current.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clarify:</w:t>
      </w:r>
    </w:p>
    <w:p>
      <w:pPr>
        <w:spacing w:after="0" w:line="165" w:lineRule="exact"/>
        <w:rPr>
          <w:sz w:val="20"/>
          <w:szCs w:val="20"/>
          <w:color w:val="auto"/>
        </w:rPr>
      </w:pPr>
    </w:p>
    <w:p>
      <w:pPr>
        <w:ind w:left="1140" w:hanging="444"/>
        <w:spacing w:after="0"/>
        <w:tabs>
          <w:tab w:leader="none" w:pos="114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What is meant by a right to defer settlement</w:t>
      </w:r>
    </w:p>
    <w:p>
      <w:pPr>
        <w:spacing w:after="0" w:line="206"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That a right to defer must exist at the end of the reporting period</w:t>
      </w:r>
    </w:p>
    <w:p>
      <w:pPr>
        <w:spacing w:after="0" w:line="193"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That classification is unaffected by the likelihood that an entity will exercise its deferral right</w:t>
      </w:r>
    </w:p>
    <w:p>
      <w:pPr>
        <w:spacing w:after="0" w:line="193" w:lineRule="exact"/>
        <w:rPr>
          <w:rFonts w:ascii="Times New Roman" w:cs="Times New Roman" w:eastAsia="Times New Roman" w:hAnsi="Times New Roman"/>
          <w:sz w:val="16"/>
          <w:szCs w:val="16"/>
          <w:color w:val="auto"/>
        </w:rPr>
      </w:pPr>
    </w:p>
    <w:p>
      <w:pPr>
        <w:ind w:left="1140" w:right="800" w:hanging="444"/>
        <w:spacing w:after="0" w:line="285" w:lineRule="auto"/>
        <w:tabs>
          <w:tab w:leader="none" w:pos="114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That only if an embedded derivative in a convertible liability is itself an equity instrument would the terms of a liability not impact its classification</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amendments are effective for annual reporting periods beginning on or after January 1, 2023 and must be applied retrospectively. The amendments do not have a material impact on the Group.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Liability in a Sale and Leaseback (Amendments to IFRS 16)</w:t>
      </w:r>
    </w:p>
    <w:p>
      <w:pPr>
        <w:spacing w:after="0" w:line="17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September 22, 2022, the IASB issued amendments to IFRS 16 - Leases. The amendment clarifies how a seller-lessee subsequently measures sale and leaseback transactions that satisfy the requirements in IFRS 15 to be accounted for as a sale. The amendment is effective for reporting periods beginning on or after January 1, 2024. The amendments do not have a material impact on the Group.</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2.18 Standards issued but not yet effective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standards and interpretations that are issued, but not yet effective, up to the date of issuance of the Group’s financial statements are disclosed below.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Group intends to adopt these standards, if applicable, when they become effective.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to IFRS 9 and IFRS 7 - Classification and Measurement of Financial Instruments</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These amendments clarify the requirements for the timing of recognition and derecognition of some financial assets and liabilities, with a new exception for some financial liabilities settled through an electronic cash transfer system; clarify and add further guidance for assessing whether a financial asset meets the solely payments of principal and interest (SPPI) criterion; add new disclosures for certain instruments with contractual terms that can change cash flows (such as some instruments with features linked to the achievement of environment, social and governance (ESG) targets); and make updates to the disclosures for equity instruments designated at Fair Value through Other Comprehensive Income (FVOCI)</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6"/>
          <w:szCs w:val="16"/>
          <w:b w:val="1"/>
          <w:bCs w:val="1"/>
          <w:color w:val="auto"/>
        </w:rPr>
        <w:t>113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amendment is effective for reporting periods beginning on or after January 1, 2027. The amendments are not expected to have a material impact on the Group.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18, Presentation and Disclosure in Financial Statements</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This is the new standard on presentation and disclosure in financial statements, with a focus on updates to the statement of profit or loss. The key new concepts introduced in IFRS 18 relate to the structure of the statement of profit or loss; required disclosures in the financial statements for certain profit or loss performance measures that are reported outside an entity’s financial statements (that is, management-defined performance measures); and enhanced principles on aggregation and disaggregation which apply to the primary financial statements and notes in general.</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amendment is effective for reporting periods beginning on or after January 1, 2027. The amendments are being assessed by the Group.</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2.19 Significant accounting judgements, estimates and assumptions</w:t>
      </w:r>
    </w:p>
    <w:p>
      <w:pPr>
        <w:spacing w:after="0" w:line="18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payments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2.15. The total amount to be expensed is determined by reference to the fair value of the options or restricted stock units granted. The fair value of the options is measured at the date of grant using the Black-Scholes formula as further explained in Note 18.</w:t>
      </w:r>
    </w:p>
    <w:p>
      <w:pPr>
        <w:spacing w:after="0" w:line="13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2"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(Note 2.16 and Note 3).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Research and development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00" w:type="dxa"/>
            <w:vAlign w:val="bottom"/>
          </w:tcPr>
          <w:p>
            <w:pPr>
              <w:spacing w:after="0"/>
              <w:rPr>
                <w:sz w:val="13"/>
                <w:szCs w:val="13"/>
                <w:color w:val="auto"/>
              </w:rPr>
            </w:pPr>
          </w:p>
        </w:tc>
        <w:tc>
          <w:tcPr>
            <w:tcW w:w="15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5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3"/>
                <w:szCs w:val="13"/>
                <w:color w:val="auto"/>
              </w:rPr>
            </w:pPr>
          </w:p>
        </w:tc>
        <w:tc>
          <w:tcPr>
            <w:tcW w:w="146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29"/>
        </w:trPr>
        <w:tc>
          <w:tcPr>
            <w:tcW w:w="6100" w:type="dxa"/>
            <w:vAlign w:val="bottom"/>
          </w:tcPr>
          <w:p>
            <w:pPr>
              <w:spacing w:after="0"/>
              <w:rPr>
                <w:sz w:val="11"/>
                <w:szCs w:val="11"/>
                <w:color w:val="auto"/>
              </w:rPr>
            </w:pPr>
          </w:p>
        </w:tc>
        <w:tc>
          <w:tcPr>
            <w:tcW w:w="15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5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6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Clinical expenses</w:t>
            </w:r>
          </w:p>
        </w:tc>
        <w:tc>
          <w:tcPr>
            <w:tcW w:w="18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(55,867,694)</w:t>
            </w:r>
          </w:p>
        </w:tc>
        <w:tc>
          <w:tcPr>
            <w:tcW w:w="17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(30,690,293)</w:t>
            </w:r>
          </w:p>
        </w:tc>
        <w:tc>
          <w:tcPr>
            <w:tcW w:w="15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(27,653,658)</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Personnel expenses (Note 5)</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(27,767,184)</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(19,132,307)</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(13,334,350)</w:t>
            </w:r>
          </w:p>
        </w:tc>
      </w:tr>
      <w:tr>
        <w:trPr>
          <w:trHeight w:val="18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w:t>
            </w: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(9,434,537)</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(6,500,986)</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(11,181,355)</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Nonclinical expenses</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(3,324,513)</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(8,977,187)</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(4,853,822)</w:t>
            </w:r>
          </w:p>
        </w:tc>
      </w:tr>
      <w:tr>
        <w:trPr>
          <w:trHeight w:val="18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License costs</w:t>
            </w: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(1,592,687)</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(576,914)</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(274,257)</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(352,389)</w:t>
            </w:r>
          </w:p>
        </w:tc>
      </w:tr>
      <w:tr>
        <w:trPr>
          <w:trHeight w:val="20"/>
        </w:trPr>
        <w:tc>
          <w:tcPr>
            <w:tcW w:w="6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1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(98,563,529)</w:t>
            </w:r>
          </w:p>
        </w:tc>
        <w:tc>
          <w:tcPr>
            <w:tcW w:w="17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(65,575,030)</w:t>
            </w:r>
          </w:p>
        </w:tc>
        <w:tc>
          <w:tcPr>
            <w:tcW w:w="15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(57,375,574)</w:t>
            </w: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6"/>
          <w:szCs w:val="16"/>
          <w:b w:val="1"/>
          <w:bCs w:val="1"/>
          <w:color w:val="auto"/>
        </w:rPr>
        <w:t>114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Development expenses are currently not capitalized but are recorded in the condensed consolidated statements of profit or loss and other comprehensive loss because the recognition criteria for capitalization are not met.</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Licensing costs consists of milestone payment reflecting the start of the first Phase 3 study.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115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99.4</w:t>
            </w:r>
          </w:p>
        </w:tc>
      </w:tr>
      <w:tr>
        <w:trPr>
          <w:trHeight w:val="513"/>
        </w:trPr>
        <w:tc>
          <w:tcPr>
            <w:tcW w:w="6200" w:type="dxa"/>
            <w:vAlign w:val="bottom"/>
          </w:tcPr>
          <w:p>
            <w:pPr>
              <w:spacing w:after="0"/>
              <w:rPr>
                <w:sz w:val="20"/>
                <w:szCs w:val="20"/>
                <w:color w:val="auto"/>
              </w:rPr>
            </w:pPr>
            <w:r>
              <w:rPr>
                <w:rFonts w:ascii="Arial" w:cs="Arial" w:eastAsia="Arial" w:hAnsi="Arial"/>
                <w:sz w:val="16"/>
                <w:szCs w:val="16"/>
                <w:b w:val="1"/>
                <w:bCs w:val="1"/>
                <w:color w:val="auto"/>
              </w:rPr>
              <w:t>4. General and administrative expenses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32"/>
        </w:trPr>
        <w:tc>
          <w:tcPr>
            <w:tcW w:w="6200" w:type="dxa"/>
            <w:vAlign w:val="bottom"/>
          </w:tcPr>
          <w:p>
            <w:pPr>
              <w:spacing w:after="0"/>
              <w:rPr>
                <w:sz w:val="24"/>
                <w:szCs w:val="24"/>
                <w:color w:val="auto"/>
              </w:rPr>
            </w:pPr>
          </w:p>
        </w:tc>
        <w:tc>
          <w:tcPr>
            <w:tcW w:w="15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4"/>
                <w:szCs w:val="24"/>
                <w:color w:val="auto"/>
              </w:rPr>
            </w:pPr>
          </w:p>
        </w:tc>
        <w:tc>
          <w:tcPr>
            <w:tcW w:w="1680" w:type="dxa"/>
            <w:vAlign w:val="bottom"/>
            <w:tcBorders>
              <w:bottom w:val="single" w:sz="8" w:color="auto"/>
            </w:tcBorders>
          </w:tcPr>
          <w:p>
            <w:pPr>
              <w:jc w:val="right"/>
              <w:ind w:right="62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24"/>
                <w:szCs w:val="24"/>
                <w:color w:val="auto"/>
              </w:rPr>
            </w:pPr>
          </w:p>
        </w:tc>
      </w:tr>
      <w:tr>
        <w:trPr>
          <w:trHeight w:val="128"/>
        </w:trPr>
        <w:tc>
          <w:tcPr>
            <w:tcW w:w="6200" w:type="dxa"/>
            <w:vAlign w:val="bottom"/>
          </w:tcPr>
          <w:p>
            <w:pPr>
              <w:spacing w:after="0"/>
              <w:rPr>
                <w:sz w:val="11"/>
                <w:szCs w:val="11"/>
                <w:color w:val="auto"/>
              </w:rPr>
            </w:pPr>
          </w:p>
        </w:tc>
        <w:tc>
          <w:tcPr>
            <w:tcW w:w="15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6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1"/>
                <w:szCs w:val="11"/>
                <w:color w:val="auto"/>
              </w:rPr>
            </w:pP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Personnel expenses (Note 5)</w:t>
            </w:r>
          </w:p>
        </w:tc>
        <w:tc>
          <w:tcPr>
            <w:tcW w:w="16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(18,883,708)</w:t>
            </w:r>
          </w:p>
        </w:tc>
        <w:tc>
          <w:tcPr>
            <w:tcW w:w="17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(13,314,359)</w:t>
            </w:r>
          </w:p>
        </w:tc>
        <w:tc>
          <w:tcPr>
            <w:tcW w:w="16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(13,484,996)</w:t>
            </w: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Professional fees</w:t>
            </w: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(7,757,750)</w:t>
            </w:r>
          </w:p>
        </w:tc>
        <w:tc>
          <w:tcPr>
            <w:tcW w:w="1780" w:type="dxa"/>
            <w:vAlign w:val="bottom"/>
            <w:gridSpan w:val="2"/>
          </w:tcPr>
          <w:p>
            <w:pPr>
              <w:jc w:val="right"/>
              <w:ind w:right="40"/>
              <w:spacing w:after="0"/>
              <w:rPr>
                <w:sz w:val="20"/>
                <w:szCs w:val="20"/>
                <w:color w:val="auto"/>
              </w:rPr>
            </w:pPr>
            <w:r>
              <w:rPr>
                <w:rFonts w:ascii="Arial" w:cs="Arial" w:eastAsia="Arial" w:hAnsi="Arial"/>
                <w:sz w:val="16"/>
                <w:szCs w:val="16"/>
                <w:color w:val="auto"/>
              </w:rPr>
              <w:t>(4,689,462)</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(3,972,771)</w:t>
            </w:r>
          </w:p>
        </w:tc>
      </w:tr>
      <w:tr>
        <w:trPr>
          <w:trHeight w:val="189"/>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Facilities, communication and office expenses</w:t>
            </w: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(6,509,691)</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(6,031,513)</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(6,443,709)</w:t>
            </w: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(4,017,669)</w:t>
            </w:r>
          </w:p>
        </w:tc>
        <w:tc>
          <w:tcPr>
            <w:tcW w:w="1780" w:type="dxa"/>
            <w:vAlign w:val="bottom"/>
            <w:gridSpan w:val="2"/>
          </w:tcPr>
          <w:p>
            <w:pPr>
              <w:jc w:val="right"/>
              <w:ind w:right="40"/>
              <w:spacing w:after="0"/>
              <w:rPr>
                <w:sz w:val="20"/>
                <w:szCs w:val="20"/>
                <w:color w:val="auto"/>
              </w:rPr>
            </w:pPr>
            <w:r>
              <w:rPr>
                <w:rFonts w:ascii="Arial" w:cs="Arial" w:eastAsia="Arial" w:hAnsi="Arial"/>
                <w:sz w:val="16"/>
                <w:szCs w:val="16"/>
                <w:color w:val="auto"/>
              </w:rPr>
              <w:t>(2,029,554)</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(1,652,995)</w:t>
            </w:r>
          </w:p>
        </w:tc>
      </w:tr>
      <w:tr>
        <w:trPr>
          <w:trHeight w:val="189"/>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Travel expenses</w:t>
            </w: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(2,129,631)</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(1,797,588)</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(1,105,961)</w:t>
            </w: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Consulting fees</w:t>
            </w: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(858,843)</w:t>
            </w:r>
          </w:p>
        </w:tc>
        <w:tc>
          <w:tcPr>
            <w:tcW w:w="1780" w:type="dxa"/>
            <w:vAlign w:val="bottom"/>
            <w:gridSpan w:val="2"/>
          </w:tcPr>
          <w:p>
            <w:pPr>
              <w:jc w:val="right"/>
              <w:ind w:right="40"/>
              <w:spacing w:after="0"/>
              <w:rPr>
                <w:sz w:val="20"/>
                <w:szCs w:val="20"/>
                <w:color w:val="auto"/>
              </w:rPr>
            </w:pPr>
            <w:r>
              <w:rPr>
                <w:rFonts w:ascii="Arial" w:cs="Arial" w:eastAsia="Arial" w:hAnsi="Arial"/>
                <w:sz w:val="16"/>
                <w:szCs w:val="16"/>
                <w:color w:val="auto"/>
              </w:rPr>
              <w:t>(602,110)</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(898,435)</w:t>
            </w:r>
          </w:p>
        </w:tc>
      </w:tr>
      <w:tr>
        <w:trPr>
          <w:trHeight w:val="189"/>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(6,967,346)</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(2,874,004)</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(1,780,167)</w:t>
            </w:r>
          </w:p>
        </w:tc>
      </w:tr>
      <w:tr>
        <w:trPr>
          <w:trHeight w:val="20"/>
        </w:trPr>
        <w:tc>
          <w:tcPr>
            <w:tcW w:w="620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83"/>
        </w:trPr>
        <w:tc>
          <w:tcPr>
            <w:tcW w:w="6200" w:type="dxa"/>
            <w:vAlign w:val="bottom"/>
          </w:tcPr>
          <w:p>
            <w:pPr>
              <w:spacing w:after="0"/>
              <w:rPr>
                <w:sz w:val="15"/>
                <w:szCs w:val="15"/>
                <w:color w:val="auto"/>
              </w:rPr>
            </w:pPr>
          </w:p>
        </w:tc>
        <w:tc>
          <w:tcPr>
            <w:tcW w:w="16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(47,124,638)</w:t>
            </w:r>
          </w:p>
        </w:tc>
        <w:tc>
          <w:tcPr>
            <w:tcW w:w="178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(31,338,590)</w:t>
            </w:r>
          </w:p>
        </w:tc>
        <w:tc>
          <w:tcPr>
            <w:tcW w:w="160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(29,339,034)</w:t>
            </w:r>
          </w:p>
        </w:tc>
      </w:tr>
      <w:tr>
        <w:trPr>
          <w:trHeight w:val="20"/>
        </w:trPr>
        <w:tc>
          <w:tcPr>
            <w:tcW w:w="6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-153670</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-153670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-153670</wp:posOffset>
            </wp:positionV>
            <wp:extent cx="939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 2022 and 2021 the Group entered into a number of short-term rental arrangements, the expenses are included in "Other expenses".</w:t>
      </w:r>
    </w:p>
    <w:p>
      <w:pPr>
        <w:spacing w:after="0" w:line="23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For the year ended December 31, 2024, depreciation expense of €0.1 million (2023: €0.06 million; 2022: €0.04 million), which relate to property, plant and equipment and leases, is included in the 'Other expenses' line.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Personnel expenses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58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44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3"/>
                <w:szCs w:val="13"/>
                <w:color w:val="auto"/>
              </w:rPr>
            </w:pPr>
          </w:p>
        </w:tc>
      </w:tr>
      <w:tr>
        <w:trPr>
          <w:trHeight w:val="128"/>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5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4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r>
      <w:tr>
        <w:trPr>
          <w:trHeight w:val="183"/>
        </w:trPr>
        <w:tc>
          <w:tcPr>
            <w:tcW w:w="20" w:type="dxa"/>
            <w:vAlign w:val="bottom"/>
          </w:tcPr>
          <w:p>
            <w:pPr>
              <w:spacing w:after="0"/>
              <w:rPr>
                <w:sz w:val="15"/>
                <w:szCs w:val="15"/>
                <w:color w:val="auto"/>
              </w:rPr>
            </w:pPr>
          </w:p>
        </w:tc>
        <w:tc>
          <w:tcPr>
            <w:tcW w:w="6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Wages and salaries</w:t>
            </w:r>
          </w:p>
        </w:tc>
        <w:tc>
          <w:tcPr>
            <w:tcW w:w="17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(25,805,171)</w:t>
            </w:r>
          </w:p>
        </w:tc>
        <w:tc>
          <w:tcPr>
            <w:tcW w:w="15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(18,746,645)</w:t>
            </w:r>
          </w:p>
        </w:tc>
        <w:tc>
          <w:tcPr>
            <w:tcW w:w="16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(13,408,411)</w:t>
            </w:r>
          </w:p>
        </w:tc>
      </w:tr>
      <w:tr>
        <w:trPr>
          <w:trHeight w:val="189"/>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Pension charges</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(1,572,233)</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(1,156,028)</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(803,460)</w:t>
            </w:r>
          </w:p>
        </w:tc>
      </w:tr>
      <w:tr>
        <w:trPr>
          <w:trHeight w:val="189"/>
        </w:trPr>
        <w:tc>
          <w:tcPr>
            <w:tcW w:w="20" w:type="dxa"/>
            <w:vAlign w:val="bottom"/>
          </w:tcPr>
          <w:p>
            <w:pPr>
              <w:spacing w:after="0"/>
              <w:rPr>
                <w:sz w:val="16"/>
                <w:szCs w:val="16"/>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Other social security charges</w:t>
            </w: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(3,064,955)</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(1,880,767)</w:t>
            </w: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(1,258,275)</w:t>
            </w:r>
          </w:p>
        </w:tc>
      </w:tr>
      <w:tr>
        <w:trPr>
          <w:trHeight w:val="189"/>
        </w:trPr>
        <w:tc>
          <w:tcPr>
            <w:tcW w:w="2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Share-based payments</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(16,208,533)</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(10,663,226)</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(11,349,200)</w:t>
            </w: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(46,650,892)</w:t>
            </w:r>
          </w:p>
        </w:tc>
        <w:tc>
          <w:tcPr>
            <w:tcW w:w="15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(32,446,666)</w:t>
            </w:r>
          </w:p>
        </w:tc>
        <w:tc>
          <w:tcPr>
            <w:tcW w:w="16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(26,819,346)</w:t>
            </w: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028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028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staff (in FTEs) employed by the Group at December 31, 2024 was 108 (2023: 82, 2022: 65).</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Finance income /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60" w:type="dxa"/>
            <w:vAlign w:val="bottom"/>
          </w:tcPr>
          <w:p>
            <w:pPr>
              <w:spacing w:after="0"/>
              <w:rPr>
                <w:sz w:val="13"/>
                <w:szCs w:val="13"/>
                <w:color w:val="auto"/>
              </w:rPr>
            </w:pPr>
          </w:p>
        </w:tc>
        <w:tc>
          <w:tcPr>
            <w:tcW w:w="160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15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22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3"/>
                <w:szCs w:val="13"/>
                <w:color w:val="auto"/>
              </w:rPr>
            </w:pPr>
          </w:p>
        </w:tc>
      </w:tr>
      <w:tr>
        <w:trPr>
          <w:trHeight w:val="128"/>
        </w:trPr>
        <w:tc>
          <w:tcPr>
            <w:tcW w:w="6360" w:type="dxa"/>
            <w:vAlign w:val="bottom"/>
          </w:tcPr>
          <w:p>
            <w:pPr>
              <w:spacing w:after="0"/>
              <w:rPr>
                <w:sz w:val="11"/>
                <w:szCs w:val="11"/>
                <w:color w:val="auto"/>
              </w:rPr>
            </w:pP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15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2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r>
      <w:tr>
        <w:trPr>
          <w:trHeight w:val="183"/>
        </w:trPr>
        <w:tc>
          <w:tcPr>
            <w:tcW w:w="6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Foreign exchange differences</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7,869,114</w:t>
            </w:r>
          </w:p>
        </w:tc>
        <w:tc>
          <w:tcPr>
            <w:tcW w:w="14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(3,116,662)</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11,100,392</w:t>
            </w:r>
          </w:p>
        </w:tc>
        <w:tc>
          <w:tcPr>
            <w:tcW w:w="160" w:type="dxa"/>
            <w:vAlign w:val="bottom"/>
            <w:shd w:val="clear" w:color="auto" w:fill="CFF0FC"/>
          </w:tcPr>
          <w:p>
            <w:pPr>
              <w:spacing w:after="0"/>
              <w:rPr>
                <w:sz w:val="15"/>
                <w:szCs w:val="15"/>
                <w:color w:val="auto"/>
              </w:rPr>
            </w:pPr>
          </w:p>
        </w:tc>
      </w:tr>
      <w:tr>
        <w:trPr>
          <w:trHeight w:val="189"/>
        </w:trPr>
        <w:tc>
          <w:tcPr>
            <w:tcW w:w="6360" w:type="dxa"/>
            <w:vAlign w:val="bottom"/>
          </w:tcPr>
          <w:p>
            <w:pPr>
              <w:spacing w:after="0"/>
              <w:rPr>
                <w:sz w:val="20"/>
                <w:szCs w:val="20"/>
                <w:color w:val="auto"/>
              </w:rPr>
            </w:pPr>
            <w:r>
              <w:rPr>
                <w:rFonts w:ascii="Arial" w:cs="Arial" w:eastAsia="Arial" w:hAnsi="Arial"/>
                <w:sz w:val="16"/>
                <w:szCs w:val="16"/>
                <w:color w:val="auto"/>
              </w:rPr>
              <w:t>Interest income (expense)</w:t>
            </w:r>
          </w:p>
        </w:tc>
        <w:tc>
          <w:tcPr>
            <w:tcW w:w="1600" w:type="dxa"/>
            <w:vAlign w:val="bottom"/>
          </w:tcPr>
          <w:p>
            <w:pPr>
              <w:jc w:val="right"/>
              <w:spacing w:after="0"/>
              <w:rPr>
                <w:sz w:val="20"/>
                <w:szCs w:val="20"/>
                <w:color w:val="auto"/>
              </w:rPr>
            </w:pPr>
            <w:r>
              <w:rPr>
                <w:rFonts w:ascii="Arial" w:cs="Arial" w:eastAsia="Arial" w:hAnsi="Arial"/>
                <w:sz w:val="16"/>
                <w:szCs w:val="16"/>
                <w:color w:val="auto"/>
              </w:rPr>
              <w:t>5,469,464</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224,494</w:t>
            </w:r>
          </w:p>
        </w:tc>
        <w:tc>
          <w:tcPr>
            <w:tcW w:w="22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(16,105)</w:t>
            </w:r>
          </w:p>
        </w:tc>
      </w:tr>
      <w:tr>
        <w:trPr>
          <w:trHeight w:val="189"/>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Other finance expenses</w:t>
            </w: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(46,914)</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(20,475)</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(23,149)</w:t>
            </w:r>
          </w:p>
        </w:tc>
      </w:tr>
      <w:tr>
        <w:trPr>
          <w:trHeight w:val="20"/>
        </w:trPr>
        <w:tc>
          <w:tcPr>
            <w:tcW w:w="63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83"/>
        </w:trPr>
        <w:tc>
          <w:tcPr>
            <w:tcW w:w="6360" w:type="dxa"/>
            <w:vAlign w:val="bottom"/>
          </w:tcPr>
          <w:p>
            <w:pPr>
              <w:spacing w:after="0"/>
              <w:rPr>
                <w:sz w:val="15"/>
                <w:szCs w:val="15"/>
                <w:color w:val="auto"/>
              </w:rPr>
            </w:pPr>
          </w:p>
        </w:tc>
        <w:tc>
          <w:tcPr>
            <w:tcW w:w="1600" w:type="dxa"/>
            <w:vAlign w:val="bottom"/>
          </w:tcPr>
          <w:p>
            <w:pPr>
              <w:jc w:val="right"/>
              <w:spacing w:after="0" w:line="183" w:lineRule="exact"/>
              <w:rPr>
                <w:sz w:val="20"/>
                <w:szCs w:val="20"/>
                <w:color w:val="auto"/>
              </w:rPr>
            </w:pPr>
            <w:r>
              <w:rPr>
                <w:rFonts w:ascii="Arial" w:cs="Arial" w:eastAsia="Arial" w:hAnsi="Arial"/>
                <w:sz w:val="16"/>
                <w:szCs w:val="16"/>
                <w:color w:val="auto"/>
              </w:rPr>
              <w:t>13,291,664</w:t>
            </w:r>
          </w:p>
        </w:tc>
        <w:tc>
          <w:tcPr>
            <w:tcW w:w="140" w:type="dxa"/>
            <w:vAlign w:val="bottom"/>
          </w:tcPr>
          <w:p>
            <w:pPr>
              <w:spacing w:after="0"/>
              <w:rPr>
                <w:sz w:val="15"/>
                <w:szCs w:val="15"/>
                <w:color w:val="auto"/>
              </w:rPr>
            </w:pPr>
          </w:p>
        </w:tc>
        <w:tc>
          <w:tcPr>
            <w:tcW w:w="17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(2,912,643)</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11,061,138</w:t>
            </w:r>
          </w:p>
        </w:tc>
        <w:tc>
          <w:tcPr>
            <w:tcW w:w="16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-153670</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-153670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-153670</wp:posOffset>
            </wp:positionV>
            <wp:extent cx="1028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Group reports financial results in Euros. Since bank balances are in Euros, U.S. Dollars and Swiss Francs, changes in the conversion rates of the Dollars and Swiss Francs versus the Euro result in either income or expense over time. Interest income relates to earnings on cash deposits.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Income taxes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00" w:type="dxa"/>
            <w:vAlign w:val="bottom"/>
          </w:tcPr>
          <w:p>
            <w:pPr>
              <w:spacing w:after="0"/>
              <w:rPr>
                <w:sz w:val="13"/>
                <w:szCs w:val="13"/>
                <w:color w:val="auto"/>
              </w:rPr>
            </w:pPr>
          </w:p>
        </w:tc>
        <w:tc>
          <w:tcPr>
            <w:tcW w:w="146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40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18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3"/>
                <w:szCs w:val="13"/>
                <w:color w:val="auto"/>
              </w:rPr>
            </w:pPr>
          </w:p>
        </w:tc>
      </w:tr>
      <w:tr>
        <w:trPr>
          <w:trHeight w:val="128"/>
        </w:trPr>
        <w:tc>
          <w:tcPr>
            <w:tcW w:w="660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1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Current income tax expense</w:t>
            </w:r>
          </w:p>
        </w:tc>
        <w:tc>
          <w:tcPr>
            <w:tcW w:w="16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(1,033,115)</w:t>
            </w:r>
          </w:p>
        </w:tc>
        <w:tc>
          <w:tcPr>
            <w:tcW w:w="16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(473,623)</w:t>
            </w:r>
          </w:p>
        </w:tc>
        <w:tc>
          <w:tcPr>
            <w:tcW w:w="13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(757,413)</w:t>
            </w: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Deferred tax (charge) benefit</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(791,909)</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(575,182)</w:t>
            </w:r>
          </w:p>
        </w:tc>
        <w:tc>
          <w:tcPr>
            <w:tcW w:w="1180" w:type="dxa"/>
            <w:vAlign w:val="bottom"/>
          </w:tcPr>
          <w:p>
            <w:pPr>
              <w:jc w:val="right"/>
              <w:spacing w:after="0"/>
              <w:rPr>
                <w:sz w:val="20"/>
                <w:szCs w:val="20"/>
                <w:color w:val="auto"/>
              </w:rPr>
            </w:pPr>
            <w:r>
              <w:rPr>
                <w:rFonts w:ascii="Arial" w:cs="Arial" w:eastAsia="Arial" w:hAnsi="Arial"/>
                <w:sz w:val="16"/>
                <w:szCs w:val="16"/>
                <w:color w:val="auto"/>
              </w:rPr>
              <w:t>78,326</w:t>
            </w:r>
          </w:p>
        </w:tc>
        <w:tc>
          <w:tcPr>
            <w:tcW w:w="160" w:type="dxa"/>
            <w:vAlign w:val="bottom"/>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Income tax benefit / (expense)</w:t>
            </w:r>
          </w:p>
        </w:tc>
        <w:tc>
          <w:tcPr>
            <w:tcW w:w="16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(1,825,024)</w:t>
            </w:r>
          </w:p>
        </w:tc>
        <w:tc>
          <w:tcPr>
            <w:tcW w:w="16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(1,048,805)</w:t>
            </w:r>
          </w:p>
        </w:tc>
        <w:tc>
          <w:tcPr>
            <w:tcW w:w="13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(679,087)</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current tax expenses for the years ended December 31, 2024, 2023 and 2022 relates to the Company's U.S. and Dutch subsidiaries as the result of a cost-plus agreement between the U.S. and Dutch entities and the Group's principal entity in Switzerland resulting in a taxable profit in the U.S. and the Netherlands. For the year ended December 31, 2024, a tax benefit of €0.9 million is additionally directly recognized in equity (2023: €0.7 million; 2022: €0.3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t>116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22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Reconciliation of income tax benefit / (expense) at statutory tax rate and the income tax benefit / (expense) as reported in the consolidated statement of profit or loss and other comprehensive income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0" w:type="dxa"/>
            <w:vAlign w:val="bottom"/>
          </w:tcPr>
          <w:p>
            <w:pPr>
              <w:spacing w:after="0"/>
              <w:rPr>
                <w:sz w:val="13"/>
                <w:szCs w:val="13"/>
                <w:color w:val="auto"/>
              </w:rPr>
            </w:pPr>
          </w:p>
        </w:tc>
        <w:tc>
          <w:tcPr>
            <w:tcW w:w="158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46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3"/>
                <w:szCs w:val="13"/>
                <w:color w:val="auto"/>
              </w:rPr>
            </w:pPr>
          </w:p>
        </w:tc>
      </w:tr>
      <w:tr>
        <w:trPr>
          <w:trHeight w:val="183"/>
        </w:trPr>
        <w:tc>
          <w:tcPr>
            <w:tcW w:w="640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5"/>
                <w:szCs w:val="15"/>
                <w:color w:val="auto"/>
              </w:rPr>
            </w:pPr>
          </w:p>
        </w:tc>
      </w:tr>
      <w:tr>
        <w:trPr>
          <w:trHeight w:val="183"/>
        </w:trPr>
        <w:tc>
          <w:tcPr>
            <w:tcW w:w="6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before income tax</w:t>
            </w:r>
          </w:p>
        </w:tc>
        <w:tc>
          <w:tcPr>
            <w:tcW w:w="17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(132,396,503)</w:t>
            </w:r>
          </w:p>
        </w:tc>
        <w:tc>
          <w:tcPr>
            <w:tcW w:w="15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(99,826,263)</w:t>
            </w:r>
          </w:p>
        </w:tc>
        <w:tc>
          <w:tcPr>
            <w:tcW w:w="15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(75,653,470)</w:t>
            </w:r>
          </w:p>
        </w:tc>
      </w:tr>
      <w:tr>
        <w:trPr>
          <w:trHeight w:val="175"/>
        </w:trPr>
        <w:tc>
          <w:tcPr>
            <w:tcW w:w="6400" w:type="dxa"/>
            <w:vAlign w:val="bottom"/>
          </w:tcPr>
          <w:p>
            <w:pPr>
              <w:spacing w:after="0" w:line="175" w:lineRule="exact"/>
              <w:rPr>
                <w:sz w:val="20"/>
                <w:szCs w:val="20"/>
                <w:color w:val="auto"/>
              </w:rPr>
            </w:pPr>
            <w:r>
              <w:rPr>
                <w:rFonts w:ascii="Arial" w:cs="Arial" w:eastAsia="Arial" w:hAnsi="Arial"/>
                <w:sz w:val="16"/>
                <w:szCs w:val="16"/>
                <w:color w:val="auto"/>
              </w:rPr>
              <w:t>Income tax at statutory income tax rate in the Netherlands (2024,</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2023 and 2022: 25.8%)</w:t>
            </w:r>
          </w:p>
        </w:tc>
        <w:tc>
          <w:tcPr>
            <w:tcW w:w="1580" w:type="dxa"/>
            <w:vAlign w:val="bottom"/>
          </w:tcPr>
          <w:p>
            <w:pPr>
              <w:jc w:val="right"/>
              <w:spacing w:after="0"/>
              <w:rPr>
                <w:sz w:val="20"/>
                <w:szCs w:val="20"/>
                <w:color w:val="auto"/>
              </w:rPr>
            </w:pPr>
            <w:r>
              <w:rPr>
                <w:rFonts w:ascii="Arial" w:cs="Arial" w:eastAsia="Arial" w:hAnsi="Arial"/>
                <w:sz w:val="16"/>
                <w:szCs w:val="16"/>
                <w:color w:val="auto"/>
              </w:rPr>
              <w:t>34,158,298</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25,755,176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19,518,595</w:t>
            </w:r>
          </w:p>
        </w:tc>
        <w:tc>
          <w:tcPr>
            <w:tcW w:w="160" w:type="dxa"/>
            <w:vAlign w:val="bottom"/>
          </w:tcPr>
          <w:p>
            <w:pPr>
              <w:spacing w:after="0"/>
              <w:rPr>
                <w:sz w:val="17"/>
                <w:szCs w:val="17"/>
                <w:color w:val="auto"/>
              </w:rPr>
            </w:pPr>
          </w:p>
        </w:tc>
      </w:tr>
      <w:tr>
        <w:trPr>
          <w:trHeight w:val="189"/>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Effect of tax rates in other countries</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(17,611,881)</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(14,334,369)</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(10,823,383)</w:t>
            </w:r>
          </w:p>
        </w:tc>
      </w:tr>
      <w:tr>
        <w:trPr>
          <w:trHeight w:val="175"/>
        </w:trPr>
        <w:tc>
          <w:tcPr>
            <w:tcW w:w="6400" w:type="dxa"/>
            <w:vAlign w:val="bottom"/>
          </w:tcPr>
          <w:p>
            <w:pPr>
              <w:spacing w:after="0" w:line="175" w:lineRule="exact"/>
              <w:rPr>
                <w:sz w:val="20"/>
                <w:szCs w:val="20"/>
                <w:color w:val="auto"/>
              </w:rPr>
            </w:pPr>
            <w:r>
              <w:rPr>
                <w:rFonts w:ascii="Arial" w:cs="Arial" w:eastAsia="Arial" w:hAnsi="Arial"/>
                <w:sz w:val="16"/>
                <w:szCs w:val="16"/>
                <w:color w:val="auto"/>
              </w:rPr>
              <w:t>Recognition (derecognition) of previously unrecognized</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(recognized) deferred tax assets</w:t>
            </w:r>
          </w:p>
        </w:tc>
        <w:tc>
          <w:tcPr>
            <w:tcW w:w="1580" w:type="dxa"/>
            <w:vAlign w:val="bottom"/>
          </w:tcPr>
          <w:p>
            <w:pPr>
              <w:jc w:val="right"/>
              <w:spacing w:after="0"/>
              <w:rPr>
                <w:sz w:val="20"/>
                <w:szCs w:val="20"/>
                <w:color w:val="auto"/>
              </w:rPr>
            </w:pPr>
            <w:r>
              <w:rPr>
                <w:rFonts w:ascii="Arial" w:cs="Arial" w:eastAsia="Arial" w:hAnsi="Arial"/>
                <w:sz w:val="16"/>
                <w:szCs w:val="16"/>
                <w:color w:val="auto"/>
              </w:rPr>
              <w:t>762,594</w:t>
            </w:r>
          </w:p>
        </w:tc>
        <w:tc>
          <w:tcPr>
            <w:tcW w:w="12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(58,506)</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(554,853)</w:t>
            </w:r>
          </w:p>
        </w:tc>
      </w:tr>
      <w:tr>
        <w:trPr>
          <w:trHeight w:val="175"/>
        </w:trPr>
        <w:tc>
          <w:tcPr>
            <w:tcW w:w="64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Current period losses for which no deferred tax asset has been</w:t>
            </w:r>
          </w:p>
        </w:tc>
        <w:tc>
          <w:tcPr>
            <w:tcW w:w="1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203"/>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recognized</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(17,950,456)</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(14,771,877)</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(9,184,919)</w:t>
            </w:r>
          </w:p>
        </w:tc>
      </w:tr>
      <w:tr>
        <w:trPr>
          <w:trHeight w:val="189"/>
        </w:trPr>
        <w:tc>
          <w:tcPr>
            <w:tcW w:w="6400" w:type="dxa"/>
            <w:vAlign w:val="bottom"/>
          </w:tcPr>
          <w:p>
            <w:pPr>
              <w:spacing w:after="0"/>
              <w:rPr>
                <w:sz w:val="20"/>
                <w:szCs w:val="20"/>
                <w:color w:val="auto"/>
              </w:rPr>
            </w:pPr>
            <w:r>
              <w:rPr>
                <w:rFonts w:ascii="Arial" w:cs="Arial" w:eastAsia="Arial" w:hAnsi="Arial"/>
                <w:sz w:val="16"/>
                <w:szCs w:val="16"/>
                <w:color w:val="auto"/>
              </w:rPr>
              <w:t>Nondeductible expenses</w:t>
            </w:r>
          </w:p>
        </w:tc>
        <w:tc>
          <w:tcPr>
            <w:tcW w:w="1700" w:type="dxa"/>
            <w:vAlign w:val="bottom"/>
            <w:gridSpan w:val="2"/>
          </w:tcPr>
          <w:p>
            <w:pPr>
              <w:jc w:val="right"/>
              <w:ind w:right="60"/>
              <w:spacing w:after="0"/>
              <w:rPr>
                <w:sz w:val="20"/>
                <w:szCs w:val="20"/>
                <w:color w:val="auto"/>
              </w:rPr>
            </w:pPr>
            <w:r>
              <w:rPr>
                <w:rFonts w:ascii="Arial" w:cs="Arial" w:eastAsia="Arial" w:hAnsi="Arial"/>
                <w:sz w:val="16"/>
                <w:szCs w:val="16"/>
                <w:color w:val="auto"/>
              </w:rPr>
              <w:t>(1,085,015)</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(458,482)</w:t>
            </w:r>
          </w:p>
        </w:tc>
        <w:tc>
          <w:tcPr>
            <w:tcW w:w="1420" w:type="dxa"/>
            <w:vAlign w:val="bottom"/>
          </w:tcPr>
          <w:p>
            <w:pPr>
              <w:jc w:val="right"/>
              <w:spacing w:after="0"/>
              <w:rPr>
                <w:sz w:val="20"/>
                <w:szCs w:val="20"/>
                <w:color w:val="auto"/>
              </w:rPr>
            </w:pPr>
            <w:r>
              <w:rPr>
                <w:rFonts w:ascii="Arial" w:cs="Arial" w:eastAsia="Arial" w:hAnsi="Arial"/>
                <w:sz w:val="16"/>
                <w:szCs w:val="16"/>
                <w:color w:val="auto"/>
              </w:rPr>
              <w:t>383,153</w:t>
            </w:r>
          </w:p>
        </w:tc>
        <w:tc>
          <w:tcPr>
            <w:tcW w:w="160" w:type="dxa"/>
            <w:vAlign w:val="bottom"/>
          </w:tcPr>
          <w:p>
            <w:pPr>
              <w:spacing w:after="0"/>
              <w:rPr>
                <w:sz w:val="16"/>
                <w:szCs w:val="16"/>
                <w:color w:val="auto"/>
              </w:rPr>
            </w:pPr>
          </w:p>
        </w:tc>
      </w:tr>
      <w:tr>
        <w:trPr>
          <w:trHeight w:val="189"/>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Prior period adjustments</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(98,564)</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2,819,253</w:t>
            </w:r>
          </w:p>
        </w:tc>
        <w:tc>
          <w:tcPr>
            <w:tcW w:w="10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(17,680)</w:t>
            </w:r>
          </w:p>
        </w:tc>
      </w:tr>
      <w:tr>
        <w:trPr>
          <w:trHeight w:val="20"/>
        </w:trPr>
        <w:tc>
          <w:tcPr>
            <w:tcW w:w="640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83"/>
        </w:trPr>
        <w:tc>
          <w:tcPr>
            <w:tcW w:w="6400" w:type="dxa"/>
            <w:vAlign w:val="bottom"/>
          </w:tcPr>
          <w:p>
            <w:pPr>
              <w:spacing w:after="0" w:line="183" w:lineRule="exact"/>
              <w:rPr>
                <w:sz w:val="20"/>
                <w:szCs w:val="20"/>
                <w:color w:val="auto"/>
              </w:rPr>
            </w:pPr>
            <w:r>
              <w:rPr>
                <w:rFonts w:ascii="Arial" w:cs="Arial" w:eastAsia="Arial" w:hAnsi="Arial"/>
                <w:sz w:val="16"/>
                <w:szCs w:val="16"/>
                <w:color w:val="auto"/>
              </w:rPr>
              <w:t>Income tax benefit / (expense)</w:t>
            </w:r>
          </w:p>
        </w:tc>
        <w:tc>
          <w:tcPr>
            <w:tcW w:w="17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(1,825,024)</w:t>
            </w:r>
          </w:p>
        </w:tc>
        <w:tc>
          <w:tcPr>
            <w:tcW w:w="15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(1,048,805)</w:t>
            </w:r>
          </w:p>
        </w:tc>
        <w:tc>
          <w:tcPr>
            <w:tcW w:w="15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(679,087)</w:t>
            </w:r>
          </w:p>
        </w:tc>
      </w:tr>
      <w:tr>
        <w:trPr>
          <w:trHeight w:val="20"/>
        </w:trPr>
        <w:tc>
          <w:tcPr>
            <w:tcW w:w="64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-153670</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-153670</wp:posOffset>
            </wp:positionV>
            <wp:extent cx="1028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2024 is (1.4)% (2023: (1.1)%; 2022: (0.9)%).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2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6"/>
          <w:szCs w:val="16"/>
          <w:color w:val="auto"/>
        </w:rPr>
        <w:t>The differences in the overseas tax rates are due to the higher tax rate in the USA and the lower tax rate in Switzerland compared to the statutory income tax rate in the Netherlands.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w:t>
      </w:r>
    </w:p>
    <w:p>
      <w:pPr>
        <w:spacing w:after="0" w:line="221"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The Company did not recognize the tax benefit of the losses incurred in previous years for Switzerland.</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Group has tax loss carry-forwards as of December 31, 2024 of approximately €449.8 million (2023: €325.0 million; 2022: €182.3 million), that are available for offsetting against future taxable profits of the Companies in which the losses arose. A new Dutch tax law came into effect on January 1, 2022. Under the new tax law, profits in a given year can be offset against tax loss carry forwards for an unlimited period of time. The amount of the offset will be limited to 50% of taxable income (in excess of €1.0 million). Under Swiss law, losses can be offset against future income or capital gains for seven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Year</w:t>
            </w:r>
          </w:p>
        </w:tc>
        <w:tc>
          <w:tcPr>
            <w:tcW w:w="1640" w:type="dxa"/>
            <w:vAlign w:val="bottom"/>
          </w:tcPr>
          <w:p>
            <w:pPr>
              <w:jc w:val="right"/>
              <w:ind w:right="404"/>
              <w:spacing w:after="0"/>
              <w:rPr>
                <w:sz w:val="20"/>
                <w:szCs w:val="20"/>
                <w:color w:val="auto"/>
              </w:rPr>
            </w:pPr>
            <w:r>
              <w:rPr>
                <w:rFonts w:ascii="Arial" w:cs="Arial" w:eastAsia="Arial" w:hAnsi="Arial"/>
                <w:sz w:val="13"/>
                <w:szCs w:val="13"/>
                <w:b w:val="1"/>
                <w:bCs w:val="1"/>
                <w:color w:val="auto"/>
              </w:rPr>
              <w:t>Switzerland</w:t>
            </w:r>
          </w:p>
        </w:tc>
        <w:tc>
          <w:tcPr>
            <w:tcW w:w="240" w:type="dxa"/>
            <w:vAlign w:val="bottom"/>
          </w:tcPr>
          <w:p>
            <w:pPr>
              <w:spacing w:after="0"/>
              <w:rPr>
                <w:sz w:val="13"/>
                <w:szCs w:val="13"/>
                <w:color w:val="auto"/>
              </w:rPr>
            </w:pPr>
          </w:p>
        </w:tc>
        <w:tc>
          <w:tcPr>
            <w:tcW w:w="1540" w:type="dxa"/>
            <w:vAlign w:val="bottom"/>
          </w:tcPr>
          <w:p>
            <w:pPr>
              <w:jc w:val="right"/>
              <w:ind w:right="344"/>
              <w:spacing w:after="0"/>
              <w:rPr>
                <w:sz w:val="20"/>
                <w:szCs w:val="20"/>
                <w:color w:val="auto"/>
              </w:rPr>
            </w:pPr>
            <w:r>
              <w:rPr>
                <w:rFonts w:ascii="Arial" w:cs="Arial" w:eastAsia="Arial" w:hAnsi="Arial"/>
                <w:sz w:val="13"/>
                <w:szCs w:val="13"/>
                <w:b w:val="1"/>
                <w:bCs w:val="1"/>
                <w:color w:val="auto"/>
              </w:rPr>
              <w:t>Netherlands</w:t>
            </w:r>
          </w:p>
        </w:tc>
        <w:tc>
          <w:tcPr>
            <w:tcW w:w="220" w:type="dxa"/>
            <w:vAlign w:val="bottom"/>
          </w:tcPr>
          <w:p>
            <w:pPr>
              <w:spacing w:after="0"/>
              <w:rPr>
                <w:sz w:val="13"/>
                <w:szCs w:val="13"/>
                <w:color w:val="auto"/>
              </w:rPr>
            </w:pPr>
          </w:p>
        </w:tc>
        <w:tc>
          <w:tcPr>
            <w:tcW w:w="1360" w:type="dxa"/>
            <w:vAlign w:val="bottom"/>
            <w:gridSpan w:val="2"/>
          </w:tcPr>
          <w:p>
            <w:pPr>
              <w:ind w:left="300"/>
              <w:spacing w:after="0"/>
              <w:rPr>
                <w:sz w:val="20"/>
                <w:szCs w:val="20"/>
                <w:color w:val="auto"/>
              </w:rPr>
            </w:pPr>
            <w:r>
              <w:rPr>
                <w:rFonts w:ascii="Arial" w:cs="Arial" w:eastAsia="Arial" w:hAnsi="Arial"/>
                <w:sz w:val="13"/>
                <w:szCs w:val="13"/>
                <w:b w:val="1"/>
                <w:bCs w:val="1"/>
                <w:color w:val="auto"/>
              </w:rPr>
              <w:t>Tax losses</w:t>
            </w:r>
          </w:p>
        </w:tc>
        <w:tc>
          <w:tcPr>
            <w:tcW w:w="0" w:type="dxa"/>
            <w:vAlign w:val="bottom"/>
          </w:tcPr>
          <w:p>
            <w:pPr>
              <w:spacing w:after="0"/>
              <w:rPr>
                <w:sz w:val="1"/>
                <w:szCs w:val="1"/>
                <w:color w:val="auto"/>
              </w:rPr>
            </w:pPr>
          </w:p>
        </w:tc>
      </w:tr>
      <w:tr>
        <w:trPr>
          <w:trHeight w:val="128"/>
        </w:trPr>
        <w:tc>
          <w:tcPr>
            <w:tcW w:w="6240" w:type="dxa"/>
            <w:vAlign w:val="bottom"/>
            <w:gridSpan w:val="2"/>
            <w:vMerge w:val="continue"/>
          </w:tcPr>
          <w:p>
            <w:pPr>
              <w:spacing w:after="0"/>
              <w:rPr>
                <w:sz w:val="11"/>
                <w:szCs w:val="11"/>
                <w:color w:val="auto"/>
              </w:rPr>
            </w:pPr>
          </w:p>
        </w:tc>
        <w:tc>
          <w:tcPr>
            <w:tcW w:w="1640" w:type="dxa"/>
            <w:vAlign w:val="bottom"/>
            <w:tcBorders>
              <w:top w:val="single" w:sz="8" w:color="auto"/>
            </w:tcBorders>
          </w:tcPr>
          <w:p>
            <w:pPr>
              <w:jc w:val="right"/>
              <w:ind w:right="484"/>
              <w:spacing w:after="0" w:line="129" w:lineRule="exact"/>
              <w:rPr>
                <w:sz w:val="20"/>
                <w:szCs w:val="20"/>
                <w:color w:val="auto"/>
              </w:rPr>
            </w:pPr>
            <w:r>
              <w:rPr>
                <w:rFonts w:ascii="Arial" w:cs="Arial" w:eastAsia="Arial" w:hAnsi="Arial"/>
                <w:sz w:val="13"/>
                <w:szCs w:val="13"/>
                <w:b w:val="1"/>
                <w:bCs w:val="1"/>
                <w:color w:val="auto"/>
              </w:rPr>
              <w:t>€ million</w:t>
            </w:r>
          </w:p>
        </w:tc>
        <w:tc>
          <w:tcPr>
            <w:tcW w:w="240" w:type="dxa"/>
            <w:vAlign w:val="bottom"/>
          </w:tcPr>
          <w:p>
            <w:pPr>
              <w:spacing w:after="0"/>
              <w:rPr>
                <w:sz w:val="11"/>
                <w:szCs w:val="11"/>
                <w:color w:val="auto"/>
              </w:rPr>
            </w:pPr>
          </w:p>
        </w:tc>
        <w:tc>
          <w:tcPr>
            <w:tcW w:w="1540" w:type="dxa"/>
            <w:vAlign w:val="bottom"/>
            <w:tcBorders>
              <w:top w:val="single" w:sz="8" w:color="auto"/>
            </w:tcBorders>
          </w:tcPr>
          <w:p>
            <w:pPr>
              <w:jc w:val="right"/>
              <w:ind w:right="444"/>
              <w:spacing w:after="0" w:line="129" w:lineRule="exact"/>
              <w:rPr>
                <w:sz w:val="20"/>
                <w:szCs w:val="20"/>
                <w:color w:val="auto"/>
              </w:rPr>
            </w:pPr>
            <w:r>
              <w:rPr>
                <w:rFonts w:ascii="Arial" w:cs="Arial" w:eastAsia="Arial" w:hAnsi="Arial"/>
                <w:sz w:val="13"/>
                <w:szCs w:val="13"/>
                <w:b w:val="1"/>
                <w:bCs w:val="1"/>
                <w:color w:val="auto"/>
              </w:rPr>
              <w:t>€ million</w:t>
            </w:r>
          </w:p>
        </w:tc>
        <w:tc>
          <w:tcPr>
            <w:tcW w:w="220" w:type="dxa"/>
            <w:vAlign w:val="bottom"/>
          </w:tcPr>
          <w:p>
            <w:pPr>
              <w:spacing w:after="0"/>
              <w:rPr>
                <w:sz w:val="11"/>
                <w:szCs w:val="11"/>
                <w:color w:val="auto"/>
              </w:rPr>
            </w:pPr>
          </w:p>
        </w:tc>
        <w:tc>
          <w:tcPr>
            <w:tcW w:w="1260" w:type="dxa"/>
            <w:vAlign w:val="bottom"/>
            <w:tcBorders>
              <w:top w:val="single" w:sz="8" w:color="auto"/>
            </w:tcBorders>
          </w:tcPr>
          <w:p>
            <w:pPr>
              <w:jc w:val="right"/>
              <w:ind w:right="308"/>
              <w:spacing w:after="0" w:line="129" w:lineRule="exact"/>
              <w:rPr>
                <w:sz w:val="20"/>
                <w:szCs w:val="20"/>
                <w:color w:val="auto"/>
              </w:rPr>
            </w:pPr>
            <w:r>
              <w:rPr>
                <w:rFonts w:ascii="Arial" w:cs="Arial" w:eastAsia="Arial" w:hAnsi="Arial"/>
                <w:sz w:val="13"/>
                <w:szCs w:val="13"/>
                <w:b w:val="1"/>
                <w:bCs w:val="1"/>
                <w:color w:val="auto"/>
              </w:rPr>
              <w:t>€ million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2028</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102,287,656</w:t>
            </w:r>
          </w:p>
        </w:tc>
        <w:tc>
          <w:tcPr>
            <w:tcW w:w="24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102,287,656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40" w:type="dxa"/>
            <w:vAlign w:val="bottom"/>
            <w:gridSpan w:val="2"/>
          </w:tcPr>
          <w:p>
            <w:pPr>
              <w:spacing w:after="0"/>
              <w:rPr>
                <w:sz w:val="20"/>
                <w:szCs w:val="20"/>
                <w:color w:val="auto"/>
              </w:rPr>
            </w:pPr>
            <w:r>
              <w:rPr>
                <w:rFonts w:ascii="Arial" w:cs="Arial" w:eastAsia="Arial" w:hAnsi="Arial"/>
                <w:sz w:val="16"/>
                <w:szCs w:val="16"/>
                <w:color w:val="auto"/>
              </w:rPr>
              <w:t>2029</w:t>
            </w:r>
          </w:p>
        </w:tc>
        <w:tc>
          <w:tcPr>
            <w:tcW w:w="1640" w:type="dxa"/>
            <w:vAlign w:val="bottom"/>
          </w:tcPr>
          <w:p>
            <w:pPr>
              <w:jc w:val="right"/>
              <w:spacing w:after="0"/>
              <w:rPr>
                <w:sz w:val="20"/>
                <w:szCs w:val="20"/>
                <w:color w:val="auto"/>
              </w:rPr>
            </w:pPr>
            <w:r>
              <w:rPr>
                <w:rFonts w:ascii="Arial" w:cs="Arial" w:eastAsia="Arial" w:hAnsi="Arial"/>
                <w:sz w:val="16"/>
                <w:szCs w:val="16"/>
                <w:color w:val="auto"/>
              </w:rPr>
              <w:t>86,332,435</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86,332,435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2030</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234,646,383</w:t>
            </w:r>
          </w:p>
        </w:tc>
        <w:tc>
          <w:tcPr>
            <w:tcW w:w="2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234,646,383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gridSpan w:val="2"/>
          </w:tcPr>
          <w:p>
            <w:pPr>
              <w:spacing w:after="0"/>
              <w:rPr>
                <w:sz w:val="20"/>
                <w:szCs w:val="20"/>
                <w:color w:val="auto"/>
              </w:rPr>
            </w:pPr>
            <w:r>
              <w:rPr>
                <w:rFonts w:ascii="Arial" w:cs="Arial" w:eastAsia="Arial" w:hAnsi="Arial"/>
                <w:sz w:val="16"/>
                <w:szCs w:val="16"/>
                <w:color w:val="auto"/>
              </w:rPr>
              <w:t>Unlimited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26,531,641</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26,531,641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carry-forward losses</w:t>
            </w:r>
          </w:p>
        </w:tc>
        <w:tc>
          <w:tcPr>
            <w:tcW w:w="16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423,266,474</w:t>
            </w:r>
          </w:p>
        </w:tc>
        <w:tc>
          <w:tcPr>
            <w:tcW w:w="2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26,531,641</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449,798,115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-24765</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taxes</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 Deductible temporary tax differences for which a deferred tax asset of €0.6 million was recognized relate to the personnel bonuses accrual and are expected to revert within 12 months post balance sheet date.</w:t>
      </w:r>
    </w:p>
    <w:p>
      <w:pPr>
        <w:spacing w:after="0" w:line="7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6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As a result thereof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b w:val="1"/>
          <w:bCs w:val="1"/>
          <w:color w:val="auto"/>
        </w:rPr>
        <w:t>117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99.4</w:t>
            </w:r>
          </w:p>
        </w:tc>
        <w:tc>
          <w:tcPr>
            <w:tcW w:w="0" w:type="dxa"/>
            <w:vAlign w:val="bottom"/>
          </w:tcPr>
          <w:p>
            <w:pPr>
              <w:spacing w:after="0"/>
              <w:rPr>
                <w:sz w:val="1"/>
                <w:szCs w:val="1"/>
                <w:color w:val="auto"/>
              </w:rPr>
            </w:pPr>
          </w:p>
        </w:tc>
      </w:tr>
      <w:tr>
        <w:trPr>
          <w:trHeight w:val="513"/>
        </w:trPr>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Movements in deferred tax balances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60" w:type="dxa"/>
            <w:vAlign w:val="bottom"/>
            <w:gridSpan w:val="3"/>
            <w:vMerge w:val="restart"/>
          </w:tcPr>
          <w:p>
            <w:pPr>
              <w:jc w:val="center"/>
              <w:ind w:right="580"/>
              <w:spacing w:after="0"/>
              <w:rPr>
                <w:sz w:val="20"/>
                <w:szCs w:val="20"/>
                <w:color w:val="auto"/>
              </w:rPr>
            </w:pPr>
            <w:r>
              <w:rPr>
                <w:rFonts w:ascii="Arial" w:cs="Arial" w:eastAsia="Arial" w:hAnsi="Arial"/>
                <w:sz w:val="13"/>
                <w:szCs w:val="13"/>
                <w:b w:val="1"/>
                <w:bCs w:val="1"/>
                <w:color w:val="auto"/>
                <w:w w:val="92"/>
              </w:rPr>
              <w:t>R&amp;D</w:t>
            </w:r>
          </w:p>
        </w:tc>
        <w:tc>
          <w:tcPr>
            <w:tcW w:w="48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99"/>
              </w:rPr>
              <w:t>Fixed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7"/>
          </w:tcPr>
          <w:p>
            <w:pPr>
              <w:jc w:val="center"/>
              <w:ind w:right="420"/>
              <w:spacing w:after="0"/>
              <w:rPr>
                <w:sz w:val="20"/>
                <w:szCs w:val="20"/>
                <w:color w:val="auto"/>
              </w:rPr>
            </w:pPr>
            <w:r>
              <w:rPr>
                <w:rFonts w:ascii="Arial" w:cs="Arial" w:eastAsia="Arial" w:hAnsi="Arial"/>
                <w:sz w:val="13"/>
                <w:szCs w:val="13"/>
                <w:b w:val="1"/>
                <w:bCs w:val="1"/>
                <w:color w:val="auto"/>
                <w:w w:val="96"/>
              </w:rPr>
              <w:t>Non-current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7"/>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provisions</w:t>
            </w:r>
          </w:p>
        </w:tc>
        <w:tc>
          <w:tcPr>
            <w:tcW w:w="1020" w:type="dxa"/>
            <w:vAlign w:val="bottom"/>
            <w:vMerge w:val="restart"/>
          </w:tcPr>
          <w:p>
            <w:pPr>
              <w:jc w:val="center"/>
              <w:ind w:right="122"/>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expenses</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3"/>
              </w:rPr>
              <w:t>assets</w:t>
            </w: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3"/>
                <w:szCs w:val="13"/>
                <w:color w:val="auto"/>
              </w:rPr>
            </w:pPr>
          </w:p>
        </w:tc>
        <w:tc>
          <w:tcPr>
            <w:tcW w:w="180" w:type="dxa"/>
            <w:vAlign w:val="bottom"/>
            <w:tcBorders>
              <w:bottom w:val="single" w:sz="8" w:color="auto"/>
            </w:tcBorders>
            <w:gridSpan w:val="2"/>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8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assets</w:t>
            </w:r>
          </w:p>
        </w:tc>
        <w:tc>
          <w:tcPr>
            <w:tcW w:w="1760" w:type="dxa"/>
            <w:vAlign w:val="bottom"/>
            <w:gridSpan w:val="3"/>
            <w:shd w:val="clear" w:color="auto" w:fill="CFF0FC"/>
          </w:tcPr>
          <w:p>
            <w:pPr>
              <w:jc w:val="center"/>
              <w:ind w:right="580"/>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center"/>
              <w:ind w:right="180"/>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5"/>
            <w:shd w:val="clear" w:color="auto" w:fill="CFF0FC"/>
          </w:tcPr>
          <w:p>
            <w:pPr>
              <w:jc w:val="center"/>
              <w:ind w:right="860"/>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FF0FC"/>
          </w:tcPr>
          <w:p>
            <w:pPr>
              <w:jc w:val="center"/>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5800" w:type="dxa"/>
            <w:vAlign w:val="bottom"/>
            <w:gridSpan w:val="2"/>
          </w:tcPr>
          <w:p>
            <w:pPr>
              <w:spacing w:after="0"/>
              <w:rPr>
                <w:sz w:val="20"/>
                <w:szCs w:val="20"/>
                <w:color w:val="auto"/>
              </w:rPr>
            </w:pPr>
            <w:r>
              <w:rPr>
                <w:rFonts w:ascii="Arial" w:cs="Arial" w:eastAsia="Arial" w:hAnsi="Arial"/>
                <w:sz w:val="16"/>
                <w:szCs w:val="16"/>
                <w:color w:val="auto"/>
              </w:rPr>
              <w:t>At January 1, 2024</w:t>
            </w:r>
          </w:p>
        </w:tc>
        <w:tc>
          <w:tcPr>
            <w:tcW w:w="1180" w:type="dxa"/>
            <w:vAlign w:val="bottom"/>
          </w:tcPr>
          <w:p>
            <w:pPr>
              <w:jc w:val="right"/>
              <w:spacing w:after="0"/>
              <w:rPr>
                <w:sz w:val="20"/>
                <w:szCs w:val="20"/>
                <w:color w:val="auto"/>
              </w:rPr>
            </w:pPr>
            <w:r>
              <w:rPr>
                <w:rFonts w:ascii="Arial" w:cs="Arial" w:eastAsia="Arial" w:hAnsi="Arial"/>
                <w:sz w:val="16"/>
                <w:szCs w:val="16"/>
                <w:color w:val="auto"/>
              </w:rPr>
              <w:t>1,754,773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4"/>
          </w:tcPr>
          <w:p>
            <w:pPr>
              <w:jc w:val="right"/>
              <w:ind w:right="53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400,200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2,154,973</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(Charged)/credited</w:t>
            </w:r>
          </w:p>
        </w:tc>
        <w:tc>
          <w:tcPr>
            <w:tcW w:w="1180" w:type="dxa"/>
            <w:vAlign w:val="bottom"/>
            <w:shd w:val="clear" w:color="auto" w:fill="CFF0FC"/>
          </w:tcPr>
          <w:p>
            <w:pPr>
              <w:spacing w:after="0"/>
              <w:rPr>
                <w:sz w:val="16"/>
                <w:szCs w:val="16"/>
                <w:color w:val="auto"/>
              </w:rPr>
            </w:pPr>
          </w:p>
        </w:tc>
        <w:tc>
          <w:tcPr>
            <w:tcW w:w="240" w:type="dxa"/>
            <w:vAlign w:val="bottom"/>
            <w:tcBorders>
              <w:lef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gridSpan w:val="2"/>
          </w:tcPr>
          <w:p>
            <w:pPr>
              <w:spacing w:after="0"/>
              <w:rPr>
                <w:sz w:val="20"/>
                <w:szCs w:val="20"/>
                <w:color w:val="auto"/>
              </w:rPr>
            </w:pPr>
            <w:r>
              <w:rPr>
                <w:rFonts w:ascii="Arial" w:cs="Arial" w:eastAsia="Arial" w:hAnsi="Arial"/>
                <w:sz w:val="16"/>
                <w:szCs w:val="16"/>
                <w:color w:val="auto"/>
              </w:rPr>
              <w:t>- Profit or (loss)</w:t>
            </w:r>
          </w:p>
        </w:tc>
        <w:tc>
          <w:tcPr>
            <w:tcW w:w="1180" w:type="dxa"/>
            <w:vAlign w:val="bottom"/>
          </w:tcPr>
          <w:p>
            <w:pPr>
              <w:jc w:val="right"/>
              <w:spacing w:after="0"/>
              <w:rPr>
                <w:sz w:val="20"/>
                <w:szCs w:val="20"/>
                <w:color w:val="auto"/>
              </w:rPr>
            </w:pPr>
            <w:r>
              <w:rPr>
                <w:rFonts w:ascii="Arial" w:cs="Arial" w:eastAsia="Arial" w:hAnsi="Arial"/>
                <w:sz w:val="16"/>
                <w:szCs w:val="16"/>
                <w:color w:val="auto"/>
              </w:rPr>
              <w:t>146,740</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4"/>
          </w:tcPr>
          <w:p>
            <w:pPr>
              <w:jc w:val="right"/>
              <w:ind w:right="53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193,381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340,121</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gridSpan w:val="4"/>
            <w:shd w:val="clear" w:color="auto" w:fill="CFF0FC"/>
          </w:tcPr>
          <w:p>
            <w:pPr>
              <w:jc w:val="right"/>
              <w:ind w:right="537"/>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33,257</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33,257</w:t>
            </w:r>
          </w:p>
        </w:tc>
        <w:tc>
          <w:tcPr>
            <w:tcW w:w="0" w:type="dxa"/>
            <w:vAlign w:val="bottom"/>
          </w:tcPr>
          <w:p>
            <w:pPr>
              <w:spacing w:after="0"/>
              <w:rPr>
                <w:sz w:val="1"/>
                <w:szCs w:val="1"/>
                <w:color w:val="auto"/>
              </w:rPr>
            </w:pPr>
          </w:p>
        </w:tc>
      </w:tr>
      <w:tr>
        <w:trPr>
          <w:trHeight w:val="20"/>
        </w:trPr>
        <w:tc>
          <w:tcPr>
            <w:tcW w:w="1140" w:type="dxa"/>
            <w:vAlign w:val="bottom"/>
            <w:shd w:val="clear" w:color="auto" w:fill="CFF0FC"/>
          </w:tcPr>
          <w:p>
            <w:pPr>
              <w:spacing w:after="0" w:line="20" w:lineRule="exact"/>
              <w:rPr>
                <w:sz w:val="1"/>
                <w:szCs w:val="1"/>
                <w:color w:val="auto"/>
              </w:rPr>
            </w:pPr>
          </w:p>
        </w:tc>
        <w:tc>
          <w:tcPr>
            <w:tcW w:w="46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00" w:type="dxa"/>
            <w:vAlign w:val="bottom"/>
            <w:gridSpan w:val="2"/>
          </w:tcPr>
          <w:p>
            <w:pPr>
              <w:spacing w:after="0" w:line="183" w:lineRule="exact"/>
              <w:rPr>
                <w:sz w:val="20"/>
                <w:szCs w:val="20"/>
                <w:color w:val="auto"/>
              </w:rPr>
            </w:pPr>
            <w:r>
              <w:rPr>
                <w:rFonts w:ascii="Arial" w:cs="Arial" w:eastAsia="Arial" w:hAnsi="Arial"/>
                <w:sz w:val="16"/>
                <w:szCs w:val="16"/>
                <w:color w:val="auto"/>
              </w:rPr>
              <w:t>At December 31, 2024</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1,901,513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tcPr>
          <w:p>
            <w:pPr>
              <w:jc w:val="right"/>
              <w:ind w:right="537"/>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900" w:type="dxa"/>
            <w:vAlign w:val="bottom"/>
            <w:gridSpan w:val="3"/>
          </w:tcPr>
          <w:p>
            <w:pPr>
              <w:jc w:val="right"/>
              <w:ind w:right="220"/>
              <w:spacing w:after="0" w:line="183" w:lineRule="exact"/>
              <w:rPr>
                <w:sz w:val="20"/>
                <w:szCs w:val="20"/>
                <w:color w:val="auto"/>
              </w:rPr>
            </w:pPr>
            <w:r>
              <w:rPr>
                <w:rFonts w:ascii="Arial" w:cs="Arial" w:eastAsia="Arial" w:hAnsi="Arial"/>
                <w:sz w:val="16"/>
                <w:szCs w:val="16"/>
                <w:color w:val="auto"/>
              </w:rPr>
              <w:t>626,838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2,528,351</w:t>
            </w:r>
          </w:p>
        </w:tc>
        <w:tc>
          <w:tcPr>
            <w:tcW w:w="0" w:type="dxa"/>
            <w:vAlign w:val="bottom"/>
          </w:tcPr>
          <w:p>
            <w:pPr>
              <w:spacing w:after="0"/>
              <w:rPr>
                <w:sz w:val="1"/>
                <w:szCs w:val="1"/>
                <w:color w:val="auto"/>
              </w:rPr>
            </w:pPr>
          </w:p>
        </w:tc>
      </w:tr>
      <w:tr>
        <w:trPr>
          <w:trHeight w:val="183"/>
        </w:trPr>
        <w:tc>
          <w:tcPr>
            <w:tcW w:w="58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liability</w:t>
            </w:r>
          </w:p>
        </w:tc>
        <w:tc>
          <w:tcPr>
            <w:tcW w:w="1180" w:type="dxa"/>
            <w:vAlign w:val="bottom"/>
            <w:tcBorders>
              <w:top w:val="single" w:sz="8" w:color="auto"/>
            </w:tcBorders>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top w:val="single" w:sz="8" w:color="auto"/>
              <w:right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gridSpan w:val="2"/>
          </w:tcPr>
          <w:p>
            <w:pPr>
              <w:spacing w:after="0"/>
              <w:rPr>
                <w:sz w:val="20"/>
                <w:szCs w:val="20"/>
                <w:color w:val="auto"/>
              </w:rPr>
            </w:pPr>
            <w:r>
              <w:rPr>
                <w:rFonts w:ascii="Arial" w:cs="Arial" w:eastAsia="Arial" w:hAnsi="Arial"/>
                <w:sz w:val="16"/>
                <w:szCs w:val="16"/>
                <w:color w:val="auto"/>
              </w:rPr>
              <w:t>At January 1, 2024</w:t>
            </w:r>
          </w:p>
        </w:tc>
        <w:tc>
          <w:tcPr>
            <w:tcW w:w="176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920" w:type="dxa"/>
            <w:vAlign w:val="bottom"/>
            <w:gridSpan w:val="5"/>
          </w:tcPr>
          <w:p>
            <w:pPr>
              <w:jc w:val="right"/>
              <w:spacing w:after="0"/>
              <w:rPr>
                <w:sz w:val="20"/>
                <w:szCs w:val="20"/>
                <w:color w:val="auto"/>
              </w:rPr>
            </w:pPr>
            <w:r>
              <w:rPr>
                <w:rFonts w:ascii="Arial" w:cs="Arial" w:eastAsia="Arial" w:hAnsi="Arial"/>
                <w:sz w:val="16"/>
                <w:szCs w:val="16"/>
                <w:color w:val="auto"/>
              </w:rPr>
              <w:t>(12,671)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6"/>
                <w:szCs w:val="16"/>
                <w:color w:val="auto"/>
                <w:w w:val="97"/>
              </w:rPr>
              <w:t>(1,754,773)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(1,767,444)</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(Charged)/credited</w:t>
            </w:r>
          </w:p>
        </w:tc>
        <w:tc>
          <w:tcPr>
            <w:tcW w:w="1180" w:type="dxa"/>
            <w:vAlign w:val="bottom"/>
            <w:shd w:val="clear" w:color="auto" w:fill="CFF0FC"/>
          </w:tcPr>
          <w:p>
            <w:pPr>
              <w:spacing w:after="0"/>
              <w:rPr>
                <w:sz w:val="16"/>
                <w:szCs w:val="16"/>
                <w:color w:val="auto"/>
              </w:rPr>
            </w:pPr>
          </w:p>
        </w:tc>
        <w:tc>
          <w:tcPr>
            <w:tcW w:w="240" w:type="dxa"/>
            <w:vAlign w:val="bottom"/>
            <w:tcBorders>
              <w:lef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gridSpan w:val="2"/>
          </w:tcPr>
          <w:p>
            <w:pPr>
              <w:spacing w:after="0"/>
              <w:rPr>
                <w:sz w:val="20"/>
                <w:szCs w:val="20"/>
                <w:color w:val="auto"/>
              </w:rPr>
            </w:pPr>
            <w:r>
              <w:rPr>
                <w:rFonts w:ascii="Arial" w:cs="Arial" w:eastAsia="Arial" w:hAnsi="Arial"/>
                <w:sz w:val="16"/>
                <w:szCs w:val="16"/>
                <w:color w:val="auto"/>
              </w:rPr>
              <w:t>- Profit or (loss)</w:t>
            </w:r>
          </w:p>
        </w:tc>
        <w:tc>
          <w:tcPr>
            <w:tcW w:w="176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920" w:type="dxa"/>
            <w:vAlign w:val="bottom"/>
            <w:gridSpan w:val="5"/>
          </w:tcPr>
          <w:p>
            <w:pPr>
              <w:jc w:val="right"/>
              <w:spacing w:after="0"/>
              <w:rPr>
                <w:sz w:val="20"/>
                <w:szCs w:val="20"/>
                <w:color w:val="auto"/>
              </w:rPr>
            </w:pPr>
            <w:r>
              <w:rPr>
                <w:rFonts w:ascii="Arial" w:cs="Arial" w:eastAsia="Arial" w:hAnsi="Arial"/>
                <w:sz w:val="16"/>
                <w:szCs w:val="16"/>
                <w:color w:val="auto"/>
              </w:rPr>
              <w:t>(133,628)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(146,740)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(280,368)</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2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(6,192)</w:t>
            </w:r>
          </w:p>
        </w:tc>
        <w:tc>
          <w:tcPr>
            <w:tcW w:w="100" w:type="dxa"/>
            <w:vAlign w:val="bottom"/>
            <w:shd w:val="clear" w:color="auto" w:fill="CFF0FC"/>
          </w:tcPr>
          <w:p>
            <w:pPr>
              <w:spacing w:after="0"/>
              <w:rPr>
                <w:sz w:val="16"/>
                <w:szCs w:val="16"/>
                <w:color w:val="auto"/>
              </w:rPr>
            </w:pPr>
          </w:p>
        </w:tc>
        <w:tc>
          <w:tcPr>
            <w:tcW w:w="38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gridSpan w:val="4"/>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(6,192)</w:t>
            </w:r>
          </w:p>
        </w:tc>
        <w:tc>
          <w:tcPr>
            <w:tcW w:w="0" w:type="dxa"/>
            <w:vAlign w:val="bottom"/>
          </w:tcPr>
          <w:p>
            <w:pPr>
              <w:spacing w:after="0"/>
              <w:rPr>
                <w:sz w:val="1"/>
                <w:szCs w:val="1"/>
                <w:color w:val="auto"/>
              </w:rPr>
            </w:pPr>
          </w:p>
        </w:tc>
      </w:tr>
      <w:tr>
        <w:trPr>
          <w:trHeight w:val="20"/>
        </w:trPr>
        <w:tc>
          <w:tcPr>
            <w:tcW w:w="1140" w:type="dxa"/>
            <w:vAlign w:val="bottom"/>
            <w:shd w:val="clear" w:color="auto" w:fill="CFF0FC"/>
          </w:tcPr>
          <w:p>
            <w:pPr>
              <w:spacing w:after="0" w:line="20" w:lineRule="exact"/>
              <w:rPr>
                <w:sz w:val="1"/>
                <w:szCs w:val="1"/>
                <w:color w:val="auto"/>
              </w:rPr>
            </w:pPr>
          </w:p>
        </w:tc>
        <w:tc>
          <w:tcPr>
            <w:tcW w:w="46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0" w:type="dxa"/>
            <w:vAlign w:val="bottom"/>
            <w:gridSpan w:val="2"/>
          </w:tcPr>
          <w:p>
            <w:pPr>
              <w:spacing w:after="0" w:line="183" w:lineRule="exact"/>
              <w:rPr>
                <w:sz w:val="20"/>
                <w:szCs w:val="20"/>
                <w:color w:val="auto"/>
              </w:rPr>
            </w:pPr>
            <w:r>
              <w:rPr>
                <w:rFonts w:ascii="Arial" w:cs="Arial" w:eastAsia="Arial" w:hAnsi="Arial"/>
                <w:sz w:val="16"/>
                <w:szCs w:val="16"/>
                <w:color w:val="auto"/>
              </w:rPr>
              <w:t>At December 31, 2024</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5"/>
          </w:tcPr>
          <w:p>
            <w:pPr>
              <w:jc w:val="right"/>
              <w:spacing w:after="0" w:line="183" w:lineRule="exact"/>
              <w:rPr>
                <w:sz w:val="20"/>
                <w:szCs w:val="20"/>
                <w:color w:val="auto"/>
              </w:rPr>
            </w:pPr>
            <w:r>
              <w:rPr>
                <w:rFonts w:ascii="Arial" w:cs="Arial" w:eastAsia="Arial" w:hAnsi="Arial"/>
                <w:sz w:val="16"/>
                <w:szCs w:val="16"/>
                <w:color w:val="auto"/>
              </w:rPr>
              <w:t>(152,491)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4"/>
          </w:tcPr>
          <w:p>
            <w:pPr>
              <w:jc w:val="right"/>
              <w:ind w:right="160"/>
              <w:spacing w:after="0" w:line="183" w:lineRule="exact"/>
              <w:rPr>
                <w:sz w:val="20"/>
                <w:szCs w:val="20"/>
                <w:color w:val="auto"/>
              </w:rPr>
            </w:pPr>
            <w:r>
              <w:rPr>
                <w:rFonts w:ascii="Arial" w:cs="Arial" w:eastAsia="Arial" w:hAnsi="Arial"/>
                <w:sz w:val="16"/>
                <w:szCs w:val="16"/>
                <w:color w:val="auto"/>
                <w:w w:val="97"/>
              </w:rPr>
              <w:t>(1,901,513)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(2,054,004)</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deferred tax assets at December 31, 2024</w:t>
            </w:r>
          </w:p>
        </w:tc>
        <w:tc>
          <w:tcPr>
            <w:tcW w:w="118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left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474,347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60" w:type="dxa"/>
            <w:vAlign w:val="bottom"/>
            <w:gridSpan w:val="3"/>
            <w:vMerge w:val="restart"/>
          </w:tcPr>
          <w:p>
            <w:pPr>
              <w:jc w:val="center"/>
              <w:ind w:right="580"/>
              <w:spacing w:after="0"/>
              <w:rPr>
                <w:sz w:val="20"/>
                <w:szCs w:val="20"/>
                <w:color w:val="auto"/>
              </w:rPr>
            </w:pPr>
            <w:r>
              <w:rPr>
                <w:rFonts w:ascii="Arial" w:cs="Arial" w:eastAsia="Arial" w:hAnsi="Arial"/>
                <w:sz w:val="13"/>
                <w:szCs w:val="13"/>
                <w:b w:val="1"/>
                <w:bCs w:val="1"/>
                <w:color w:val="auto"/>
                <w:w w:val="92"/>
              </w:rPr>
              <w:t>R&amp;D</w:t>
            </w:r>
          </w:p>
        </w:tc>
        <w:tc>
          <w:tcPr>
            <w:tcW w:w="48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99"/>
              </w:rPr>
              <w:t>Fixed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7"/>
          </w:tcPr>
          <w:p>
            <w:pPr>
              <w:jc w:val="center"/>
              <w:ind w:right="420"/>
              <w:spacing w:after="0"/>
              <w:rPr>
                <w:sz w:val="20"/>
                <w:szCs w:val="20"/>
                <w:color w:val="auto"/>
              </w:rPr>
            </w:pPr>
            <w:r>
              <w:rPr>
                <w:rFonts w:ascii="Arial" w:cs="Arial" w:eastAsia="Arial" w:hAnsi="Arial"/>
                <w:sz w:val="13"/>
                <w:szCs w:val="13"/>
                <w:b w:val="1"/>
                <w:bCs w:val="1"/>
                <w:color w:val="auto"/>
                <w:w w:val="96"/>
              </w:rPr>
              <w:t>Non-current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7"/>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provisions</w:t>
            </w:r>
          </w:p>
        </w:tc>
        <w:tc>
          <w:tcPr>
            <w:tcW w:w="1020" w:type="dxa"/>
            <w:vAlign w:val="bottom"/>
            <w:vMerge w:val="restart"/>
          </w:tcPr>
          <w:p>
            <w:pPr>
              <w:jc w:val="center"/>
              <w:ind w:right="122"/>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Deferred tax assets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expenses</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3"/>
              </w:rPr>
              <w:t>assets</w:t>
            </w: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3"/>
                <w:szCs w:val="13"/>
                <w:color w:val="auto"/>
              </w:rPr>
            </w:pPr>
          </w:p>
        </w:tc>
        <w:tc>
          <w:tcPr>
            <w:tcW w:w="180" w:type="dxa"/>
            <w:vAlign w:val="bottom"/>
            <w:tcBorders>
              <w:bottom w:val="single" w:sz="8" w:color="auto"/>
            </w:tcBorders>
            <w:gridSpan w:val="2"/>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800" w:type="dxa"/>
            <w:vAlign w:val="bottom"/>
            <w:gridSpan w:val="2"/>
            <w:vMerge w:val="continue"/>
          </w:tcPr>
          <w:p>
            <w:pPr>
              <w:spacing w:after="0"/>
              <w:rPr>
                <w:sz w:val="15"/>
                <w:szCs w:val="15"/>
                <w:color w:val="auto"/>
              </w:rPr>
            </w:pPr>
          </w:p>
        </w:tc>
        <w:tc>
          <w:tcPr>
            <w:tcW w:w="1760" w:type="dxa"/>
            <w:vAlign w:val="bottom"/>
            <w:gridSpan w:val="3"/>
          </w:tcPr>
          <w:p>
            <w:pPr>
              <w:jc w:val="center"/>
              <w:ind w:right="580"/>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5"/>
                <w:szCs w:val="15"/>
                <w:color w:val="auto"/>
              </w:rPr>
            </w:pPr>
          </w:p>
        </w:tc>
        <w:tc>
          <w:tcPr>
            <w:tcW w:w="320" w:type="dxa"/>
            <w:vAlign w:val="bottom"/>
            <w:gridSpan w:val="2"/>
          </w:tcPr>
          <w:p>
            <w:pPr>
              <w:jc w:val="center"/>
              <w:ind w:right="180"/>
              <w:spacing w:after="0"/>
              <w:rPr>
                <w:sz w:val="20"/>
                <w:szCs w:val="20"/>
                <w:color w:val="auto"/>
              </w:rPr>
            </w:pPr>
            <w:r>
              <w:rPr>
                <w:rFonts w:ascii="Arial" w:cs="Arial" w:eastAsia="Arial" w:hAnsi="Arial"/>
                <w:sz w:val="13"/>
                <w:szCs w:val="13"/>
                <w:color w:val="auto"/>
                <w:w w:val="82"/>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5"/>
          </w:tcPr>
          <w:p>
            <w:pPr>
              <w:jc w:val="center"/>
              <w:ind w:right="860"/>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At January 1, 2023</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1,792,382</w:t>
            </w:r>
          </w:p>
        </w:tc>
        <w:tc>
          <w:tcPr>
            <w:tcW w:w="240" w:type="dxa"/>
            <w:vAlign w:val="bottom"/>
            <w:tcBorders>
              <w:lef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gridSpan w:val="4"/>
            <w:shd w:val="clear" w:color="auto" w:fill="CFF0FC"/>
          </w:tcPr>
          <w:p>
            <w:pPr>
              <w:jc w:val="right"/>
              <w:ind w:right="537"/>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301,852</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2,094,234</w:t>
            </w:r>
          </w:p>
        </w:tc>
        <w:tc>
          <w:tcPr>
            <w:tcW w:w="0" w:type="dxa"/>
            <w:vAlign w:val="bottom"/>
          </w:tcPr>
          <w:p>
            <w:pPr>
              <w:spacing w:after="0"/>
              <w:rPr>
                <w:sz w:val="1"/>
                <w:szCs w:val="1"/>
                <w:color w:val="auto"/>
              </w:rPr>
            </w:pPr>
          </w:p>
        </w:tc>
      </w:tr>
      <w:tr>
        <w:trPr>
          <w:trHeight w:val="189"/>
        </w:trPr>
        <w:tc>
          <w:tcPr>
            <w:tcW w:w="5800" w:type="dxa"/>
            <w:vAlign w:val="bottom"/>
            <w:gridSpan w:val="2"/>
          </w:tcPr>
          <w:p>
            <w:pPr>
              <w:spacing w:after="0"/>
              <w:rPr>
                <w:sz w:val="20"/>
                <w:szCs w:val="20"/>
                <w:color w:val="auto"/>
              </w:rPr>
            </w:pPr>
            <w:r>
              <w:rPr>
                <w:rFonts w:ascii="Arial" w:cs="Arial" w:eastAsia="Arial" w:hAnsi="Arial"/>
                <w:sz w:val="16"/>
                <w:szCs w:val="16"/>
                <w:color w:val="auto"/>
              </w:rPr>
              <w:t>(Charged)/credited</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Profit or (loss)</w:t>
            </w:r>
          </w:p>
        </w:tc>
        <w:tc>
          <w:tcPr>
            <w:tcW w:w="1420" w:type="dxa"/>
            <w:vAlign w:val="bottom"/>
            <w:gridSpan w:val="2"/>
            <w:shd w:val="clear" w:color="auto" w:fill="CFF0FC"/>
          </w:tcPr>
          <w:p>
            <w:pPr>
              <w:jc w:val="right"/>
              <w:ind w:right="137"/>
              <w:spacing w:after="0"/>
              <w:rPr>
                <w:sz w:val="20"/>
                <w:szCs w:val="20"/>
                <w:color w:val="auto"/>
              </w:rPr>
            </w:pPr>
            <w:r>
              <w:rPr>
                <w:rFonts w:ascii="Arial" w:cs="Arial" w:eastAsia="Arial" w:hAnsi="Arial"/>
                <w:sz w:val="16"/>
                <w:szCs w:val="16"/>
                <w:color w:val="auto"/>
              </w:rPr>
              <w:t>(37,609)</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gridSpan w:val="4"/>
            <w:shd w:val="clear" w:color="auto" w:fill="CFF0FC"/>
          </w:tcPr>
          <w:p>
            <w:pPr>
              <w:jc w:val="right"/>
              <w:ind w:right="537"/>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111,064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73,455</w:t>
            </w:r>
          </w:p>
        </w:tc>
        <w:tc>
          <w:tcPr>
            <w:tcW w:w="0" w:type="dxa"/>
            <w:vAlign w:val="bottom"/>
          </w:tcPr>
          <w:p>
            <w:pPr>
              <w:spacing w:after="0"/>
              <w:rPr>
                <w:sz w:val="1"/>
                <w:szCs w:val="1"/>
                <w:color w:val="auto"/>
              </w:rPr>
            </w:pPr>
          </w:p>
        </w:tc>
      </w:tr>
      <w:tr>
        <w:trPr>
          <w:trHeight w:val="189"/>
        </w:trPr>
        <w:tc>
          <w:tcPr>
            <w:tcW w:w="5800" w:type="dxa"/>
            <w:vAlign w:val="bottom"/>
            <w:gridSpan w:val="2"/>
          </w:tcPr>
          <w:p>
            <w:pPr>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4"/>
          </w:tcPr>
          <w:p>
            <w:pPr>
              <w:jc w:val="right"/>
              <w:ind w:right="53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(12,716)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(12,716)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At December 31, 2023</w:t>
            </w: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1,754,773</w:t>
            </w:r>
          </w:p>
        </w:tc>
        <w:tc>
          <w:tcPr>
            <w:tcW w:w="240" w:type="dxa"/>
            <w:vAlign w:val="bottom"/>
            <w:tcBorders>
              <w:lef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4"/>
            <w:shd w:val="clear" w:color="auto" w:fill="CFF0FC"/>
          </w:tcPr>
          <w:p>
            <w:pPr>
              <w:jc w:val="right"/>
              <w:ind w:right="537"/>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5"/>
                <w:szCs w:val="15"/>
                <w:color w:val="auto"/>
              </w:rPr>
            </w:pPr>
          </w:p>
        </w:tc>
        <w:tc>
          <w:tcPr>
            <w:tcW w:w="900" w:type="dxa"/>
            <w:vAlign w:val="bottom"/>
            <w:gridSpan w:val="3"/>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400,200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2,154,973</w:t>
            </w:r>
          </w:p>
        </w:tc>
        <w:tc>
          <w:tcPr>
            <w:tcW w:w="0" w:type="dxa"/>
            <w:vAlign w:val="bottom"/>
          </w:tcPr>
          <w:p>
            <w:pPr>
              <w:spacing w:after="0"/>
              <w:rPr>
                <w:sz w:val="1"/>
                <w:szCs w:val="1"/>
                <w:color w:val="auto"/>
              </w:rPr>
            </w:pPr>
          </w:p>
        </w:tc>
      </w:tr>
      <w:tr>
        <w:trPr>
          <w:trHeight w:val="183"/>
        </w:trPr>
        <w:tc>
          <w:tcPr>
            <w:tcW w:w="5800" w:type="dxa"/>
            <w:vAlign w:val="bottom"/>
            <w:tcBorders>
              <w:top w:val="single" w:sz="8" w:color="CFF0FC"/>
            </w:tcBorders>
            <w:gridSpan w:val="2"/>
          </w:tcPr>
          <w:p>
            <w:pPr>
              <w:spacing w:after="0" w:line="183" w:lineRule="exact"/>
              <w:rPr>
                <w:sz w:val="20"/>
                <w:szCs w:val="20"/>
                <w:color w:val="auto"/>
              </w:rPr>
            </w:pPr>
            <w:r>
              <w:rPr>
                <w:rFonts w:ascii="Arial" w:cs="Arial" w:eastAsia="Arial" w:hAnsi="Arial"/>
                <w:sz w:val="16"/>
                <w:szCs w:val="16"/>
                <w:b w:val="1"/>
                <w:bCs w:val="1"/>
                <w:color w:val="auto"/>
              </w:rPr>
              <w:t>Deferred tax liability</w:t>
            </w: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At January 1, 2023</w:t>
            </w:r>
          </w:p>
        </w:tc>
        <w:tc>
          <w:tcPr>
            <w:tcW w:w="1760" w:type="dxa"/>
            <w:vAlign w:val="bottom"/>
            <w:gridSpan w:val="3"/>
            <w:shd w:val="clear" w:color="auto" w:fill="CFF0FC"/>
          </w:tcPr>
          <w:p>
            <w:pPr>
              <w:jc w:val="right"/>
              <w:ind w:right="580"/>
              <w:spacing w:after="0"/>
              <w:rPr>
                <w:sz w:val="20"/>
                <w:szCs w:val="20"/>
                <w:color w:val="auto"/>
              </w:rPr>
            </w:pPr>
            <w:r>
              <w:rPr>
                <w:rFonts w:ascii="Arial" w:cs="Arial" w:eastAsia="Arial" w:hAnsi="Arial"/>
                <w:sz w:val="16"/>
                <w:szCs w:val="16"/>
                <w:color w:val="auto"/>
              </w:rPr>
              <w:t>—</w:t>
            </w:r>
          </w:p>
        </w:tc>
        <w:tc>
          <w:tcPr>
            <w:tcW w:w="92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(42,048)</w:t>
            </w:r>
          </w:p>
        </w:tc>
        <w:tc>
          <w:tcPr>
            <w:tcW w:w="100" w:type="dxa"/>
            <w:vAlign w:val="bottom"/>
            <w:shd w:val="clear" w:color="auto" w:fill="CFF0FC"/>
          </w:tcPr>
          <w:p>
            <w:pPr>
              <w:spacing w:after="0"/>
              <w:rPr>
                <w:sz w:val="16"/>
                <w:szCs w:val="16"/>
                <w:color w:val="auto"/>
              </w:rPr>
            </w:pPr>
          </w:p>
        </w:tc>
        <w:tc>
          <w:tcPr>
            <w:tcW w:w="380" w:type="dxa"/>
            <w:vAlign w:val="bottom"/>
            <w:tcBorders>
              <w:right w:val="single" w:sz="8" w:color="CFF0FC"/>
            </w:tcBorders>
            <w:shd w:val="clear" w:color="auto" w:fill="CFF0FC"/>
          </w:tcPr>
          <w:p>
            <w:pPr>
              <w:spacing w:after="0"/>
              <w:rPr>
                <w:sz w:val="16"/>
                <w:szCs w:val="16"/>
                <w:color w:val="auto"/>
              </w:rPr>
            </w:pPr>
          </w:p>
        </w:tc>
        <w:tc>
          <w:tcPr>
            <w:tcW w:w="98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w w:val="97"/>
              </w:rPr>
              <w:t>(1,792,383)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(1,834,431)</w:t>
            </w:r>
          </w:p>
        </w:tc>
        <w:tc>
          <w:tcPr>
            <w:tcW w:w="0" w:type="dxa"/>
            <w:vAlign w:val="bottom"/>
          </w:tcPr>
          <w:p>
            <w:pPr>
              <w:spacing w:after="0"/>
              <w:rPr>
                <w:sz w:val="1"/>
                <w:szCs w:val="1"/>
                <w:color w:val="auto"/>
              </w:rPr>
            </w:pPr>
          </w:p>
        </w:tc>
      </w:tr>
      <w:tr>
        <w:trPr>
          <w:trHeight w:val="189"/>
        </w:trPr>
        <w:tc>
          <w:tcPr>
            <w:tcW w:w="5800" w:type="dxa"/>
            <w:vAlign w:val="bottom"/>
            <w:gridSpan w:val="2"/>
          </w:tcPr>
          <w:p>
            <w:pPr>
              <w:spacing w:after="0"/>
              <w:rPr>
                <w:sz w:val="20"/>
                <w:szCs w:val="20"/>
                <w:color w:val="auto"/>
              </w:rPr>
            </w:pPr>
            <w:r>
              <w:rPr>
                <w:rFonts w:ascii="Arial" w:cs="Arial" w:eastAsia="Arial" w:hAnsi="Arial"/>
                <w:sz w:val="16"/>
                <w:szCs w:val="16"/>
                <w:color w:val="auto"/>
              </w:rPr>
              <w:t>(Charged)/credited</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Profit or (loss)</w:t>
            </w:r>
          </w:p>
        </w:tc>
        <w:tc>
          <w:tcPr>
            <w:tcW w:w="1760" w:type="dxa"/>
            <w:vAlign w:val="bottom"/>
            <w:gridSpan w:val="3"/>
            <w:shd w:val="clear" w:color="auto" w:fill="CFF0FC"/>
          </w:tcPr>
          <w:p>
            <w:pPr>
              <w:jc w:val="right"/>
              <w:ind w:right="58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28,489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37,610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66,099</w:t>
            </w:r>
          </w:p>
        </w:tc>
        <w:tc>
          <w:tcPr>
            <w:tcW w:w="0" w:type="dxa"/>
            <w:vAlign w:val="bottom"/>
          </w:tcPr>
          <w:p>
            <w:pPr>
              <w:spacing w:after="0"/>
              <w:rPr>
                <w:sz w:val="1"/>
                <w:szCs w:val="1"/>
                <w:color w:val="auto"/>
              </w:rPr>
            </w:pPr>
          </w:p>
        </w:tc>
      </w:tr>
      <w:tr>
        <w:trPr>
          <w:trHeight w:val="189"/>
        </w:trPr>
        <w:tc>
          <w:tcPr>
            <w:tcW w:w="5800" w:type="dxa"/>
            <w:vAlign w:val="bottom"/>
            <w:gridSpan w:val="2"/>
          </w:tcPr>
          <w:p>
            <w:pPr>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57"/>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4"/>
          </w:tcPr>
          <w:p>
            <w:pPr>
              <w:jc w:val="right"/>
              <w:ind w:right="4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At December 31, 2023</w:t>
            </w: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lef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gridSpan w:val="5"/>
            <w:shd w:val="clear" w:color="auto" w:fill="CFF0FC"/>
          </w:tcPr>
          <w:p>
            <w:pPr>
              <w:jc w:val="right"/>
              <w:spacing w:after="0" w:line="183" w:lineRule="exact"/>
              <w:rPr>
                <w:sz w:val="20"/>
                <w:szCs w:val="20"/>
                <w:color w:val="auto"/>
              </w:rPr>
            </w:pPr>
            <w:r>
              <w:rPr>
                <w:rFonts w:ascii="Arial" w:cs="Arial" w:eastAsia="Arial" w:hAnsi="Arial"/>
                <w:sz w:val="16"/>
                <w:szCs w:val="16"/>
                <w:color w:val="auto"/>
              </w:rPr>
              <w:t>(12,671)</w:t>
            </w:r>
          </w:p>
        </w:tc>
        <w:tc>
          <w:tcPr>
            <w:tcW w:w="100" w:type="dxa"/>
            <w:vAlign w:val="bottom"/>
            <w:shd w:val="clear" w:color="auto" w:fill="CFF0FC"/>
          </w:tcPr>
          <w:p>
            <w:pPr>
              <w:spacing w:after="0"/>
              <w:rPr>
                <w:sz w:val="15"/>
                <w:szCs w:val="15"/>
                <w:color w:val="auto"/>
              </w:rPr>
            </w:pPr>
          </w:p>
        </w:tc>
        <w:tc>
          <w:tcPr>
            <w:tcW w:w="380" w:type="dxa"/>
            <w:vAlign w:val="bottom"/>
            <w:tcBorders>
              <w:right w:val="single" w:sz="8" w:color="CFF0FC"/>
            </w:tcBorders>
            <w:shd w:val="clear" w:color="auto" w:fill="CFF0FC"/>
          </w:tcPr>
          <w:p>
            <w:pPr>
              <w:spacing w:after="0"/>
              <w:rPr>
                <w:sz w:val="15"/>
                <w:szCs w:val="15"/>
                <w:color w:val="auto"/>
              </w:rPr>
            </w:pPr>
          </w:p>
        </w:tc>
        <w:tc>
          <w:tcPr>
            <w:tcW w:w="980" w:type="dxa"/>
            <w:vAlign w:val="bottom"/>
            <w:gridSpan w:val="4"/>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w w:val="97"/>
              </w:rPr>
              <w:t>(1,754,773)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(1,767,444)</w:t>
            </w:r>
          </w:p>
        </w:tc>
        <w:tc>
          <w:tcPr>
            <w:tcW w:w="0" w:type="dxa"/>
            <w:vAlign w:val="bottom"/>
          </w:tcPr>
          <w:p>
            <w:pPr>
              <w:spacing w:after="0"/>
              <w:rPr>
                <w:sz w:val="1"/>
                <w:szCs w:val="1"/>
                <w:color w:val="auto"/>
              </w:rPr>
            </w:pPr>
          </w:p>
        </w:tc>
      </w:tr>
      <w:tr>
        <w:trPr>
          <w:trHeight w:val="183"/>
        </w:trPr>
        <w:tc>
          <w:tcPr>
            <w:tcW w:w="5800" w:type="dxa"/>
            <w:vAlign w:val="bottom"/>
            <w:tcBorders>
              <w:top w:val="single" w:sz="8" w:color="CFF0FC"/>
            </w:tcBorders>
            <w:gridSpan w:val="2"/>
          </w:tcPr>
          <w:p>
            <w:pPr>
              <w:spacing w:after="0" w:line="183" w:lineRule="exact"/>
              <w:rPr>
                <w:sz w:val="20"/>
                <w:szCs w:val="20"/>
                <w:color w:val="auto"/>
              </w:rPr>
            </w:pPr>
            <w:r>
              <w:rPr>
                <w:rFonts w:ascii="Arial" w:cs="Arial" w:eastAsia="Arial" w:hAnsi="Arial"/>
                <w:sz w:val="16"/>
                <w:szCs w:val="16"/>
                <w:b w:val="1"/>
                <w:bCs w:val="1"/>
                <w:color w:val="auto"/>
              </w:rPr>
              <w:t>Net deferred tax assets at December 31, 2023</w:t>
            </w: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387,529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240" w:type="dxa"/>
            <w:vAlign w:val="bottom"/>
            <w:gridSpan w:val="20"/>
          </w:tcPr>
          <w:p>
            <w:pPr>
              <w:spacing w:after="0"/>
              <w:rPr>
                <w:sz w:val="20"/>
                <w:szCs w:val="20"/>
                <w:color w:val="auto"/>
              </w:rPr>
            </w:pPr>
            <w:r>
              <w:rPr>
                <w:rFonts w:ascii="Arial" w:cs="Arial" w:eastAsia="Arial" w:hAnsi="Arial"/>
                <w:sz w:val="16"/>
                <w:szCs w:val="16"/>
                <w:color w:val="auto"/>
              </w:rPr>
              <w:t>The total unrecognized deferred tax assets from temporary differences amounts to €10.4 million for the year ended December 31, 2024, 2023: €11.0</w:t>
            </w:r>
          </w:p>
        </w:tc>
        <w:tc>
          <w:tcPr>
            <w:tcW w:w="0" w:type="dxa"/>
            <w:vAlign w:val="bottom"/>
          </w:tcPr>
          <w:p>
            <w:pPr>
              <w:spacing w:after="0"/>
              <w:rPr>
                <w:sz w:val="1"/>
                <w:szCs w:val="1"/>
                <w:color w:val="auto"/>
              </w:rPr>
            </w:pPr>
          </w:p>
        </w:tc>
      </w:tr>
      <w:tr>
        <w:trPr>
          <w:trHeight w:val="215"/>
        </w:trPr>
        <w:tc>
          <w:tcPr>
            <w:tcW w:w="5800" w:type="dxa"/>
            <w:vAlign w:val="bottom"/>
            <w:gridSpan w:val="2"/>
          </w:tcPr>
          <w:p>
            <w:pPr>
              <w:spacing w:after="0"/>
              <w:rPr>
                <w:sz w:val="20"/>
                <w:szCs w:val="20"/>
                <w:color w:val="auto"/>
              </w:rPr>
            </w:pPr>
            <w:r>
              <w:rPr>
                <w:rFonts w:ascii="Arial" w:cs="Arial" w:eastAsia="Arial" w:hAnsi="Arial"/>
                <w:sz w:val="16"/>
                <w:szCs w:val="16"/>
                <w:color w:val="auto"/>
              </w:rPr>
              <w:t>million, 2022: €8.7 million).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7"/>
        </w:trPr>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8. Property, plant and equipment</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0" w:type="dxa"/>
            <w:vAlign w:val="bottom"/>
            <w:gridSpan w:val="2"/>
            <w:vMerge w:val="restart"/>
          </w:tcPr>
          <w:p>
            <w:pPr>
              <w:ind w:left="1140"/>
              <w:spacing w:after="0"/>
              <w:rPr>
                <w:sz w:val="20"/>
                <w:szCs w:val="20"/>
                <w:color w:val="auto"/>
              </w:rPr>
            </w:pPr>
            <w:r>
              <w:rPr>
                <w:rFonts w:ascii="Arial" w:cs="Arial" w:eastAsia="Arial" w:hAnsi="Arial"/>
                <w:sz w:val="13"/>
                <w:szCs w:val="13"/>
                <w:b w:val="1"/>
                <w:bCs w:val="1"/>
                <w:color w:val="auto"/>
              </w:rPr>
              <w:t>Net book value</w:t>
            </w:r>
          </w:p>
        </w:tc>
        <w:tc>
          <w:tcPr>
            <w:tcW w:w="1180" w:type="dxa"/>
            <w:vAlign w:val="bottom"/>
          </w:tcPr>
          <w:p>
            <w:pPr>
              <w:spacing w:after="0"/>
              <w:rPr>
                <w:sz w:val="24"/>
                <w:szCs w:val="24"/>
                <w:color w:val="auto"/>
              </w:rPr>
            </w:pPr>
          </w:p>
        </w:tc>
        <w:tc>
          <w:tcPr>
            <w:tcW w:w="580" w:type="dxa"/>
            <w:vAlign w:val="bottom"/>
            <w:gridSpan w:val="2"/>
          </w:tcPr>
          <w:p>
            <w:pPr>
              <w:ind w:left="200"/>
              <w:spacing w:after="0"/>
              <w:rPr>
                <w:sz w:val="20"/>
                <w:szCs w:val="20"/>
                <w:color w:val="auto"/>
              </w:rPr>
            </w:pPr>
            <w:r>
              <w:rPr>
                <w:rFonts w:ascii="Arial" w:cs="Arial" w:eastAsia="Arial" w:hAnsi="Arial"/>
                <w:sz w:val="13"/>
                <w:szCs w:val="13"/>
                <w:b w:val="1"/>
                <w:bCs w:val="1"/>
                <w:color w:val="auto"/>
                <w:w w:val="99"/>
              </w:rPr>
              <w:t>Notes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3"/>
          </w:tcPr>
          <w:p>
            <w:pPr>
              <w:jc w:val="center"/>
              <w:ind w:left="141"/>
              <w:spacing w:after="0"/>
              <w:rPr>
                <w:sz w:val="20"/>
                <w:szCs w:val="20"/>
                <w:color w:val="auto"/>
              </w:rPr>
            </w:pPr>
            <w:r>
              <w:rPr>
                <w:rFonts w:ascii="Arial" w:cs="Arial" w:eastAsia="Arial" w:hAnsi="Arial"/>
                <w:sz w:val="13"/>
                <w:szCs w:val="13"/>
                <w:b w:val="1"/>
                <w:bCs w:val="1"/>
                <w:color w:val="auto"/>
                <w:w w:val="96"/>
              </w:rPr>
              <w:t>2024</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center"/>
              <w:ind w:left="283"/>
              <w:spacing w:after="0"/>
              <w:rPr>
                <w:sz w:val="20"/>
                <w:szCs w:val="20"/>
                <w:color w:val="auto"/>
              </w:rPr>
            </w:pPr>
            <w:r>
              <w:rPr>
                <w:rFonts w:ascii="Arial" w:cs="Arial" w:eastAsia="Arial" w:hAnsi="Arial"/>
                <w:sz w:val="13"/>
                <w:szCs w:val="13"/>
                <w:b w:val="1"/>
                <w:bCs w:val="1"/>
                <w:color w:val="auto"/>
                <w:w w:val="96"/>
              </w:rPr>
              <w:t>2023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0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center"/>
              <w:ind w:right="437"/>
              <w:spacing w:after="0" w:line="129" w:lineRule="exact"/>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bottom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6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180" w:type="dxa"/>
            <w:vAlign w:val="bottom"/>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4"/>
            <w:shd w:val="clear" w:color="auto" w:fill="CFF0FC"/>
          </w:tcPr>
          <w:p>
            <w:pPr>
              <w:jc w:val="right"/>
              <w:spacing w:after="0" w:line="183" w:lineRule="exact"/>
              <w:rPr>
                <w:sz w:val="20"/>
                <w:szCs w:val="20"/>
                <w:color w:val="auto"/>
              </w:rPr>
            </w:pPr>
            <w:r>
              <w:rPr>
                <w:rFonts w:ascii="Arial" w:cs="Arial" w:eastAsia="Arial" w:hAnsi="Arial"/>
                <w:sz w:val="16"/>
                <w:szCs w:val="16"/>
                <w:color w:val="auto"/>
              </w:rPr>
              <w:t>223,678</w:t>
            </w:r>
          </w:p>
        </w:tc>
        <w:tc>
          <w:tcPr>
            <w:tcW w:w="80" w:type="dxa"/>
            <w:vAlign w:val="bottom"/>
            <w:shd w:val="clear" w:color="auto" w:fill="CFF0FC"/>
          </w:tcPr>
          <w:p>
            <w:pPr>
              <w:spacing w:after="0"/>
              <w:rPr>
                <w:sz w:val="15"/>
                <w:szCs w:val="15"/>
                <w:color w:val="auto"/>
              </w:rPr>
            </w:pPr>
          </w:p>
        </w:tc>
        <w:tc>
          <w:tcPr>
            <w:tcW w:w="980" w:type="dxa"/>
            <w:vAlign w:val="bottom"/>
            <w:gridSpan w:val="4"/>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193,474</w:t>
            </w:r>
          </w:p>
        </w:tc>
        <w:tc>
          <w:tcPr>
            <w:tcW w:w="100" w:type="dxa"/>
            <w:vAlign w:val="bottom"/>
            <w:shd w:val="clear" w:color="auto" w:fill="CFF0FC"/>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Additions</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538,085</w:t>
            </w:r>
          </w:p>
        </w:tc>
        <w:tc>
          <w:tcPr>
            <w:tcW w:w="80" w:type="dxa"/>
            <w:vAlign w:val="bottom"/>
          </w:tcPr>
          <w:p>
            <w:pPr>
              <w:spacing w:after="0"/>
              <w:rPr>
                <w:sz w:val="16"/>
                <w:szCs w:val="16"/>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6"/>
                <w:szCs w:val="16"/>
                <w:color w:val="auto"/>
              </w:rPr>
              <w:t>90,051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Depreciation expenses</w:t>
            </w:r>
          </w:p>
        </w:tc>
        <w:tc>
          <w:tcPr>
            <w:tcW w:w="1180" w:type="dxa"/>
            <w:vAlign w:val="bottom"/>
            <w:shd w:val="clear" w:color="auto" w:fill="CFF0FC"/>
          </w:tcPr>
          <w:p>
            <w:pPr>
              <w:spacing w:after="0"/>
              <w:rPr>
                <w:sz w:val="16"/>
                <w:szCs w:val="16"/>
                <w:color w:val="auto"/>
              </w:rPr>
            </w:pPr>
          </w:p>
        </w:tc>
        <w:tc>
          <w:tcPr>
            <w:tcW w:w="240" w:type="dxa"/>
            <w:vAlign w:val="bottom"/>
            <w:tcBorders>
              <w:lef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(94,763)</w:t>
            </w:r>
          </w:p>
        </w:tc>
        <w:tc>
          <w:tcPr>
            <w:tcW w:w="108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(59,847)</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0" w:type="dxa"/>
            <w:vAlign w:val="bottom"/>
            <w:gridSpan w:val="2"/>
          </w:tcPr>
          <w:p>
            <w:pPr>
              <w:ind w:left="1140"/>
              <w:spacing w:after="0" w:line="169" w:lineRule="exact"/>
              <w:rPr>
                <w:sz w:val="20"/>
                <w:szCs w:val="20"/>
                <w:color w:val="auto"/>
              </w:rPr>
            </w:pPr>
            <w:r>
              <w:rPr>
                <w:rFonts w:ascii="Arial" w:cs="Arial" w:eastAsia="Arial" w:hAnsi="Arial"/>
                <w:sz w:val="16"/>
                <w:szCs w:val="16"/>
                <w:color w:val="auto"/>
              </w:rPr>
              <w:t>As of December 31,</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6"/>
                <w:szCs w:val="16"/>
                <w:color w:val="auto"/>
              </w:rPr>
              <w:t>667,000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gridSpan w:val="3"/>
          </w:tcPr>
          <w:p>
            <w:pPr>
              <w:jc w:val="right"/>
              <w:ind w:right="20"/>
              <w:spacing w:after="0" w:line="169" w:lineRule="exact"/>
              <w:rPr>
                <w:sz w:val="20"/>
                <w:szCs w:val="20"/>
                <w:color w:val="auto"/>
              </w:rPr>
            </w:pPr>
            <w:r>
              <w:rPr>
                <w:rFonts w:ascii="Arial" w:cs="Arial" w:eastAsia="Arial" w:hAnsi="Arial"/>
                <w:sz w:val="16"/>
                <w:szCs w:val="16"/>
                <w:color w:val="auto"/>
              </w:rPr>
              <w:t>223,678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0" w:type="dxa"/>
            <w:vAlign w:val="bottom"/>
            <w:gridSpan w:val="2"/>
            <w:vMerge w:val="restart"/>
          </w:tcPr>
          <w:p>
            <w:pPr>
              <w:ind w:left="1140"/>
              <w:spacing w:after="0"/>
              <w:rPr>
                <w:sz w:val="20"/>
                <w:szCs w:val="20"/>
                <w:color w:val="auto"/>
              </w:rPr>
            </w:pPr>
            <w:r>
              <w:rPr>
                <w:rFonts w:ascii="Arial" w:cs="Arial" w:eastAsia="Arial" w:hAnsi="Arial"/>
                <w:sz w:val="13"/>
                <w:szCs w:val="13"/>
                <w:b w:val="1"/>
                <w:bCs w:val="1"/>
                <w:color w:val="auto"/>
              </w:rPr>
              <w:t>Cumulative depreciation</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3"/>
          </w:tcPr>
          <w:p>
            <w:pPr>
              <w:jc w:val="center"/>
              <w:ind w:left="141"/>
              <w:spacing w:after="0"/>
              <w:rPr>
                <w:sz w:val="20"/>
                <w:szCs w:val="20"/>
                <w:color w:val="auto"/>
              </w:rPr>
            </w:pPr>
            <w:r>
              <w:rPr>
                <w:rFonts w:ascii="Arial" w:cs="Arial" w:eastAsia="Arial" w:hAnsi="Arial"/>
                <w:sz w:val="13"/>
                <w:szCs w:val="13"/>
                <w:b w:val="1"/>
                <w:bCs w:val="1"/>
                <w:color w:val="auto"/>
                <w:w w:val="96"/>
              </w:rPr>
              <w:t>2024</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center"/>
              <w:ind w:left="283"/>
              <w:spacing w:after="0"/>
              <w:rPr>
                <w:sz w:val="20"/>
                <w:szCs w:val="20"/>
                <w:color w:val="auto"/>
              </w:rPr>
            </w:pPr>
            <w:r>
              <w:rPr>
                <w:rFonts w:ascii="Arial" w:cs="Arial" w:eastAsia="Arial" w:hAnsi="Arial"/>
                <w:sz w:val="13"/>
                <w:szCs w:val="13"/>
                <w:b w:val="1"/>
                <w:bCs w:val="1"/>
                <w:color w:val="auto"/>
                <w:w w:val="96"/>
              </w:rPr>
              <w:t>2023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0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center"/>
              <w:ind w:right="437"/>
              <w:spacing w:after="0" w:line="129" w:lineRule="exact"/>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bottom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6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180" w:type="dxa"/>
            <w:vAlign w:val="bottom"/>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5"/>
            <w:shd w:val="clear" w:color="auto" w:fill="CFF0FC"/>
          </w:tcPr>
          <w:p>
            <w:pPr>
              <w:jc w:val="right"/>
              <w:spacing w:after="0" w:line="183" w:lineRule="exact"/>
              <w:rPr>
                <w:sz w:val="20"/>
                <w:szCs w:val="20"/>
                <w:color w:val="auto"/>
              </w:rPr>
            </w:pPr>
            <w:r>
              <w:rPr>
                <w:rFonts w:ascii="Arial" w:cs="Arial" w:eastAsia="Arial" w:hAnsi="Arial"/>
                <w:sz w:val="16"/>
                <w:szCs w:val="16"/>
                <w:color w:val="auto"/>
              </w:rPr>
              <w:t>(125,373)</w:t>
            </w:r>
          </w:p>
        </w:tc>
        <w:tc>
          <w:tcPr>
            <w:tcW w:w="1080" w:type="dxa"/>
            <w:vAlign w:val="bottom"/>
            <w:gridSpan w:val="5"/>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(65,526)</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Depreciation</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5"/>
          </w:tcPr>
          <w:p>
            <w:pPr>
              <w:jc w:val="right"/>
              <w:spacing w:after="0"/>
              <w:rPr>
                <w:sz w:val="20"/>
                <w:szCs w:val="20"/>
                <w:color w:val="auto"/>
              </w:rPr>
            </w:pPr>
            <w:r>
              <w:rPr>
                <w:rFonts w:ascii="Arial" w:cs="Arial" w:eastAsia="Arial" w:hAnsi="Arial"/>
                <w:sz w:val="16"/>
                <w:szCs w:val="16"/>
                <w:color w:val="auto"/>
              </w:rPr>
              <w:t>(94,763)</w:t>
            </w:r>
          </w:p>
        </w:tc>
        <w:tc>
          <w:tcPr>
            <w:tcW w:w="1080" w:type="dxa"/>
            <w:vAlign w:val="bottom"/>
            <w:gridSpan w:val="5"/>
          </w:tcPr>
          <w:p>
            <w:pPr>
              <w:jc w:val="right"/>
              <w:ind w:right="40"/>
              <w:spacing w:after="0"/>
              <w:rPr>
                <w:sz w:val="20"/>
                <w:szCs w:val="20"/>
                <w:color w:val="auto"/>
              </w:rPr>
            </w:pPr>
            <w:r>
              <w:rPr>
                <w:rFonts w:ascii="Arial" w:cs="Arial" w:eastAsia="Arial" w:hAnsi="Arial"/>
                <w:sz w:val="16"/>
                <w:szCs w:val="16"/>
                <w:color w:val="auto"/>
              </w:rPr>
              <w:t>(59,847)</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66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As of December 31,</w:t>
            </w:r>
          </w:p>
        </w:tc>
        <w:tc>
          <w:tcPr>
            <w:tcW w:w="1180" w:type="dxa"/>
            <w:vAlign w:val="bottom"/>
            <w:shd w:val="clear" w:color="auto" w:fill="CFF0FC"/>
          </w:tcPr>
          <w:p>
            <w:pPr>
              <w:spacing w:after="0"/>
              <w:rPr>
                <w:sz w:val="17"/>
                <w:szCs w:val="17"/>
                <w:color w:val="auto"/>
              </w:rPr>
            </w:pPr>
          </w:p>
        </w:tc>
        <w:tc>
          <w:tcPr>
            <w:tcW w:w="240" w:type="dxa"/>
            <w:vAlign w:val="bottom"/>
            <w:tcBorders>
              <w:lef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5"/>
            <w:shd w:val="clear" w:color="auto" w:fill="CFF0FC"/>
          </w:tcPr>
          <w:p>
            <w:pPr>
              <w:jc w:val="right"/>
              <w:spacing w:after="0" w:line="169" w:lineRule="exact"/>
              <w:rPr>
                <w:sz w:val="20"/>
                <w:szCs w:val="20"/>
                <w:color w:val="auto"/>
              </w:rPr>
            </w:pPr>
            <w:r>
              <w:rPr>
                <w:rFonts w:ascii="Arial" w:cs="Arial" w:eastAsia="Arial" w:hAnsi="Arial"/>
                <w:sz w:val="16"/>
                <w:szCs w:val="16"/>
                <w:color w:val="auto"/>
              </w:rPr>
              <w:t>(220,136)</w:t>
            </w:r>
          </w:p>
        </w:tc>
        <w:tc>
          <w:tcPr>
            <w:tcW w:w="1080" w:type="dxa"/>
            <w:vAlign w:val="bottom"/>
            <w:gridSpan w:val="5"/>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(125,373)</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0" w:type="dxa"/>
            <w:vAlign w:val="bottom"/>
            <w:gridSpan w:val="2"/>
            <w:vMerge w:val="restart"/>
          </w:tcPr>
          <w:p>
            <w:pPr>
              <w:ind w:left="1140"/>
              <w:spacing w:after="0"/>
              <w:rPr>
                <w:sz w:val="20"/>
                <w:szCs w:val="20"/>
                <w:color w:val="auto"/>
              </w:rPr>
            </w:pPr>
            <w:r>
              <w:rPr>
                <w:rFonts w:ascii="Arial" w:cs="Arial" w:eastAsia="Arial" w:hAnsi="Arial"/>
                <w:sz w:val="13"/>
                <w:szCs w:val="13"/>
                <w:b w:val="1"/>
                <w:bCs w:val="1"/>
                <w:color w:val="auto"/>
              </w:rPr>
              <w:t>Cumulative Costs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3"/>
          </w:tcPr>
          <w:p>
            <w:pPr>
              <w:jc w:val="center"/>
              <w:ind w:left="141"/>
              <w:spacing w:after="0"/>
              <w:rPr>
                <w:sz w:val="20"/>
                <w:szCs w:val="20"/>
                <w:color w:val="auto"/>
              </w:rPr>
            </w:pPr>
            <w:r>
              <w:rPr>
                <w:rFonts w:ascii="Arial" w:cs="Arial" w:eastAsia="Arial" w:hAnsi="Arial"/>
                <w:sz w:val="13"/>
                <w:szCs w:val="13"/>
                <w:b w:val="1"/>
                <w:bCs w:val="1"/>
                <w:color w:val="auto"/>
                <w:w w:val="96"/>
              </w:rPr>
              <w:t>2024</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center"/>
              <w:ind w:left="283"/>
              <w:spacing w:after="0"/>
              <w:rPr>
                <w:sz w:val="20"/>
                <w:szCs w:val="20"/>
                <w:color w:val="auto"/>
              </w:rPr>
            </w:pPr>
            <w:r>
              <w:rPr>
                <w:rFonts w:ascii="Arial" w:cs="Arial" w:eastAsia="Arial" w:hAnsi="Arial"/>
                <w:sz w:val="13"/>
                <w:szCs w:val="13"/>
                <w:b w:val="1"/>
                <w:bCs w:val="1"/>
                <w:color w:val="auto"/>
                <w:w w:val="96"/>
              </w:rPr>
              <w:t>2023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0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center"/>
              <w:ind w:right="437"/>
              <w:spacing w:after="0" w:line="129" w:lineRule="exact"/>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bottom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6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180" w:type="dxa"/>
            <w:vAlign w:val="bottom"/>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4"/>
            <w:shd w:val="clear" w:color="auto" w:fill="CFF0FC"/>
          </w:tcPr>
          <w:p>
            <w:pPr>
              <w:jc w:val="right"/>
              <w:spacing w:after="0" w:line="183" w:lineRule="exact"/>
              <w:rPr>
                <w:sz w:val="20"/>
                <w:szCs w:val="20"/>
                <w:color w:val="auto"/>
              </w:rPr>
            </w:pPr>
            <w:r>
              <w:rPr>
                <w:rFonts w:ascii="Arial" w:cs="Arial" w:eastAsia="Arial" w:hAnsi="Arial"/>
                <w:sz w:val="16"/>
                <w:szCs w:val="16"/>
                <w:color w:val="auto"/>
              </w:rPr>
              <w:t>349,051</w:t>
            </w:r>
          </w:p>
        </w:tc>
        <w:tc>
          <w:tcPr>
            <w:tcW w:w="80" w:type="dxa"/>
            <w:vAlign w:val="bottom"/>
            <w:shd w:val="clear" w:color="auto" w:fill="CFF0FC"/>
          </w:tcPr>
          <w:p>
            <w:pPr>
              <w:spacing w:after="0"/>
              <w:rPr>
                <w:sz w:val="15"/>
                <w:szCs w:val="15"/>
                <w:color w:val="auto"/>
              </w:rPr>
            </w:pPr>
          </w:p>
        </w:tc>
        <w:tc>
          <w:tcPr>
            <w:tcW w:w="980" w:type="dxa"/>
            <w:vAlign w:val="bottom"/>
            <w:gridSpan w:val="4"/>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259,000</w:t>
            </w:r>
          </w:p>
        </w:tc>
        <w:tc>
          <w:tcPr>
            <w:tcW w:w="100" w:type="dxa"/>
            <w:vAlign w:val="bottom"/>
            <w:shd w:val="clear" w:color="auto" w:fill="CFF0FC"/>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Additions</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538,085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90,051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As of December 31,</w:t>
            </w:r>
          </w:p>
        </w:tc>
        <w:tc>
          <w:tcPr>
            <w:tcW w:w="1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left w:val="single" w:sz="8" w:color="CFF0FC"/>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right w:val="single" w:sz="8" w:color="CFF0FC"/>
            </w:tcBorders>
            <w:gridSpan w:val="4"/>
            <w:shd w:val="clear" w:color="auto" w:fill="CFF0FC"/>
          </w:tcPr>
          <w:p>
            <w:pPr>
              <w:jc w:val="right"/>
              <w:spacing w:after="0" w:line="169" w:lineRule="exact"/>
              <w:rPr>
                <w:sz w:val="20"/>
                <w:szCs w:val="20"/>
                <w:color w:val="auto"/>
              </w:rPr>
            </w:pPr>
            <w:r>
              <w:rPr>
                <w:rFonts w:ascii="Arial" w:cs="Arial" w:eastAsia="Arial" w:hAnsi="Arial"/>
                <w:sz w:val="16"/>
                <w:szCs w:val="16"/>
                <w:color w:val="auto"/>
              </w:rPr>
              <w:t>887,136</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gridSpan w:val="3"/>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349,051</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-6102985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-6102985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-6102985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-6102985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-5365750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-5365750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-5365750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-5108575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-5091430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-3968115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-3968115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-3968115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-3230880</wp:posOffset>
            </wp:positionV>
            <wp:extent cx="7747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-3230880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-3230880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-1559560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-1559560</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-727710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-710565</wp:posOffset>
            </wp:positionV>
            <wp:extent cx="51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-727710</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-710565</wp:posOffset>
            </wp:positionV>
            <wp:extent cx="596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14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514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8"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During 2024, the Group acquired assets with a cost of €0.5 million (2023: €0.09 million; 2022: €0.1 million). The investments in property, plant and equipment, relate to equipment, tools and installations.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6"/>
          <w:szCs w:val="16"/>
          <w:b w:val="1"/>
          <w:bCs w:val="1"/>
          <w:color w:val="auto"/>
        </w:rPr>
        <w:t>118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99.4</w:t>
            </w:r>
          </w:p>
        </w:tc>
        <w:tc>
          <w:tcPr>
            <w:tcW w:w="0" w:type="dxa"/>
            <w:vAlign w:val="bottom"/>
          </w:tcPr>
          <w:p>
            <w:pPr>
              <w:spacing w:after="0"/>
              <w:rPr>
                <w:sz w:val="1"/>
                <w:szCs w:val="1"/>
                <w:color w:val="auto"/>
              </w:rPr>
            </w:pPr>
          </w:p>
        </w:tc>
      </w:tr>
      <w:tr>
        <w:trPr>
          <w:trHeight w:val="486"/>
        </w:trPr>
        <w:tc>
          <w:tcPr>
            <w:tcW w:w="8560" w:type="dxa"/>
            <w:vAlign w:val="bottom"/>
          </w:tcPr>
          <w:p>
            <w:pPr>
              <w:spacing w:after="0"/>
              <w:rPr>
                <w:sz w:val="20"/>
                <w:szCs w:val="20"/>
                <w:color w:val="auto"/>
              </w:rPr>
            </w:pPr>
            <w:r>
              <w:rPr>
                <w:rFonts w:ascii="Arial" w:cs="Arial" w:eastAsia="Arial" w:hAnsi="Arial"/>
                <w:sz w:val="16"/>
                <w:szCs w:val="16"/>
                <w:b w:val="1"/>
                <w:bCs w:val="1"/>
                <w:color w:val="auto"/>
              </w:rPr>
              <w:t>9. Leases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560" w:type="dxa"/>
            <w:vAlign w:val="bottom"/>
          </w:tcPr>
          <w:p>
            <w:pPr>
              <w:spacing w:after="0"/>
              <w:rPr>
                <w:sz w:val="20"/>
                <w:szCs w:val="20"/>
                <w:color w:val="auto"/>
              </w:rPr>
            </w:pPr>
            <w:r>
              <w:rPr>
                <w:rFonts w:ascii="Arial" w:cs="Arial" w:eastAsia="Arial" w:hAnsi="Arial"/>
                <w:sz w:val="16"/>
                <w:szCs w:val="16"/>
                <w:color w:val="auto"/>
              </w:rPr>
              <w:t>The following table provides information about the Group’s right of use assets: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56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560" w:type="dxa"/>
            <w:vAlign w:val="bottom"/>
          </w:tcPr>
          <w:p>
            <w:pPr>
              <w:spacing w:after="0"/>
              <w:rPr>
                <w:sz w:val="11"/>
                <w:szCs w:val="11"/>
                <w:color w:val="auto"/>
              </w:rPr>
            </w:pPr>
          </w:p>
        </w:tc>
        <w:tc>
          <w:tcPr>
            <w:tcW w:w="1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0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40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231,893</w:t>
            </w:r>
          </w:p>
        </w:tc>
        <w:tc>
          <w:tcPr>
            <w:tcW w:w="100" w:type="dxa"/>
            <w:vAlign w:val="bottom"/>
            <w:tcBorders>
              <w:right w:val="single" w:sz="8" w:color="CFF0FC"/>
            </w:tcBorders>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432,965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Additions / (Disposals)</w:t>
            </w:r>
          </w:p>
        </w:tc>
        <w:tc>
          <w:tcPr>
            <w:tcW w:w="1400" w:type="dxa"/>
            <w:vAlign w:val="bottom"/>
          </w:tcPr>
          <w:p>
            <w:pPr>
              <w:jc w:val="right"/>
              <w:spacing w:after="0"/>
              <w:rPr>
                <w:sz w:val="20"/>
                <w:szCs w:val="20"/>
                <w:color w:val="auto"/>
              </w:rPr>
            </w:pPr>
            <w:r>
              <w:rPr>
                <w:rFonts w:ascii="Arial" w:cs="Arial" w:eastAsia="Arial" w:hAnsi="Arial"/>
                <w:sz w:val="16"/>
                <w:szCs w:val="16"/>
                <w:color w:val="auto"/>
              </w:rPr>
              <w:t>756,748</w:t>
            </w:r>
          </w:p>
        </w:tc>
        <w:tc>
          <w:tcPr>
            <w:tcW w:w="1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(3,302)</w:t>
            </w:r>
          </w:p>
        </w:tc>
        <w:tc>
          <w:tcPr>
            <w:tcW w:w="0" w:type="dxa"/>
            <w:vAlign w:val="bottom"/>
          </w:tcPr>
          <w:p>
            <w:pPr>
              <w:spacing w:after="0"/>
              <w:rPr>
                <w:sz w:val="1"/>
                <w:szCs w:val="1"/>
                <w:color w:val="auto"/>
              </w:rPr>
            </w:pPr>
          </w:p>
        </w:tc>
      </w:tr>
      <w:tr>
        <w:trPr>
          <w:trHeight w:val="189"/>
        </w:trPr>
        <w:tc>
          <w:tcPr>
            <w:tcW w:w="8560" w:type="dxa"/>
            <w:vAlign w:val="bottom"/>
            <w:shd w:val="clear" w:color="auto" w:fill="CFF0FC"/>
          </w:tcPr>
          <w:p>
            <w:pPr>
              <w:spacing w:after="0"/>
              <w:rPr>
                <w:sz w:val="20"/>
                <w:szCs w:val="20"/>
                <w:color w:val="auto"/>
              </w:rPr>
            </w:pPr>
            <w:r>
              <w:rPr>
                <w:rFonts w:ascii="Arial" w:cs="Arial" w:eastAsia="Arial" w:hAnsi="Arial"/>
                <w:sz w:val="16"/>
                <w:szCs w:val="16"/>
                <w:color w:val="auto"/>
              </w:rPr>
              <w:t>Depreciation charges</w:t>
            </w:r>
          </w:p>
        </w:tc>
        <w:tc>
          <w:tcPr>
            <w:tcW w:w="15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(174,799)</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(197,770)</w:t>
            </w:r>
          </w:p>
        </w:tc>
        <w:tc>
          <w:tcPr>
            <w:tcW w:w="0" w:type="dxa"/>
            <w:vAlign w:val="bottom"/>
          </w:tcPr>
          <w:p>
            <w:pPr>
              <w:spacing w:after="0"/>
              <w:rPr>
                <w:sz w:val="1"/>
                <w:szCs w:val="1"/>
                <w:color w:val="auto"/>
              </w:rPr>
            </w:pPr>
          </w:p>
        </w:tc>
      </w:tr>
      <w:tr>
        <w:trPr>
          <w:trHeight w:val="183"/>
        </w:trPr>
        <w:tc>
          <w:tcPr>
            <w:tcW w:w="8560" w:type="dxa"/>
            <w:vAlign w:val="bottom"/>
          </w:tcPr>
          <w:p>
            <w:pPr>
              <w:spacing w:after="0" w:line="169" w:lineRule="exact"/>
              <w:rPr>
                <w:sz w:val="20"/>
                <w:szCs w:val="20"/>
                <w:color w:val="auto"/>
              </w:rPr>
            </w:pPr>
            <w:r>
              <w:rPr>
                <w:rFonts w:ascii="Arial" w:cs="Arial" w:eastAsia="Arial" w:hAnsi="Arial"/>
                <w:sz w:val="16"/>
                <w:szCs w:val="16"/>
                <w:color w:val="auto"/>
              </w:rPr>
              <w:t>As of December 31,</w:t>
            </w:r>
          </w:p>
        </w:tc>
        <w:tc>
          <w:tcPr>
            <w:tcW w:w="1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813,842</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231,893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6"/>
                <w:szCs w:val="16"/>
                <w:color w:val="auto"/>
              </w:rPr>
              <w:t>The following table provides information about the Group’s lease liabilities at December 31, 2024:</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5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5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560" w:type="dxa"/>
            <w:vAlign w:val="bottom"/>
          </w:tcPr>
          <w:p>
            <w:pPr>
              <w:spacing w:after="0"/>
              <w:rPr>
                <w:sz w:val="11"/>
                <w:szCs w:val="11"/>
                <w:color w:val="auto"/>
              </w:rPr>
            </w:pPr>
          </w:p>
        </w:tc>
        <w:tc>
          <w:tcPr>
            <w:tcW w:w="14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Office leases</w:t>
            </w:r>
          </w:p>
        </w:tc>
        <w:tc>
          <w:tcPr>
            <w:tcW w:w="1500" w:type="dxa"/>
            <w:vAlign w:val="bottom"/>
            <w:tcBorders>
              <w:right w:val="single" w:sz="8" w:color="CFF0FC"/>
            </w:tcBorders>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(861,470)</w:t>
            </w:r>
          </w:p>
        </w:tc>
        <w:tc>
          <w:tcPr>
            <w:tcW w:w="11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(238,905)</w:t>
            </w: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Total lease liability</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(861,470)</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(238,905)</w:t>
            </w:r>
          </w:p>
        </w:tc>
        <w:tc>
          <w:tcPr>
            <w:tcW w:w="0" w:type="dxa"/>
            <w:vAlign w:val="bottom"/>
          </w:tcPr>
          <w:p>
            <w:pPr>
              <w:spacing w:after="0"/>
              <w:rPr>
                <w:sz w:val="1"/>
                <w:szCs w:val="1"/>
                <w:color w:val="auto"/>
              </w:rPr>
            </w:pPr>
          </w:p>
        </w:tc>
      </w:tr>
      <w:tr>
        <w:trPr>
          <w:trHeight w:val="189"/>
        </w:trPr>
        <w:tc>
          <w:tcPr>
            <w:tcW w:w="8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Portion</w:t>
            </w:r>
          </w:p>
        </w:tc>
        <w:tc>
          <w:tcPr>
            <w:tcW w:w="15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(222,427)</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(195,341)</w:t>
            </w:r>
          </w:p>
        </w:tc>
        <w:tc>
          <w:tcPr>
            <w:tcW w:w="0" w:type="dxa"/>
            <w:vAlign w:val="bottom"/>
          </w:tcPr>
          <w:p>
            <w:pPr>
              <w:spacing w:after="0"/>
              <w:rPr>
                <w:sz w:val="1"/>
                <w:szCs w:val="1"/>
                <w:color w:val="auto"/>
              </w:rPr>
            </w:pPr>
          </w:p>
        </w:tc>
      </w:tr>
      <w:tr>
        <w:trPr>
          <w:trHeight w:val="20"/>
        </w:trPr>
        <w:tc>
          <w:tcPr>
            <w:tcW w:w="8560" w:type="dxa"/>
            <w:vAlign w:val="bottom"/>
            <w:shd w:val="clear" w:color="auto" w:fill="CFF0FC"/>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6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Portion</w:t>
            </w:r>
          </w:p>
        </w:tc>
        <w:tc>
          <w:tcPr>
            <w:tcW w:w="1500" w:type="dxa"/>
            <w:vAlign w:val="bottom"/>
            <w:gridSpan w:val="2"/>
          </w:tcPr>
          <w:p>
            <w:pPr>
              <w:jc w:val="right"/>
              <w:ind w:right="60"/>
              <w:spacing w:after="0" w:line="183" w:lineRule="exact"/>
              <w:rPr>
                <w:sz w:val="20"/>
                <w:szCs w:val="20"/>
                <w:color w:val="auto"/>
              </w:rPr>
            </w:pPr>
            <w:r>
              <w:rPr>
                <w:rFonts w:ascii="Arial" w:cs="Arial" w:eastAsia="Arial" w:hAnsi="Arial"/>
                <w:sz w:val="16"/>
                <w:szCs w:val="16"/>
                <w:b w:val="1"/>
                <w:bCs w:val="1"/>
                <w:color w:val="auto"/>
              </w:rPr>
              <w:t>(639,043)</w:t>
            </w:r>
          </w:p>
        </w:tc>
        <w:tc>
          <w:tcPr>
            <w:tcW w:w="1180" w:type="dxa"/>
            <w:vAlign w:val="bottom"/>
            <w:gridSpan w:val="2"/>
          </w:tcPr>
          <w:p>
            <w:pPr>
              <w:jc w:val="right"/>
              <w:ind w:right="60"/>
              <w:spacing w:after="0" w:line="183" w:lineRule="exact"/>
              <w:rPr>
                <w:sz w:val="20"/>
                <w:szCs w:val="20"/>
                <w:color w:val="auto"/>
              </w:rPr>
            </w:pPr>
            <w:r>
              <w:rPr>
                <w:rFonts w:ascii="Arial" w:cs="Arial" w:eastAsia="Arial" w:hAnsi="Arial"/>
                <w:sz w:val="16"/>
                <w:szCs w:val="16"/>
                <w:b w:val="1"/>
                <w:bCs w:val="1"/>
                <w:color w:val="auto"/>
              </w:rPr>
              <w:t>(43,564)</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-136525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maturities of the Company’s lease liabilities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187960</wp:posOffset>
            </wp:positionV>
            <wp:extent cx="68580" cy="1454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76" w:lineRule="exact"/>
        <w:rPr>
          <w:sz w:val="20"/>
          <w:szCs w:val="20"/>
          <w:color w:val="auto"/>
        </w:rPr>
      </w:pPr>
    </w:p>
    <w:tbl>
      <w:tblPr>
        <w:tblLayout w:type="fixed"/>
        <w:tblInd w:w="2320" w:type="dxa"/>
        <w:tblCellMar>
          <w:top w:w="0" w:type="dxa"/>
          <w:left w:w="0" w:type="dxa"/>
          <w:bottom w:w="0" w:type="dxa"/>
          <w:right w:w="0" w:type="dxa"/>
        </w:tblCellMar>
      </w:tblPr>
      <w:tr>
        <w:trPr>
          <w:trHeight w:val="175"/>
        </w:trPr>
        <w:tc>
          <w:tcPr>
            <w:tcW w:w="4700" w:type="dxa"/>
            <w:vAlign w:val="bottom"/>
          </w:tcPr>
          <w:p>
            <w:pPr>
              <w:spacing w:after="0" w:line="175" w:lineRule="exact"/>
              <w:rPr>
                <w:sz w:val="20"/>
                <w:szCs w:val="20"/>
                <w:color w:val="auto"/>
              </w:rPr>
            </w:pPr>
            <w:r>
              <w:rPr>
                <w:rFonts w:ascii="Arial" w:cs="Arial" w:eastAsia="Arial" w:hAnsi="Arial"/>
                <w:sz w:val="16"/>
                <w:szCs w:val="16"/>
                <w:b w:val="1"/>
                <w:bCs w:val="1"/>
                <w:color w:val="auto"/>
              </w:rPr>
              <w:t>Years ending December 31,</w:t>
            </w:r>
          </w:p>
        </w:tc>
        <w:tc>
          <w:tcPr>
            <w:tcW w:w="184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r>
      <w:tr>
        <w:trPr>
          <w:trHeight w:val="183"/>
        </w:trPr>
        <w:tc>
          <w:tcPr>
            <w:tcW w:w="470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Less than 1 year</w:t>
            </w:r>
          </w:p>
        </w:tc>
        <w:tc>
          <w:tcPr>
            <w:tcW w:w="184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354,902</w:t>
            </w:r>
          </w:p>
        </w:tc>
        <w:tc>
          <w:tcPr>
            <w:tcW w:w="80" w:type="dxa"/>
            <w:vAlign w:val="bottom"/>
            <w:shd w:val="clear" w:color="auto" w:fill="CFF0FF"/>
          </w:tcPr>
          <w:p>
            <w:pPr>
              <w:spacing w:after="0"/>
              <w:rPr>
                <w:sz w:val="15"/>
                <w:szCs w:val="15"/>
                <w:color w:val="auto"/>
              </w:rPr>
            </w:pPr>
          </w:p>
        </w:tc>
      </w:tr>
      <w:tr>
        <w:trPr>
          <w:trHeight w:val="189"/>
        </w:trPr>
        <w:tc>
          <w:tcPr>
            <w:tcW w:w="4700" w:type="dxa"/>
            <w:vAlign w:val="bottom"/>
          </w:tcPr>
          <w:p>
            <w:pPr>
              <w:jc w:val="right"/>
              <w:spacing w:after="0"/>
              <w:rPr>
                <w:sz w:val="20"/>
                <w:szCs w:val="20"/>
                <w:color w:val="auto"/>
              </w:rPr>
            </w:pPr>
            <w:r>
              <w:rPr>
                <w:rFonts w:ascii="Arial" w:cs="Arial" w:eastAsia="Arial" w:hAnsi="Arial"/>
                <w:sz w:val="16"/>
                <w:szCs w:val="16"/>
                <w:color w:val="auto"/>
              </w:rPr>
              <w:t>1-5 Years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1,006,729</w:t>
            </w:r>
          </w:p>
        </w:tc>
        <w:tc>
          <w:tcPr>
            <w:tcW w:w="80" w:type="dxa"/>
            <w:vAlign w:val="bottom"/>
          </w:tcPr>
          <w:p>
            <w:pPr>
              <w:spacing w:after="0"/>
              <w:rPr>
                <w:sz w:val="16"/>
                <w:szCs w:val="16"/>
                <w:color w:val="auto"/>
              </w:rPr>
            </w:pPr>
          </w:p>
        </w:tc>
      </w:tr>
      <w:tr>
        <w:trPr>
          <w:trHeight w:val="183"/>
        </w:trPr>
        <w:tc>
          <w:tcPr>
            <w:tcW w:w="4700" w:type="dxa"/>
            <w:vAlign w:val="bottom"/>
            <w:shd w:val="clear" w:color="auto" w:fill="CFF0FF"/>
          </w:tcPr>
          <w:p>
            <w:pPr>
              <w:spacing w:after="0" w:line="183" w:lineRule="exact"/>
              <w:rPr>
                <w:sz w:val="20"/>
                <w:szCs w:val="20"/>
                <w:color w:val="auto"/>
              </w:rPr>
            </w:pPr>
            <w:r>
              <w:rPr>
                <w:rFonts w:ascii="Arial" w:cs="Arial" w:eastAsia="Arial" w:hAnsi="Arial"/>
                <w:sz w:val="16"/>
                <w:szCs w:val="16"/>
                <w:color w:val="auto"/>
              </w:rPr>
              <w:t>Total lease payments</w:t>
            </w:r>
          </w:p>
        </w:tc>
        <w:tc>
          <w:tcPr>
            <w:tcW w:w="184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1,361,631</w:t>
            </w:r>
          </w:p>
        </w:tc>
        <w:tc>
          <w:tcPr>
            <w:tcW w:w="80" w:type="dxa"/>
            <w:vAlign w:val="bottom"/>
            <w:shd w:val="clear" w:color="auto" w:fill="CFF0FF"/>
          </w:tcPr>
          <w:p>
            <w:pPr>
              <w:spacing w:after="0"/>
              <w:rPr>
                <w:sz w:val="15"/>
                <w:szCs w:val="15"/>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Less: imputed interest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500,161</w:t>
            </w:r>
          </w:p>
        </w:tc>
        <w:tc>
          <w:tcPr>
            <w:tcW w:w="80" w:type="dxa"/>
            <w:vAlign w:val="bottom"/>
          </w:tcPr>
          <w:p>
            <w:pPr>
              <w:spacing w:after="0"/>
              <w:rPr>
                <w:sz w:val="16"/>
                <w:szCs w:val="16"/>
                <w:color w:val="auto"/>
              </w:rPr>
            </w:pPr>
          </w:p>
        </w:tc>
      </w:tr>
      <w:tr>
        <w:trPr>
          <w:trHeight w:val="183"/>
        </w:trPr>
        <w:tc>
          <w:tcPr>
            <w:tcW w:w="4700" w:type="dxa"/>
            <w:vAlign w:val="bottom"/>
            <w:shd w:val="clear" w:color="auto" w:fill="CFF0FF"/>
          </w:tcPr>
          <w:p>
            <w:pPr>
              <w:spacing w:after="0" w:line="183" w:lineRule="exact"/>
              <w:rPr>
                <w:sz w:val="20"/>
                <w:szCs w:val="20"/>
                <w:color w:val="auto"/>
              </w:rPr>
            </w:pPr>
            <w:r>
              <w:rPr>
                <w:rFonts w:ascii="Arial" w:cs="Arial" w:eastAsia="Arial" w:hAnsi="Arial"/>
                <w:sz w:val="16"/>
                <w:szCs w:val="16"/>
                <w:color w:val="auto"/>
              </w:rPr>
              <w:t>Total lease liabilities</w:t>
            </w:r>
          </w:p>
        </w:tc>
        <w:tc>
          <w:tcPr>
            <w:tcW w:w="184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861,470</w:t>
            </w:r>
          </w:p>
        </w:tc>
        <w:tc>
          <w:tcPr>
            <w:tcW w:w="80" w:type="dxa"/>
            <w:vAlign w:val="bottom"/>
            <w:shd w:val="clear" w:color="auto" w:fill="CFF0FF"/>
          </w:tcPr>
          <w:p>
            <w:pPr>
              <w:spacing w:after="0"/>
              <w:rPr>
                <w:sz w:val="15"/>
                <w:szCs w:val="15"/>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Current lease liabilities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222,427</w:t>
            </w:r>
          </w:p>
        </w:tc>
        <w:tc>
          <w:tcPr>
            <w:tcW w:w="80" w:type="dxa"/>
            <w:vAlign w:val="bottom"/>
          </w:tcPr>
          <w:p>
            <w:pPr>
              <w:spacing w:after="0"/>
              <w:rPr>
                <w:sz w:val="16"/>
                <w:szCs w:val="16"/>
                <w:color w:val="auto"/>
              </w:rPr>
            </w:pPr>
          </w:p>
        </w:tc>
      </w:tr>
      <w:tr>
        <w:trPr>
          <w:trHeight w:val="222"/>
        </w:trPr>
        <w:tc>
          <w:tcPr>
            <w:tcW w:w="4700" w:type="dxa"/>
            <w:vAlign w:val="bottom"/>
            <w:tcBorders>
              <w:bottom w:val="single" w:sz="8" w:color="CFF0FF"/>
            </w:tcBorders>
            <w:shd w:val="clear" w:color="auto" w:fill="CFF0FF"/>
          </w:tcPr>
          <w:p>
            <w:pPr>
              <w:spacing w:after="0" w:line="169" w:lineRule="exact"/>
              <w:rPr>
                <w:sz w:val="20"/>
                <w:szCs w:val="20"/>
                <w:color w:val="auto"/>
              </w:rPr>
            </w:pPr>
            <w:r>
              <w:rPr>
                <w:rFonts w:ascii="Arial" w:cs="Arial" w:eastAsia="Arial" w:hAnsi="Arial"/>
                <w:sz w:val="16"/>
                <w:szCs w:val="16"/>
                <w:color w:val="auto"/>
              </w:rPr>
              <w:t>Long-term lease liabilities</w:t>
            </w:r>
          </w:p>
        </w:tc>
        <w:tc>
          <w:tcPr>
            <w:tcW w:w="1840" w:type="dxa"/>
            <w:vAlign w:val="bottom"/>
            <w:tcBorders>
              <w:bottom w:val="single" w:sz="8" w:color="auto"/>
            </w:tcBorders>
            <w:shd w:val="clear" w:color="auto" w:fill="CFF0FF"/>
          </w:tcPr>
          <w:p>
            <w:pPr>
              <w:jc w:val="right"/>
              <w:spacing w:after="0" w:line="169" w:lineRule="exact"/>
              <w:rPr>
                <w:sz w:val="20"/>
                <w:szCs w:val="20"/>
                <w:color w:val="auto"/>
              </w:rPr>
            </w:pPr>
            <w:r>
              <w:rPr>
                <w:rFonts w:ascii="Arial" w:cs="Arial" w:eastAsia="Arial" w:hAnsi="Arial"/>
                <w:sz w:val="16"/>
                <w:szCs w:val="16"/>
                <w:color w:val="auto"/>
              </w:rPr>
              <w:t>639,043</w:t>
            </w:r>
          </w:p>
        </w:tc>
        <w:tc>
          <w:tcPr>
            <w:tcW w:w="80" w:type="dxa"/>
            <w:vAlign w:val="bottom"/>
            <w:tcBorders>
              <w:bottom w:val="single" w:sz="8" w:color="CFF0FF"/>
            </w:tcBorders>
            <w:shd w:val="clear" w:color="auto" w:fill="CFF0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431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431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Office leases consists of (i) a lease that was entered into on December 1, 2022 with an expiration date of November 30, 2025 for offices in Leiden, the Netherlands. The lease has a lease term of three years, and (ii) a new lease agreement entered into on October 16, 2024 with an expiration date of December 31, 2029, for office space in Lexington, Cranberry One Suite 400, United States of America, or the U.S. The lease has a lease term of five years.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June 30, 2024 a lease related to office space in Lexington, Cranberry One Suite 300, expired.</w:t>
      </w:r>
    </w:p>
    <w:p>
      <w:pPr>
        <w:spacing w:after="0" w:line="26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average incremental borrowing rate applied to the lease liability related to the Leiden lease was 7.77% during the twelve months ended December 31, 2024 and 2023.</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average incremental borrowing rate applied to the lease liability related to the U.S. lease was 6.39% for the year ended December 31, 2024.</w:t>
      </w:r>
    </w:p>
    <w:p>
      <w:pPr>
        <w:spacing w:after="0" w:line="275"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 xml:space="preserve">Depreciation expense of €0.2 million, </w:t>
      </w:r>
      <w:r>
        <w:rPr>
          <w:rFonts w:ascii="Arial" w:cs="Arial" w:eastAsia="Arial" w:hAnsi="Arial"/>
          <w:sz w:val="16"/>
          <w:szCs w:val="16"/>
          <w:color w:val="252525"/>
        </w:rPr>
        <w:t>€0.2</w:t>
      </w:r>
      <w:r>
        <w:rPr>
          <w:rFonts w:ascii="Arial" w:cs="Arial" w:eastAsia="Arial" w:hAnsi="Arial"/>
          <w:sz w:val="16"/>
          <w:szCs w:val="16"/>
          <w:color w:val="auto"/>
        </w:rPr>
        <w:t xml:space="preserve"> million and </w:t>
      </w:r>
      <w:r>
        <w:rPr>
          <w:rFonts w:ascii="Arial" w:cs="Arial" w:eastAsia="Arial" w:hAnsi="Arial"/>
          <w:sz w:val="16"/>
          <w:szCs w:val="16"/>
          <w:color w:val="252525"/>
        </w:rPr>
        <w:t>€0.1 million</w:t>
      </w:r>
      <w:r>
        <w:rPr>
          <w:rFonts w:ascii="Arial" w:cs="Arial" w:eastAsia="Arial" w:hAnsi="Arial"/>
          <w:sz w:val="16"/>
          <w:szCs w:val="16"/>
          <w:color w:val="auto"/>
        </w:rPr>
        <w:t xml:space="preserve"> for the for the years ended December 31, 2024, 2023 and 2022, was incurred and is reflected in general and administrative expenses as determined by the underlying activities.</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252525"/>
        </w:rPr>
        <w:t xml:space="preserve">The total expense related to short-term and low-value leases in 2024 was €0.4 million, (2023: €0.2 </w:t>
      </w:r>
      <w:r>
        <w:rPr>
          <w:rFonts w:ascii="Arial" w:cs="Arial" w:eastAsia="Arial" w:hAnsi="Arial"/>
          <w:sz w:val="16"/>
          <w:szCs w:val="16"/>
          <w:color w:val="000000"/>
        </w:rPr>
        <w:t>million,</w:t>
      </w:r>
      <w:r>
        <w:rPr>
          <w:rFonts w:ascii="Arial" w:cs="Arial" w:eastAsia="Arial" w:hAnsi="Arial"/>
          <w:sz w:val="16"/>
          <w:szCs w:val="16"/>
          <w:color w:val="252525"/>
        </w:rPr>
        <w:t xml:space="preserve"> 2022: €0.3 </w:t>
      </w:r>
      <w:r>
        <w:rPr>
          <w:rFonts w:ascii="Arial" w:cs="Arial" w:eastAsia="Arial" w:hAnsi="Arial"/>
          <w:sz w:val="16"/>
          <w:szCs w:val="16"/>
          <w:color w:val="000000"/>
        </w:rPr>
        <w:t>million</w:t>
      </w:r>
      <w:r>
        <w:rPr>
          <w:rFonts w:ascii="Arial" w:cs="Arial" w:eastAsia="Arial" w:hAnsi="Arial"/>
          <w:sz w:val="16"/>
          <w:szCs w:val="16"/>
          <w:color w:val="252525"/>
        </w:rPr>
        <w:t>) and is included in facility, communication, and office expenses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years ended December 31, 2024, 2023 and 2022 were €0.2 million, €0.2 million and €0.1 million, respectively.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Receivables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b w:val="1"/>
          <w:bCs w:val="1"/>
          <w:color w:val="auto"/>
        </w:rPr>
        <w:t>119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ind w:left="800"/>
              <w:spacing w:after="0"/>
              <w:rPr>
                <w:sz w:val="20"/>
                <w:szCs w:val="20"/>
                <w:color w:val="auto"/>
              </w:rPr>
            </w:pPr>
            <w:r>
              <w:rPr>
                <w:rFonts w:ascii="Arial" w:cs="Arial" w:eastAsia="Arial" w:hAnsi="Arial"/>
                <w:sz w:val="16"/>
                <w:szCs w:val="16"/>
                <w:b w:val="1"/>
                <w:bCs w:val="1"/>
                <w:color w:val="auto"/>
                <w:w w:val="98"/>
              </w:rPr>
              <w:t>Exhibit 99.4</w:t>
            </w:r>
          </w:p>
        </w:tc>
        <w:tc>
          <w:tcPr>
            <w:tcW w:w="0" w:type="dxa"/>
            <w:vAlign w:val="bottom"/>
          </w:tcPr>
          <w:p>
            <w:pPr>
              <w:spacing w:after="0"/>
              <w:rPr>
                <w:sz w:val="1"/>
                <w:szCs w:val="1"/>
                <w:color w:val="auto"/>
              </w:rPr>
            </w:pPr>
          </w:p>
        </w:tc>
      </w:tr>
      <w:tr>
        <w:trPr>
          <w:trHeight w:val="224"/>
        </w:trPr>
        <w:tc>
          <w:tcPr>
            <w:tcW w:w="77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1840" w:type="dxa"/>
            <w:vAlign w:val="bottom"/>
            <w:gridSpan w:val="2"/>
          </w:tcPr>
          <w:p>
            <w:pPr>
              <w:jc w:val="center"/>
              <w:ind w:left="126"/>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770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Current tax receivable</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2,486,680</w:t>
            </w:r>
          </w:p>
        </w:tc>
        <w:tc>
          <w:tcPr>
            <w:tcW w:w="18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615,538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VAT receivables</w:t>
            </w:r>
          </w:p>
        </w:tc>
        <w:tc>
          <w:tcPr>
            <w:tcW w:w="1600" w:type="dxa"/>
            <w:vAlign w:val="bottom"/>
          </w:tcPr>
          <w:p>
            <w:pPr>
              <w:jc w:val="right"/>
              <w:spacing w:after="0"/>
              <w:rPr>
                <w:sz w:val="20"/>
                <w:szCs w:val="20"/>
                <w:color w:val="auto"/>
              </w:rPr>
            </w:pPr>
            <w:r>
              <w:rPr>
                <w:rFonts w:ascii="Arial" w:cs="Arial" w:eastAsia="Arial" w:hAnsi="Arial"/>
                <w:sz w:val="16"/>
                <w:szCs w:val="16"/>
                <w:color w:val="auto"/>
              </w:rPr>
              <w:t>457,834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423,486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2,944,514</w:t>
            </w:r>
          </w:p>
        </w:tc>
        <w:tc>
          <w:tcPr>
            <w:tcW w:w="24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1,039,024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b w:val="1"/>
                <w:bCs w:val="1"/>
                <w:color w:val="auto"/>
              </w:rPr>
              <w:t>11. Other current assets</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7700" w:type="dxa"/>
            <w:vAlign w:val="bottom"/>
            <w:vMerge w:val="continue"/>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2024</w:t>
            </w:r>
          </w:p>
        </w:tc>
        <w:tc>
          <w:tcPr>
            <w:tcW w:w="1840" w:type="dxa"/>
            <w:vAlign w:val="bottom"/>
            <w:gridSpan w:val="2"/>
            <w:vMerge w:val="restart"/>
          </w:tcPr>
          <w:p>
            <w:pPr>
              <w:jc w:val="center"/>
              <w:ind w:left="126"/>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70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70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Prepayments</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5,747,025</w:t>
            </w:r>
          </w:p>
        </w:tc>
        <w:tc>
          <w:tcPr>
            <w:tcW w:w="18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4,959,889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Other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620,815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5,747,025</w:t>
            </w:r>
          </w:p>
        </w:tc>
        <w:tc>
          <w:tcPr>
            <w:tcW w:w="24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5,580,704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774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prepaid research and development expenses and rent.</w:t>
      </w:r>
    </w:p>
    <w:p>
      <w:pPr>
        <w:spacing w:after="0" w:line="194" w:lineRule="exact"/>
        <w:rPr>
          <w:sz w:val="20"/>
          <w:szCs w:val="20"/>
          <w:color w:val="auto"/>
        </w:rPr>
      </w:pPr>
    </w:p>
    <w:p>
      <w:pPr>
        <w:jc w:val="both"/>
        <w:ind w:right="480"/>
        <w:spacing w:after="0" w:line="266" w:lineRule="auto"/>
        <w:rPr>
          <w:sz w:val="20"/>
          <w:szCs w:val="20"/>
          <w:color w:val="auto"/>
        </w:rPr>
      </w:pPr>
      <w:r>
        <w:rPr>
          <w:rFonts w:ascii="Arial" w:cs="Arial" w:eastAsia="Arial" w:hAnsi="Arial"/>
          <w:sz w:val="16"/>
          <w:szCs w:val="16"/>
          <w:color w:val="auto"/>
        </w:rPr>
        <w:t>Other assets per December 31, 2024 mainly consist of deferred transaction costs related to Group’s in-process equity financing (refer to note 13). The Company defers the transaction costs related to any in-process financing. Upon recognition of the equity instruments, the related transaction costs are deducted from share premium.</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Cash and cash equivalents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160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r>
      <w:tr>
        <w:trPr>
          <w:trHeight w:val="129"/>
        </w:trPr>
        <w:tc>
          <w:tcPr>
            <w:tcW w:w="7700" w:type="dxa"/>
            <w:vAlign w:val="bottom"/>
          </w:tcPr>
          <w:p>
            <w:pPr>
              <w:spacing w:after="0"/>
              <w:rPr>
                <w:sz w:val="11"/>
                <w:szCs w:val="11"/>
                <w:color w:val="auto"/>
              </w:rPr>
            </w:pP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r>
      <w:tr>
        <w:trPr>
          <w:trHeight w:val="183"/>
        </w:trPr>
        <w:tc>
          <w:tcPr>
            <w:tcW w:w="77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w:t>
            </w: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280,728,037</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391,231,637</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700" w:type="dxa"/>
            <w:vAlign w:val="bottom"/>
          </w:tcPr>
          <w:p>
            <w:pPr>
              <w:spacing w:after="0"/>
              <w:rPr>
                <w:sz w:val="15"/>
                <w:szCs w:val="15"/>
                <w:color w:val="auto"/>
              </w:rPr>
            </w:pPr>
          </w:p>
        </w:tc>
        <w:tc>
          <w:tcPr>
            <w:tcW w:w="16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280,728,037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391,231,637</w:t>
            </w: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Cash and cash equivalents consist of bank balances and are not subject to any restriction. Of the cash on hand, €0.1 million relates to guarantees.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w:t>
      </w:r>
    </w:p>
    <w:p>
      <w:pPr>
        <w:spacing w:after="0" w:line="11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On December 31, 2024, the Company’s authorized share capital amounted to € 14.1 million divided into 117,500,000 ordinary shares, each with a nominal value of (€0.12). (2023 and 2022: authorized share capital amounted to € 14.1 million divided into 58,750,000 ordinary shares and 58,750,000 preferred shares, each with a nominal value of (€0.12).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of December 31, 2024, the total number of issued and fully paid shares was 54,379,491 (2023: 52,290,212; 2022: 33,816,459).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issued share capital totaled €6.5 million (2023: €6.3 million; 2022: €4.1 million).</w:t>
      </w:r>
    </w:p>
    <w:p>
      <w:pPr>
        <w:spacing w:after="0" w:line="113"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SVB Securities LLC.</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During June, 2023, the Company entered into a subscription agreement with certain institutional investors relating to the offer and sale of 6,951,340 ordinary shares of the Company, par value €0.12 per share, in a private placement at a purchase price of $10.07 per Ordinary Share. The subscription agreement generated $70.0 million (€64.1 million).</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December 31, 2023, the Company has sold a total of 593,927 ordinary shares under the Sales Agreement generating total net proceeds of $9.8 million (€9.3 million), after deducting $0.3 million (€0.3 million), which was payable to Leerink Partners, LLC as commission in respect of such sales.</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Shares were sold in the Offering at the public offering price of $24.00 per share. The Pre-Funded Warrants were sold at a public offering price of $23.99 per Pre-Funded Warrant, which represents the per share public offering price for the common stock less the $0.01 per share exercise price for each such Pre-Funded Warrant. Each Pre-Funded Warrant is exercisable as of December 8, 2023 until fully exercised, subject to an ownership limitation relating to the Hart-Scott-Rodino Antitrust Improvements Act of 1976, as amended, as set forth in the form of Pre-Funded Warrant.</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b w:val="1"/>
          <w:bCs w:val="1"/>
          <w:color w:val="auto"/>
        </w:rPr>
        <w:t>120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shares</w:t>
      </w:r>
    </w:p>
    <w:p>
      <w:pPr>
        <w:spacing w:after="0" w:line="21" w:lineRule="exact"/>
        <w:rPr>
          <w:sz w:val="20"/>
          <w:szCs w:val="20"/>
          <w:color w:val="auto"/>
        </w:rPr>
      </w:pPr>
    </w:p>
    <w:p>
      <w:pPr>
        <w:jc w:val="both"/>
        <w:ind w:right="160"/>
        <w:spacing w:after="0" w:line="247"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tbl>
      <w:tblPr>
        <w:tblLayout w:type="fixed"/>
        <w:tblInd w:w="1700" w:type="dxa"/>
        <w:tblCellMar>
          <w:top w:w="0" w:type="dxa"/>
          <w:left w:w="0" w:type="dxa"/>
          <w:bottom w:w="0" w:type="dxa"/>
          <w:right w:w="0" w:type="dxa"/>
        </w:tblCellMar>
      </w:tblPr>
      <w:tr>
        <w:trPr>
          <w:trHeight w:val="159"/>
        </w:trPr>
        <w:tc>
          <w:tcPr>
            <w:tcW w:w="4680" w:type="dxa"/>
            <w:vAlign w:val="bottom"/>
          </w:tcPr>
          <w:p>
            <w:pPr>
              <w:spacing w:after="0"/>
              <w:rPr>
                <w:sz w:val="13"/>
                <w:szCs w:val="13"/>
                <w:color w:val="auto"/>
              </w:rPr>
            </w:pPr>
          </w:p>
        </w:tc>
        <w:tc>
          <w:tcPr>
            <w:tcW w:w="1540" w:type="dxa"/>
            <w:vAlign w:val="bottom"/>
            <w:tcBorders>
              <w:bottom w:val="single" w:sz="8" w:color="auto"/>
            </w:tcBorders>
          </w:tcPr>
          <w:p>
            <w:pPr>
              <w:jc w:val="right"/>
              <w:ind w:right="544"/>
              <w:spacing w:after="0" w:line="159"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400" w:type="dxa"/>
            <w:vAlign w:val="bottom"/>
            <w:tcBorders>
              <w:bottom w:val="single" w:sz="8" w:color="auto"/>
            </w:tcBorders>
          </w:tcPr>
          <w:p>
            <w:pPr>
              <w:jc w:val="right"/>
              <w:ind w:right="464"/>
              <w:spacing w:after="0" w:line="159"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56"/>
        </w:trPr>
        <w:tc>
          <w:tcPr>
            <w:tcW w:w="4680" w:type="dxa"/>
            <w:vAlign w:val="bottom"/>
          </w:tcPr>
          <w:p>
            <w:pPr>
              <w:spacing w:after="0"/>
              <w:rPr>
                <w:sz w:val="13"/>
                <w:szCs w:val="13"/>
                <w:color w:val="auto"/>
              </w:rPr>
            </w:pPr>
          </w:p>
        </w:tc>
        <w:tc>
          <w:tcPr>
            <w:tcW w:w="1540" w:type="dxa"/>
            <w:vAlign w:val="bottom"/>
          </w:tcPr>
          <w:p>
            <w:pPr>
              <w:jc w:val="right"/>
              <w:ind w:right="84"/>
              <w:spacing w:after="0" w:line="155" w:lineRule="exact"/>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3"/>
                <w:szCs w:val="13"/>
                <w:color w:val="auto"/>
              </w:rPr>
            </w:pPr>
          </w:p>
        </w:tc>
        <w:tc>
          <w:tcPr>
            <w:tcW w:w="14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3"/>
                <w:szCs w:val="13"/>
                <w:color w:val="auto"/>
              </w:rPr>
            </w:pPr>
          </w:p>
        </w:tc>
      </w:tr>
      <w:tr>
        <w:trPr>
          <w:trHeight w:val="18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Ordinary shares</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54,379,491</w:t>
            </w:r>
          </w:p>
        </w:tc>
        <w:tc>
          <w:tcPr>
            <w:tcW w:w="1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52,290,212</w:t>
            </w:r>
          </w:p>
        </w:tc>
      </w:tr>
      <w:tr>
        <w:trPr>
          <w:trHeight w:val="20"/>
        </w:trPr>
        <w:tc>
          <w:tcPr>
            <w:tcW w:w="468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46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54,379,491</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52,290,212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-144145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-144145</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 dividend was distributed in 2024, 2023 or 2022.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nature and purpose of each reserve within equity: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premium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amount subscribed for share capital in excess of nominal value.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reserves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Other reserves consist of share-based payments reserve, which is used to recognize the grant date fair value of options and RSUs issued to employees and consultants over the vesting period.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Trade and other payables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00" w:type="dxa"/>
            <w:vAlign w:val="bottom"/>
          </w:tcPr>
          <w:p>
            <w:pPr>
              <w:spacing w:after="0"/>
              <w:rPr>
                <w:sz w:val="13"/>
                <w:szCs w:val="13"/>
                <w:color w:val="auto"/>
              </w:rPr>
            </w:pPr>
          </w:p>
        </w:tc>
        <w:tc>
          <w:tcPr>
            <w:tcW w:w="1600" w:type="dxa"/>
            <w:vAlign w:val="bottom"/>
          </w:tcPr>
          <w:p>
            <w:pPr>
              <w:jc w:val="right"/>
              <w:ind w:right="588"/>
              <w:spacing w:after="0"/>
              <w:rPr>
                <w:sz w:val="20"/>
                <w:szCs w:val="20"/>
                <w:color w:val="auto"/>
              </w:rPr>
            </w:pPr>
            <w:r>
              <w:rPr>
                <w:rFonts w:ascii="Arial" w:cs="Arial" w:eastAsia="Arial" w:hAnsi="Arial"/>
                <w:sz w:val="13"/>
                <w:szCs w:val="13"/>
                <w:b w:val="1"/>
                <w:bCs w:val="1"/>
                <w:color w:val="auto"/>
              </w:rPr>
              <w:t>2024</w:t>
            </w:r>
          </w:p>
        </w:tc>
        <w:tc>
          <w:tcPr>
            <w:tcW w:w="1820" w:type="dxa"/>
            <w:vAlign w:val="bottom"/>
            <w:gridSpan w:val="2"/>
          </w:tcPr>
          <w:p>
            <w:pPr>
              <w:jc w:val="right"/>
              <w:ind w:right="60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r>
      <w:tr>
        <w:trPr>
          <w:trHeight w:val="128"/>
        </w:trPr>
        <w:tc>
          <w:tcPr>
            <w:tcW w:w="770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Trade payables</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4,562,900</w:t>
            </w:r>
          </w:p>
        </w:tc>
        <w:tc>
          <w:tcPr>
            <w:tcW w:w="18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2,909,725</w:t>
            </w:r>
          </w:p>
        </w:tc>
        <w:tc>
          <w:tcPr>
            <w:tcW w:w="120" w:type="dxa"/>
            <w:vAlign w:val="bottom"/>
            <w:shd w:val="clear" w:color="auto" w:fill="CFF0FC"/>
          </w:tcPr>
          <w:p>
            <w:pPr>
              <w:spacing w:after="0"/>
              <w:rPr>
                <w:sz w:val="15"/>
                <w:szCs w:val="15"/>
                <w:color w:val="auto"/>
              </w:rPr>
            </w:pPr>
          </w:p>
        </w:tc>
      </w:tr>
      <w:tr>
        <w:trPr>
          <w:trHeight w:val="183"/>
        </w:trPr>
        <w:tc>
          <w:tcPr>
            <w:tcW w:w="77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4,562,900</w:t>
            </w:r>
          </w:p>
        </w:tc>
        <w:tc>
          <w:tcPr>
            <w:tcW w:w="22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2,909,725</w:t>
            </w:r>
          </w:p>
        </w:tc>
        <w:tc>
          <w:tcPr>
            <w:tcW w:w="12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Financial assets and liabilities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Fair values of cash, receivables, and current liabilities approximate their carrying amounts due to the short-term maturities of these instruments.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Accrued liabilities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00" w:type="dxa"/>
            <w:vAlign w:val="bottom"/>
          </w:tcPr>
          <w:p>
            <w:pPr>
              <w:spacing w:after="0"/>
              <w:rPr>
                <w:sz w:val="13"/>
                <w:szCs w:val="13"/>
                <w:color w:val="auto"/>
              </w:rPr>
            </w:pPr>
          </w:p>
        </w:tc>
        <w:tc>
          <w:tcPr>
            <w:tcW w:w="16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6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r>
      <w:tr>
        <w:trPr>
          <w:trHeight w:val="128"/>
        </w:trPr>
        <w:tc>
          <w:tcPr>
            <w:tcW w:w="7700" w:type="dxa"/>
            <w:vAlign w:val="bottom"/>
          </w:tcPr>
          <w:p>
            <w:pPr>
              <w:spacing w:after="0"/>
              <w:rPr>
                <w:sz w:val="11"/>
                <w:szCs w:val="11"/>
                <w:color w:val="auto"/>
              </w:rPr>
            </w:pP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Consulting, professional and audit liability</w:t>
            </w:r>
          </w:p>
        </w:tc>
        <w:tc>
          <w:tcPr>
            <w:tcW w:w="18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729,162</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351,064</w:t>
            </w:r>
          </w:p>
        </w:tc>
        <w:tc>
          <w:tcPr>
            <w:tcW w:w="120" w:type="dxa"/>
            <w:vAlign w:val="bottom"/>
            <w:shd w:val="clear" w:color="auto" w:fill="CFF0FC"/>
          </w:tcPr>
          <w:p>
            <w:pPr>
              <w:spacing w:after="0"/>
              <w:rPr>
                <w:sz w:val="15"/>
                <w:szCs w:val="15"/>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Clinical accrued liabilities</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5,221,572</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1,832,590</w:t>
            </w: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Manufacturing accrued liabilities</w:t>
            </w: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1,767,291</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2,079,900</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Nonclinical accrued liabilities</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445,238</w:t>
            </w:r>
          </w:p>
        </w:tc>
        <w:tc>
          <w:tcPr>
            <w:tcW w:w="1600" w:type="dxa"/>
            <w:vAlign w:val="bottom"/>
          </w:tcPr>
          <w:p>
            <w:pPr>
              <w:jc w:val="right"/>
              <w:spacing w:after="0"/>
              <w:rPr>
                <w:sz w:val="20"/>
                <w:szCs w:val="20"/>
                <w:color w:val="auto"/>
              </w:rPr>
            </w:pPr>
            <w:r>
              <w:rPr>
                <w:rFonts w:ascii="Arial" w:cs="Arial" w:eastAsia="Arial" w:hAnsi="Arial"/>
                <w:sz w:val="16"/>
                <w:szCs w:val="16"/>
                <w:color w:val="auto"/>
              </w:rPr>
              <w:t>493,907</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Personnel related accruals</w:t>
            </w: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7,827,392</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5,892,087</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1,597,752</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417,962</w:t>
            </w:r>
          </w:p>
        </w:tc>
        <w:tc>
          <w:tcPr>
            <w:tcW w:w="120" w:type="dxa"/>
            <w:vAlign w:val="bottom"/>
          </w:tcPr>
          <w:p>
            <w:pPr>
              <w:spacing w:after="0"/>
              <w:rPr>
                <w:sz w:val="16"/>
                <w:szCs w:val="16"/>
                <w:color w:val="auto"/>
              </w:rPr>
            </w:pPr>
          </w:p>
        </w:tc>
      </w:tr>
      <w:tr>
        <w:trPr>
          <w:trHeight w:val="223"/>
        </w:trPr>
        <w:tc>
          <w:tcPr>
            <w:tcW w:w="770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17,588,407</w:t>
            </w:r>
          </w:p>
        </w:tc>
        <w:tc>
          <w:tcPr>
            <w:tcW w:w="2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11,067,510</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Financial risk management</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Group’s principal financial instruments consist of cash and cash equivalents and trade and other trade payables. The financial instruments represent the Group’s working capital to serve the Group’s day-to-day operations.</w:t>
      </w:r>
    </w:p>
    <w:p>
      <w:pPr>
        <w:spacing w:after="0" w:line="156"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The Group is exposed to market risk (including currency risk, interest rate risk and price risk), credit risk and liquidity risk. The Group’s management manages each risk as discussed below.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11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Company is exposed to foreign exchange risk arising from various currency exposures, primarily with respect to the U.S. Dollar and Swiss Franc. The Company received the proceeds from financings in U.S. dollars. The Company seeks to minimize exchange rate risk in</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121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cash positions by taking into considerations market conditions and keeping currencies in which it expects to incur the majority of its near future expenses and make related payments from those positions.</w:t>
      </w:r>
    </w:p>
    <w:p>
      <w:pPr>
        <w:spacing w:after="0" w:line="4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For the year ended December 31, 2024, the Group recognized a foreign exchange gain of €7.9 million.(2023: foreign exchange loss of €3.1 million; 2022: foreign exchange gain of €11.1 million). The foreign exchange gain was primarily related to the U.S. dollar cash holding of the Company's subsidiary and the associated strengthening of the U.S. dollar compared to euro during the year.</w:t>
      </w:r>
    </w:p>
    <w:p>
      <w:pPr>
        <w:spacing w:after="0" w:line="6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At December 31, 2024, 2023 and 2022, if the U.S. dollar had weakened / strengthened by 10% against the euro with all other variables held constant, the cash balance would have been €13.5 million, €18.8 million and €6.8 million higher / lower, respectively.</w:t>
      </w:r>
    </w:p>
    <w:p>
      <w:pPr>
        <w:spacing w:after="0" w:line="4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At December 31, 2024, 2023 and 2022, if the CHF had weakened / strengthened by 10% against the euro with all other variables held constant, the cash balance would have been €5.4 million, €7.1 million and €2.0 million higher / lower, respectively.</w:t>
      </w:r>
    </w:p>
    <w:p>
      <w:pPr>
        <w:spacing w:after="0" w:line="129"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Group keeps an amount of $139.8 million, €92.4 million and CHF50.6 million in its bank accounts as of December 31, 2024 (2023: $208.2 million, €131.8 million and CHF65.8 million).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risk</w:t>
      </w:r>
    </w:p>
    <w:p>
      <w:pPr>
        <w:spacing w:after="0" w:line="11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 The Group has €280.7 million of cash on the balance sheet at December 31, 2024. The Group is implementing its treasury strategy to monitor the impact of changes in interest rates.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risk for the components of the statements of financial position on December 31, 2024 and 2023 are the carrying amounts as illustrated in Note 12. There are no financial assets past due date or impaired.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1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Cash deposits are placed only with reputable financial institutions with a credit rating of not less than A-(Standard &amp; Poor’s). Credit risk is further limited by investing only in liquid instruments. As of December 31, 2024, cash consists of cash deposited with four financial institutions and account balances may exceed insured limits.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111"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Company has cash and cash equivalents of €280.7 million.</w:t>
      </w:r>
    </w:p>
    <w:p>
      <w:pPr>
        <w:spacing w:after="0" w:line="22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Based on the existing operating plan, anticipated working capital requirements and available capital sources, the Company believes that it can execute on strategy and realize liquidity planning and it is able to settle all expected liabilities for at least twelve months from the issuance date of these consolidated financial statements.</w:t>
      </w:r>
    </w:p>
    <w:p>
      <w:pPr>
        <w:spacing w:after="0" w:line="17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Company may need additional funding in the future, which could possibly not be available to the Group at all or not at acceptable or favorable terms. This could lead to a situation where the Group would have to delay, reduce, or eliminate some or all of its research and development programs for product candidates, product portfolio expansion or commercialization efforts, which could adversely affect the business prospects, or continuation of operations.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Group manages liquidity risks by holding appropriate reserves, taking timely action for future funding, as well as by monitoring forecasts and actual cash flows and reconciling the maturity profiles of financial assets and liabilities.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color w:val="auto"/>
        </w:rPr>
        <w:t>122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600"/>
              <w:spacing w:after="0"/>
              <w:rPr>
                <w:sz w:val="20"/>
                <w:szCs w:val="20"/>
                <w:color w:val="auto"/>
              </w:rPr>
            </w:pPr>
            <w:r>
              <w:rPr>
                <w:rFonts w:ascii="Arial" w:cs="Arial" w:eastAsia="Arial" w:hAnsi="Arial"/>
                <w:sz w:val="16"/>
                <w:szCs w:val="16"/>
                <w:b w:val="1"/>
                <w:bCs w:val="1"/>
                <w:color w:val="auto"/>
                <w:w w:val="98"/>
              </w:rPr>
              <w:t>Exhibit 99.4</w:t>
            </w:r>
          </w:p>
        </w:tc>
        <w:tc>
          <w:tcPr>
            <w:tcW w:w="0" w:type="dxa"/>
            <w:vAlign w:val="bottom"/>
          </w:tcPr>
          <w:p>
            <w:pPr>
              <w:spacing w:after="0"/>
              <w:rPr>
                <w:sz w:val="1"/>
                <w:szCs w:val="1"/>
                <w:color w:val="auto"/>
              </w:rPr>
            </w:pPr>
          </w:p>
        </w:tc>
      </w:tr>
      <w:tr>
        <w:trPr>
          <w:trHeight w:val="379"/>
        </w:trPr>
        <w:tc>
          <w:tcPr>
            <w:tcW w:w="9520" w:type="dxa"/>
            <w:vAlign w:val="bottom"/>
            <w:gridSpan w:val="5"/>
          </w:tcPr>
          <w:p>
            <w:pPr>
              <w:spacing w:after="0"/>
              <w:rPr>
                <w:sz w:val="20"/>
                <w:szCs w:val="20"/>
                <w:color w:val="auto"/>
              </w:rPr>
            </w:pPr>
            <w:r>
              <w:rPr>
                <w:rFonts w:ascii="Arial" w:cs="Arial" w:eastAsia="Arial" w:hAnsi="Arial"/>
                <w:sz w:val="16"/>
                <w:szCs w:val="16"/>
                <w:color w:val="auto"/>
              </w:rPr>
              <w:t>The below table summarizes the maturity profile of the Group’s accrued liabilities based on contractual undiscounted payments:</w:t>
            </w:r>
          </w:p>
        </w:tc>
        <w:tc>
          <w:tcPr>
            <w:tcW w:w="2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600" w:type="dxa"/>
            <w:vAlign w:val="bottom"/>
          </w:tcPr>
          <w:p>
            <w:pPr>
              <w:spacing w:after="0"/>
              <w:rPr>
                <w:sz w:val="9"/>
                <w:szCs w:val="9"/>
                <w:color w:val="auto"/>
              </w:rPr>
            </w:pPr>
          </w:p>
        </w:tc>
        <w:tc>
          <w:tcPr>
            <w:tcW w:w="1360" w:type="dxa"/>
            <w:vAlign w:val="bottom"/>
          </w:tcPr>
          <w:p>
            <w:pPr>
              <w:jc w:val="center"/>
              <w:spacing w:after="0" w:line="104" w:lineRule="exact"/>
              <w:rPr>
                <w:sz w:val="20"/>
                <w:szCs w:val="20"/>
                <w:color w:val="auto"/>
              </w:rPr>
            </w:pPr>
            <w:r>
              <w:rPr>
                <w:rFonts w:ascii="Arial" w:cs="Arial" w:eastAsia="Arial" w:hAnsi="Arial"/>
                <w:sz w:val="12"/>
                <w:szCs w:val="12"/>
                <w:b w:val="1"/>
                <w:bCs w:val="1"/>
                <w:color w:val="auto"/>
              </w:rPr>
              <w:t>Less than</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1 to 5 years</w:t>
            </w:r>
          </w:p>
        </w:tc>
        <w:tc>
          <w:tcPr>
            <w:tcW w:w="220" w:type="dxa"/>
            <w:vAlign w:val="bottom"/>
          </w:tcPr>
          <w:p>
            <w:pPr>
              <w:spacing w:after="0"/>
              <w:rPr>
                <w:sz w:val="9"/>
                <w:szCs w:val="9"/>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3"/>
        </w:trPr>
        <w:tc>
          <w:tcPr>
            <w:tcW w:w="660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2024</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00" w:type="dxa"/>
            <w:vAlign w:val="bottom"/>
            <w:vMerge w:val="continue"/>
          </w:tcPr>
          <w:p>
            <w:pPr>
              <w:spacing w:after="0"/>
              <w:rPr>
                <w:sz w:val="11"/>
                <w:szCs w:val="11"/>
                <w:color w:val="auto"/>
              </w:rPr>
            </w:pPr>
          </w:p>
        </w:tc>
        <w:tc>
          <w:tcPr>
            <w:tcW w:w="13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Trade and other payables</w:t>
            </w:r>
          </w:p>
        </w:tc>
        <w:tc>
          <w:tcPr>
            <w:tcW w:w="1360" w:type="dxa"/>
            <w:vAlign w:val="bottom"/>
            <w:shd w:val="clear" w:color="auto" w:fill="CFF4FC"/>
          </w:tcPr>
          <w:p>
            <w:pPr>
              <w:jc w:val="right"/>
              <w:spacing w:after="0" w:line="183" w:lineRule="exact"/>
              <w:rPr>
                <w:sz w:val="20"/>
                <w:szCs w:val="20"/>
                <w:color w:val="auto"/>
              </w:rPr>
            </w:pPr>
            <w:r>
              <w:rPr>
                <w:rFonts w:ascii="Arial" w:cs="Arial" w:eastAsia="Arial" w:hAnsi="Arial"/>
                <w:sz w:val="16"/>
                <w:szCs w:val="16"/>
                <w:color w:val="auto"/>
              </w:rPr>
              <w:t>4,562,900</w:t>
            </w:r>
          </w:p>
        </w:tc>
        <w:tc>
          <w:tcPr>
            <w:tcW w:w="100" w:type="dxa"/>
            <w:vAlign w:val="bottom"/>
            <w:shd w:val="clear" w:color="auto" w:fill="CFF4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4,562,900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Accrued liabilities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17,588,407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17,588,407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Lease Liabilities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354,902</w:t>
            </w: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1,006,729</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1,361,631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6600" w:type="dxa"/>
            <w:vAlign w:val="bottom"/>
          </w:tcPr>
          <w:p>
            <w:pPr>
              <w:spacing w:after="0"/>
              <w:rPr>
                <w:sz w:val="10"/>
                <w:szCs w:val="10"/>
                <w:color w:val="auto"/>
              </w:rPr>
            </w:pPr>
          </w:p>
        </w:tc>
        <w:tc>
          <w:tcPr>
            <w:tcW w:w="13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8"/>
              </w:rPr>
              <w:t>Less than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1 to 5 years</w:t>
            </w:r>
          </w:p>
        </w:tc>
        <w:tc>
          <w:tcPr>
            <w:tcW w:w="220" w:type="dxa"/>
            <w:vAlign w:val="bottom"/>
          </w:tcPr>
          <w:p>
            <w:pPr>
              <w:spacing w:after="0"/>
              <w:rPr>
                <w:sz w:val="10"/>
                <w:szCs w:val="10"/>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3"/>
        </w:trPr>
        <w:tc>
          <w:tcPr>
            <w:tcW w:w="660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2023</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00" w:type="dxa"/>
            <w:vAlign w:val="bottom"/>
            <w:vMerge w:val="continue"/>
          </w:tcPr>
          <w:p>
            <w:pPr>
              <w:spacing w:after="0"/>
              <w:rPr>
                <w:sz w:val="11"/>
                <w:szCs w:val="11"/>
                <w:color w:val="auto"/>
              </w:rPr>
            </w:pPr>
          </w:p>
        </w:tc>
        <w:tc>
          <w:tcPr>
            <w:tcW w:w="13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Trade and other payables</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2,909,725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2,909,725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Accrued liabilities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11,067,510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11,067,510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Lease Liabilities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158,458</w:t>
            </w: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96,250</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254,708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7047230</wp:posOffset>
            </wp:positionH>
            <wp:positionV relativeFrom="paragraph">
              <wp:posOffset>-1280795</wp:posOffset>
            </wp:positionV>
            <wp:extent cx="102870" cy="2051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20510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payments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2016, the Group implemented an Equity Incentive Plan, or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main terms and conditions of the separate award agreements entered into under these Plans are provided below.</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Agreements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January 1, 2022, a total of 70,000 stock options were granted to members of the board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April 1, 2022, a total of 552,500 stock options were granted of which 465,000 were granted to members of key management and 87,500 were granted to members of the board, with an exercise price of $18.14 per share with a final exercise date of March 31, 2031 unless forfeited or exercised on an earlier date. 25% of the aggregate number of share options shall vest on March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June 1, 2022, a total of 120,000 stock options were granted to members of key management with an exercise price of $17.98 per share with a final exercise date of May 31, 2031 unless forfeited or exercised on an earlier date. 25% of the aggregate number of share options shall vest on May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On April 6, 2023, a total of 846,000 stock options were granted of which 571,000 were granted to members of key management and 296,000 were granted to members of the board, with an exercise price of $8.05 per share with a final exercise date of April 6, 2033 unless forfeited or exercised on an earlier date. 25% of the aggregate number of share options shall vest on April 6,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346"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On November 15, 2023, a total of 90,000 stock options were granted to a member of key management with an exercise price of $16.40 per share with a final exercise date of November 15, 2033 unless forfeited or exercised on an earlier date. 25% of the aggregate number of share options shall vest on November 15,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70"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On April 11, 2024, a total of 70,000 stock options were granted to members of the Board of Directors with an exercise price of $22.31 per share with a final exercise date of April 11, 2034,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On April 11, 2024, a total of 485,000 stock options were granted to members of key management with an exercise price of $22.31 per share with a final exercise date of April 11,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26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On April 15, 2024 a total of 230,000 stock options were granted to a member of key management with an exercise price of $20.15 per share with a final exercise date of April 15, 2034, unless forfeited or exercised on an earlier date. 25% of the aggregate number of shares subject to the option shall vest on the 12-month anniversary of the vesting commencement date, and thereafter 1/48th of the aggregate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6"/>
          <w:szCs w:val="16"/>
          <w:b w:val="1"/>
          <w:bCs w:val="1"/>
          <w:color w:val="auto"/>
        </w:rPr>
        <w:t>123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number of shares subject to the option shall vest on each subsequent monthly anniversary of the vesting commencement date, subject to the option holder’s continuous service through each applicable vesting date.</w:t>
      </w:r>
    </w:p>
    <w:p>
      <w:pPr>
        <w:spacing w:after="0" w:line="4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August 1, 2024 a total of 75,000 stock options were granted to a member of key management with an exercise price of $15.94 per share with a final exercise date of August 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369"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The share-based payment expenses are recognized over the service period in the consolidated statements of loss and comprehensive loss. The share-based payment expense recorded for the years ended December 31, 2024, 2023 and 2022 that related to Options, amounted to €10.5 million, 6.2 million and €7.6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exercise prices of, and movements in, stock options during the year:</w:t>
      </w:r>
    </w:p>
    <w:tbl>
      <w:tblPr>
        <w:tblLayout w:type="fixed"/>
        <w:tblInd w:w="580" w:type="dxa"/>
        <w:tblCellMar>
          <w:top w:w="0" w:type="dxa"/>
          <w:left w:w="0" w:type="dxa"/>
          <w:bottom w:w="0" w:type="dxa"/>
          <w:right w:w="0" w:type="dxa"/>
        </w:tblCellMar>
      </w:tblPr>
      <w:tr>
        <w:trPr>
          <w:trHeight w:val="136"/>
        </w:trPr>
        <w:tc>
          <w:tcPr>
            <w:tcW w:w="2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Weighted</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Weighted</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140"/>
              <w:spacing w:after="0" w:line="136"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40" w:type="dxa"/>
            <w:vAlign w:val="bottom"/>
            <w:vMerge w:val="restart"/>
          </w:tcPr>
          <w:p>
            <w:pPr>
              <w:jc w:val="right"/>
              <w:ind w:right="504"/>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exercise</w:t>
            </w:r>
          </w:p>
        </w:tc>
        <w:tc>
          <w:tcPr>
            <w:tcW w:w="220" w:type="dxa"/>
            <w:vAlign w:val="bottom"/>
            <w:vMerge w:val="restart"/>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2023</w:t>
            </w:r>
          </w:p>
        </w:tc>
        <w:tc>
          <w:tcPr>
            <w:tcW w:w="2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exercise</w:t>
            </w:r>
          </w:p>
        </w:tc>
        <w:tc>
          <w:tcPr>
            <w:tcW w:w="220" w:type="dxa"/>
            <w:vAlign w:val="bottom"/>
            <w:vMerge w:val="restart"/>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2022</w:t>
            </w:r>
          </w:p>
        </w:tc>
        <w:tc>
          <w:tcPr>
            <w:tcW w:w="22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exercise</w:t>
            </w: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price</w:t>
            </w: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price</w:t>
            </w: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price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96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9"/>
              </w:rPr>
              <w:t>Number stock options</w:t>
            </w:r>
          </w:p>
        </w:tc>
        <w:tc>
          <w:tcPr>
            <w:tcW w:w="220" w:type="dxa"/>
            <w:vAlign w:val="bottom"/>
            <w:vMerge w:val="restart"/>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stock</w:t>
            </w:r>
          </w:p>
        </w:tc>
        <w:tc>
          <w:tcPr>
            <w:tcW w:w="22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stock</w:t>
            </w:r>
          </w:p>
        </w:tc>
        <w:tc>
          <w:tcPr>
            <w:tcW w:w="22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2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2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January 1,</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3,830,652</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9.46</w:t>
            </w:r>
          </w:p>
        </w:tc>
        <w:tc>
          <w:tcPr>
            <w:tcW w:w="1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3,181,538</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9.69</w:t>
            </w:r>
          </w:p>
        </w:tc>
        <w:tc>
          <w:tcPr>
            <w:tcW w:w="1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2,470,295</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860,000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936,000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742,500</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(514,356)</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4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(241,825)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5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(31,257)</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(307,108)</w:t>
            </w:r>
          </w:p>
        </w:tc>
        <w:tc>
          <w:tcPr>
            <w:tcW w:w="780" w:type="dxa"/>
            <w:vAlign w:val="bottom"/>
          </w:tcPr>
          <w:p>
            <w:pPr>
              <w:jc w:val="right"/>
              <w:spacing w:after="0"/>
              <w:rPr>
                <w:sz w:val="20"/>
                <w:szCs w:val="20"/>
                <w:color w:val="auto"/>
              </w:rPr>
            </w:pPr>
            <w:r>
              <w:rPr>
                <w:rFonts w:ascii="Arial" w:cs="Arial" w:eastAsia="Arial" w:hAnsi="Arial"/>
                <w:sz w:val="16"/>
                <w:szCs w:val="16"/>
                <w:color w:val="auto"/>
              </w:rPr>
              <w:t>14.79</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(45,061)</w:t>
            </w:r>
          </w:p>
        </w:tc>
        <w:tc>
          <w:tcPr>
            <w:tcW w:w="780" w:type="dxa"/>
            <w:vAlign w:val="bottom"/>
          </w:tcPr>
          <w:p>
            <w:pPr>
              <w:jc w:val="right"/>
              <w:spacing w:after="0"/>
              <w:rPr>
                <w:sz w:val="20"/>
                <w:szCs w:val="20"/>
                <w:color w:val="auto"/>
              </w:rPr>
            </w:pPr>
            <w:r>
              <w:rPr>
                <w:rFonts w:ascii="Arial" w:cs="Arial" w:eastAsia="Arial" w:hAnsi="Arial"/>
                <w:sz w:val="16"/>
                <w:szCs w:val="16"/>
                <w:color w:val="auto"/>
              </w:rPr>
              <w:t>8.90</w:t>
            </w:r>
          </w:p>
        </w:tc>
        <w:tc>
          <w:tcPr>
            <w:tcW w:w="22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Outstanding December 31,</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3,869,188</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3,830,652</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3,181,538</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Out of the total outstanding stock options at December 31, 2024, 2,416,042 stock options were exercisable (2023: 1,919,721, 2022: 1,585,404). The options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at December 31, 2024 had an exercise price in the range of €0.01 to €23.10 (2023: €0.01 to €16.88; 2022: €0.01 to €16.78) and a weighted-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average remaining contractual life of 6.1 years (2023: 6.4 years, 2022: 7.5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total of 514,356 share options were exercised during the period ended December 31, 2024, (2023: 241,825; 2022: 31,257) and had a weighted-average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 price of €19.34 (2023: €20.08; 2022: €11.74) at the date of exercise.</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Award Agreements</w:t>
      </w: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In 2022 the Company granted a total of 681,588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2022 amounted to €11.84.</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In 2023 the Company granted a total of 528,004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2023 amounted to €9.52.</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In 2024 the Company granted a total of 455,799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2024 amounted to €19.49.</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In 2024 the Company granted 249,650 RSUs to existing and newly joining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 The weighted-average grant date fair value of the RSUs granted in 2024 amounted to €19.75.</w:t>
      </w:r>
    </w:p>
    <w:p>
      <w:pPr>
        <w:spacing w:after="0" w:line="7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2024 the Company granted 23,335 RSUs to members of the Board of Directors. The RSUs shall vest on the 12-month anniversary of the vesting start date. The weighted-average grant date fair value of the RSUs granted in 2024 amounted to €20.80.</w:t>
      </w:r>
    </w:p>
    <w:p>
      <w:pPr>
        <w:spacing w:after="0" w:line="15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share-based payment expense recorded for the years ended December 31, 2024, 2023 and 2022 that related to RSUs, amounted to €5.7 million, €4.5 million and €3.8 million,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b w:val="1"/>
          <w:bCs w:val="1"/>
          <w:color w:val="auto"/>
        </w:rPr>
        <w:t>124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99.4</w:t>
            </w:r>
          </w:p>
        </w:tc>
      </w:tr>
      <w:tr>
        <w:trPr>
          <w:trHeight w:val="397"/>
        </w:trPr>
        <w:tc>
          <w:tcPr>
            <w:tcW w:w="7060" w:type="dxa"/>
            <w:vAlign w:val="bottom"/>
            <w:gridSpan w:val="4"/>
          </w:tcPr>
          <w:p>
            <w:pPr>
              <w:spacing w:after="0"/>
              <w:rPr>
                <w:sz w:val="20"/>
                <w:szCs w:val="20"/>
                <w:color w:val="auto"/>
              </w:rPr>
            </w:pPr>
            <w:r>
              <w:rPr>
                <w:rFonts w:ascii="Arial" w:cs="Arial" w:eastAsia="Arial" w:hAnsi="Arial"/>
                <w:sz w:val="16"/>
                <w:szCs w:val="16"/>
                <w:color w:val="auto"/>
              </w:rPr>
              <w:t>The following table illustrates the number of and movements in unvested RSUs during the year:</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9"/>
        </w:trPr>
        <w:tc>
          <w:tcPr>
            <w:tcW w:w="4080" w:type="dxa"/>
            <w:vAlign w:val="bottom"/>
          </w:tcPr>
          <w:p>
            <w:pPr>
              <w:spacing w:after="0"/>
              <w:rPr>
                <w:sz w:val="24"/>
                <w:szCs w:val="24"/>
                <w:color w:val="auto"/>
              </w:rPr>
            </w:pPr>
          </w:p>
        </w:tc>
        <w:tc>
          <w:tcPr>
            <w:tcW w:w="2220" w:type="dxa"/>
            <w:vAlign w:val="bottom"/>
            <w:tcBorders>
              <w:bottom w:val="single" w:sz="8" w:color="auto"/>
            </w:tcBorders>
          </w:tcPr>
          <w:p>
            <w:pPr>
              <w:jc w:val="right"/>
              <w:ind w:right="904"/>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8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4"/>
                <w:szCs w:val="24"/>
                <w:color w:val="auto"/>
              </w:rPr>
            </w:pPr>
          </w:p>
        </w:tc>
        <w:tc>
          <w:tcPr>
            <w:tcW w:w="2020" w:type="dxa"/>
            <w:vAlign w:val="bottom"/>
            <w:tcBorders>
              <w:bottom w:val="single" w:sz="8" w:color="auto"/>
            </w:tcBorders>
          </w:tcPr>
          <w:p>
            <w:pPr>
              <w:jc w:val="right"/>
              <w:ind w:right="80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4"/>
                <w:szCs w:val="24"/>
                <w:color w:val="auto"/>
              </w:rPr>
            </w:pPr>
          </w:p>
        </w:tc>
      </w:tr>
      <w:tr>
        <w:trPr>
          <w:trHeight w:val="128"/>
        </w:trPr>
        <w:tc>
          <w:tcPr>
            <w:tcW w:w="4080" w:type="dxa"/>
            <w:vAlign w:val="bottom"/>
          </w:tcPr>
          <w:p>
            <w:pPr>
              <w:spacing w:after="0"/>
              <w:rPr>
                <w:sz w:val="11"/>
                <w:szCs w:val="11"/>
                <w:color w:val="auto"/>
              </w:rPr>
            </w:pPr>
          </w:p>
        </w:tc>
        <w:tc>
          <w:tcPr>
            <w:tcW w:w="2220" w:type="dxa"/>
            <w:vAlign w:val="bottom"/>
            <w:tcBorders>
              <w:bottom w:val="single" w:sz="8" w:color="auto"/>
            </w:tcBorders>
          </w:tcPr>
          <w:p>
            <w:pPr>
              <w:jc w:val="right"/>
              <w:ind w:right="624"/>
              <w:spacing w:after="0" w:line="129" w:lineRule="exact"/>
              <w:rPr>
                <w:sz w:val="20"/>
                <w:szCs w:val="20"/>
                <w:color w:val="auto"/>
              </w:rPr>
            </w:pPr>
            <w:r>
              <w:rPr>
                <w:rFonts w:ascii="Arial" w:cs="Arial" w:eastAsia="Arial" w:hAnsi="Arial"/>
                <w:sz w:val="13"/>
                <w:szCs w:val="13"/>
                <w:b w:val="1"/>
                <w:bCs w:val="1"/>
                <w:color w:val="auto"/>
              </w:rPr>
              <w:t>Number RSUs</w:t>
            </w:r>
          </w:p>
        </w:tc>
        <w:tc>
          <w:tcPr>
            <w:tcW w:w="1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jc w:val="right"/>
              <w:ind w:right="804"/>
              <w:spacing w:after="0" w:line="129" w:lineRule="exact"/>
              <w:rPr>
                <w:sz w:val="20"/>
                <w:szCs w:val="20"/>
                <w:color w:val="auto"/>
              </w:rPr>
            </w:pPr>
            <w:r>
              <w:rPr>
                <w:rFonts w:ascii="Arial" w:cs="Arial" w:eastAsia="Arial" w:hAnsi="Arial"/>
                <w:sz w:val="13"/>
                <w:szCs w:val="13"/>
                <w:b w:val="1"/>
                <w:bCs w:val="1"/>
                <w:color w:val="auto"/>
              </w:rPr>
              <w:t>Number RSUs</w:t>
            </w:r>
          </w:p>
        </w:tc>
        <w:tc>
          <w:tcPr>
            <w:tcW w:w="100" w:type="dxa"/>
            <w:vAlign w:val="bottom"/>
          </w:tcPr>
          <w:p>
            <w:pPr>
              <w:spacing w:after="0"/>
              <w:rPr>
                <w:sz w:val="11"/>
                <w:szCs w:val="11"/>
                <w:color w:val="auto"/>
              </w:rPr>
            </w:pPr>
          </w:p>
        </w:tc>
        <w:tc>
          <w:tcPr>
            <w:tcW w:w="2020" w:type="dxa"/>
            <w:vAlign w:val="bottom"/>
            <w:tcBorders>
              <w:bottom w:val="single" w:sz="8" w:color="auto"/>
            </w:tcBorders>
          </w:tcPr>
          <w:p>
            <w:pPr>
              <w:jc w:val="right"/>
              <w:ind w:right="524"/>
              <w:spacing w:after="0" w:line="129" w:lineRule="exact"/>
              <w:rPr>
                <w:sz w:val="20"/>
                <w:szCs w:val="20"/>
                <w:color w:val="auto"/>
              </w:rPr>
            </w:pPr>
            <w:r>
              <w:rPr>
                <w:rFonts w:ascii="Arial" w:cs="Arial" w:eastAsia="Arial" w:hAnsi="Arial"/>
                <w:sz w:val="13"/>
                <w:szCs w:val="13"/>
                <w:b w:val="1"/>
                <w:bCs w:val="1"/>
                <w:color w:val="auto"/>
              </w:rPr>
              <w:t>Number RSUs</w:t>
            </w:r>
          </w:p>
        </w:tc>
        <w:tc>
          <w:tcPr>
            <w:tcW w:w="100" w:type="dxa"/>
            <w:vAlign w:val="bottom"/>
          </w:tcPr>
          <w:p>
            <w:pPr>
              <w:spacing w:after="0"/>
              <w:rPr>
                <w:sz w:val="11"/>
                <w:szCs w:val="11"/>
                <w:color w:val="auto"/>
              </w:rPr>
            </w:pPr>
          </w:p>
        </w:tc>
      </w:tr>
      <w:tr>
        <w:trPr>
          <w:trHeight w:val="183"/>
        </w:trPr>
        <w:tc>
          <w:tcPr>
            <w:tcW w:w="4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January 1,</w:t>
            </w:r>
          </w:p>
        </w:tc>
        <w:tc>
          <w:tcPr>
            <w:tcW w:w="2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1,033,814</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795,694</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259,714</w:t>
            </w:r>
          </w:p>
        </w:tc>
        <w:tc>
          <w:tcPr>
            <w:tcW w:w="100" w:type="dxa"/>
            <w:vAlign w:val="bottom"/>
            <w:shd w:val="clear" w:color="auto" w:fill="CFF0FC"/>
          </w:tcPr>
          <w:p>
            <w:pPr>
              <w:spacing w:after="0"/>
              <w:rPr>
                <w:sz w:val="15"/>
                <w:szCs w:val="15"/>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Granted</w:t>
            </w:r>
          </w:p>
        </w:tc>
        <w:tc>
          <w:tcPr>
            <w:tcW w:w="2220" w:type="dxa"/>
            <w:vAlign w:val="bottom"/>
          </w:tcPr>
          <w:p>
            <w:pPr>
              <w:jc w:val="right"/>
              <w:spacing w:after="0"/>
              <w:rPr>
                <w:sz w:val="20"/>
                <w:szCs w:val="20"/>
                <w:color w:val="auto"/>
              </w:rPr>
            </w:pPr>
            <w:r>
              <w:rPr>
                <w:rFonts w:ascii="Arial" w:cs="Arial" w:eastAsia="Arial" w:hAnsi="Arial"/>
                <w:sz w:val="16"/>
                <w:szCs w:val="16"/>
                <w:color w:val="auto"/>
              </w:rPr>
              <w:t>728,784</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528,004</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681,588</w:t>
            </w:r>
          </w:p>
        </w:tc>
        <w:tc>
          <w:tcPr>
            <w:tcW w:w="100" w:type="dxa"/>
            <w:vAlign w:val="bottom"/>
          </w:tcPr>
          <w:p>
            <w:pPr>
              <w:spacing w:after="0"/>
              <w:rPr>
                <w:sz w:val="16"/>
                <w:szCs w:val="16"/>
                <w:color w:val="auto"/>
              </w:rPr>
            </w:pPr>
          </w:p>
        </w:tc>
      </w:tr>
      <w:tr>
        <w:trPr>
          <w:trHeight w:val="18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Vested and settled</w:t>
            </w:r>
          </w:p>
        </w:tc>
        <w:tc>
          <w:tcPr>
            <w:tcW w:w="2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(294,238)</w:t>
            </w:r>
          </w:p>
        </w:tc>
        <w:tc>
          <w:tcPr>
            <w:tcW w:w="640" w:type="dxa"/>
            <w:vAlign w:val="bottom"/>
            <w:shd w:val="clear" w:color="auto" w:fill="CFF0FC"/>
          </w:tcPr>
          <w:p>
            <w:pPr>
              <w:spacing w:after="0"/>
              <w:rPr>
                <w:sz w:val="16"/>
                <w:szCs w:val="16"/>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(209,671)</w:t>
            </w:r>
          </w:p>
        </w:tc>
        <w:tc>
          <w:tcPr>
            <w:tcW w:w="2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(65,846)</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Forfeited</w:t>
            </w:r>
          </w:p>
        </w:tc>
        <w:tc>
          <w:tcPr>
            <w:tcW w:w="2340" w:type="dxa"/>
            <w:vAlign w:val="bottom"/>
            <w:gridSpan w:val="2"/>
          </w:tcPr>
          <w:p>
            <w:pPr>
              <w:jc w:val="right"/>
              <w:ind w:right="60"/>
              <w:spacing w:after="0"/>
              <w:rPr>
                <w:sz w:val="20"/>
                <w:szCs w:val="20"/>
                <w:color w:val="auto"/>
              </w:rPr>
            </w:pPr>
            <w:r>
              <w:rPr>
                <w:rFonts w:ascii="Arial" w:cs="Arial" w:eastAsia="Arial" w:hAnsi="Arial"/>
                <w:sz w:val="16"/>
                <w:szCs w:val="16"/>
                <w:color w:val="auto"/>
              </w:rPr>
              <w:t>(195,570)</w:t>
            </w:r>
          </w:p>
        </w:tc>
        <w:tc>
          <w:tcPr>
            <w:tcW w:w="640" w:type="dxa"/>
            <w:vAlign w:val="bottom"/>
          </w:tcPr>
          <w:p>
            <w:pPr>
              <w:spacing w:after="0"/>
              <w:rPr>
                <w:sz w:val="16"/>
                <w:szCs w:val="16"/>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6"/>
                <w:szCs w:val="16"/>
                <w:color w:val="auto"/>
              </w:rPr>
              <w:t>(80,213)</w:t>
            </w:r>
          </w:p>
        </w:tc>
        <w:tc>
          <w:tcPr>
            <w:tcW w:w="2120" w:type="dxa"/>
            <w:vAlign w:val="bottom"/>
            <w:gridSpan w:val="2"/>
          </w:tcPr>
          <w:p>
            <w:pPr>
              <w:jc w:val="right"/>
              <w:ind w:right="60"/>
              <w:spacing w:after="0"/>
              <w:rPr>
                <w:sz w:val="20"/>
                <w:szCs w:val="20"/>
                <w:color w:val="auto"/>
              </w:rPr>
            </w:pPr>
            <w:r>
              <w:rPr>
                <w:rFonts w:ascii="Arial" w:cs="Arial" w:eastAsia="Arial" w:hAnsi="Arial"/>
                <w:sz w:val="16"/>
                <w:szCs w:val="16"/>
                <w:color w:val="auto"/>
              </w:rPr>
              <w:t>(79,762)</w:t>
            </w:r>
          </w:p>
        </w:tc>
      </w:tr>
      <w:tr>
        <w:trPr>
          <w:trHeight w:val="223"/>
        </w:trPr>
        <w:tc>
          <w:tcPr>
            <w:tcW w:w="40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Outstanding December 31,</w:t>
            </w:r>
          </w:p>
        </w:tc>
        <w:tc>
          <w:tcPr>
            <w:tcW w:w="2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1,272,790</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1,033,814</w:t>
            </w:r>
          </w:p>
        </w:tc>
        <w:tc>
          <w:tcPr>
            <w:tcW w:w="10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795,694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77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Basic and diluted loss per share</w:t>
      </w:r>
    </w:p>
    <w:p>
      <w:pPr>
        <w:spacing w:after="0" w:line="11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as well as pre-funded warrants during the year.</w:t>
      </w:r>
    </w:p>
    <w:p>
      <w:pPr>
        <w:spacing w:after="0" w:line="15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6"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Unvested RSU's and outstanding options are not included in the calculation of diluted earnings per share because they are antidilutive in 2024, 2023 and 2022.</w:t>
      </w:r>
    </w:p>
    <w:p>
      <w:pPr>
        <w:spacing w:after="0" w:line="34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Basic and diluted loss per share</w:t>
      </w:r>
    </w:p>
    <w:p>
      <w:pPr>
        <w:spacing w:after="0" w:line="184"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30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Year Ended December 31,</w:t>
            </w:r>
          </w:p>
        </w:tc>
        <w:tc>
          <w:tcPr>
            <w:tcW w:w="1280" w:type="dxa"/>
            <w:vAlign w:val="bottom"/>
            <w:vMerge w:val="restart"/>
          </w:tcPr>
          <w:p>
            <w:pPr>
              <w:jc w:val="right"/>
              <w:ind w:right="446"/>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680" w:type="dxa"/>
            <w:vAlign w:val="bottom"/>
          </w:tcPr>
          <w:p>
            <w:pPr>
              <w:jc w:val="right"/>
              <w:ind w:right="628"/>
              <w:spacing w:after="0" w:line="135" w:lineRule="exact"/>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1"/>
                <w:szCs w:val="11"/>
                <w:color w:val="auto"/>
              </w:rPr>
            </w:pPr>
          </w:p>
        </w:tc>
        <w:tc>
          <w:tcPr>
            <w:tcW w:w="1260" w:type="dxa"/>
            <w:vAlign w:val="bottom"/>
          </w:tcPr>
          <w:p>
            <w:pPr>
              <w:jc w:val="right"/>
              <w:ind w:right="426"/>
              <w:spacing w:after="0" w:line="135" w:lineRule="exact"/>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18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(134,221,527)</w:t>
            </w:r>
          </w:p>
        </w:tc>
        <w:tc>
          <w:tcPr>
            <w:tcW w:w="14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(100,875,068)</w:t>
            </w:r>
          </w:p>
        </w:tc>
        <w:tc>
          <w:tcPr>
            <w:tcW w:w="14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(76,332,557)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Weighted average number of ordinary shares outstanding</w:t>
            </w:r>
          </w:p>
        </w:tc>
        <w:tc>
          <w:tcPr>
            <w:tcW w:w="1680" w:type="dxa"/>
            <w:vAlign w:val="bottom"/>
          </w:tcPr>
          <w:p>
            <w:pPr>
              <w:jc w:val="right"/>
              <w:spacing w:after="0"/>
              <w:rPr>
                <w:sz w:val="20"/>
                <w:szCs w:val="20"/>
                <w:color w:val="auto"/>
              </w:rPr>
            </w:pPr>
            <w:r>
              <w:rPr>
                <w:rFonts w:ascii="Arial" w:cs="Arial" w:eastAsia="Arial" w:hAnsi="Arial"/>
                <w:sz w:val="16"/>
                <w:szCs w:val="16"/>
                <w:color w:val="auto"/>
              </w:rPr>
              <w:t>54,020,549</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38,391,654</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33,585,976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share</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(2.48)</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(2.63)</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Related parties</w:t>
      </w:r>
    </w:p>
    <w:p>
      <w:pPr>
        <w:spacing w:after="0" w:line="11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Dr. Knolle, who served as Chief Scientific Officer and Chief Operating Officer since the Company's inception up to September 30, 2023, was a member of the board of Charité Research Organisation GmbH, or Charité CRO until February 28, 2022. The Company has entered into a service contract with Charité CRO according to which Charité CRO provides services supporting research for the Company. In fiscal years 2023 and 2022, payments to Charité CRO with respect to this service contract amounted to €0.5 million and €0.4 million,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management personnel compensation</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1440" w:type="dxa"/>
            <w:vAlign w:val="bottom"/>
          </w:tcPr>
          <w:p>
            <w:pPr>
              <w:jc w:val="right"/>
              <w:ind w:right="505"/>
              <w:spacing w:after="0"/>
              <w:rPr>
                <w:sz w:val="20"/>
                <w:szCs w:val="20"/>
                <w:color w:val="auto"/>
              </w:rPr>
            </w:pPr>
            <w:r>
              <w:rPr>
                <w:rFonts w:ascii="Arial" w:cs="Arial" w:eastAsia="Arial" w:hAnsi="Arial"/>
                <w:sz w:val="13"/>
                <w:szCs w:val="13"/>
                <w:b w:val="1"/>
                <w:bCs w:val="1"/>
                <w:color w:val="auto"/>
              </w:rPr>
              <w:t>2024</w:t>
            </w:r>
          </w:p>
        </w:tc>
        <w:tc>
          <w:tcPr>
            <w:tcW w:w="136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2023</w:t>
            </w:r>
          </w:p>
        </w:tc>
        <w:tc>
          <w:tcPr>
            <w:tcW w:w="1280" w:type="dxa"/>
            <w:vAlign w:val="bottom"/>
            <w:gridSpan w:val="2"/>
          </w:tcPr>
          <w:p>
            <w:pPr>
              <w:jc w:val="right"/>
              <w:ind w:right="328"/>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2"/>
                <w:szCs w:val="12"/>
                <w:color w:val="auto"/>
              </w:rPr>
            </w:pPr>
          </w:p>
        </w:tc>
      </w:tr>
      <w:tr>
        <w:trPr>
          <w:trHeight w:val="128"/>
        </w:trPr>
        <w:tc>
          <w:tcPr>
            <w:tcW w:w="4560" w:type="dxa"/>
            <w:vAlign w:val="bottom"/>
          </w:tcPr>
          <w:p>
            <w:pPr>
              <w:spacing w:after="0"/>
              <w:rPr>
                <w:sz w:val="11"/>
                <w:szCs w:val="11"/>
                <w:color w:val="auto"/>
              </w:rPr>
            </w:pPr>
          </w:p>
        </w:tc>
        <w:tc>
          <w:tcPr>
            <w:tcW w:w="14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r>
      <w:tr>
        <w:trPr>
          <w:trHeight w:val="183"/>
        </w:trPr>
        <w:tc>
          <w:tcPr>
            <w:tcW w:w="4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Short term employee benefits</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5,291,290</w:t>
            </w:r>
          </w:p>
        </w:tc>
        <w:tc>
          <w:tcPr>
            <w:tcW w:w="136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4,467,603</w:t>
            </w:r>
          </w:p>
        </w:tc>
        <w:tc>
          <w:tcPr>
            <w:tcW w:w="1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3,461,860</w:t>
            </w:r>
          </w:p>
        </w:tc>
        <w:tc>
          <w:tcPr>
            <w:tcW w:w="120" w:type="dxa"/>
            <w:vAlign w:val="bottom"/>
            <w:shd w:val="clear" w:color="auto" w:fill="CFF0FC"/>
          </w:tcPr>
          <w:p>
            <w:pPr>
              <w:spacing w:after="0"/>
              <w:rPr>
                <w:sz w:val="15"/>
                <w:szCs w:val="15"/>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6"/>
                <w:szCs w:val="16"/>
                <w:color w:val="auto"/>
              </w:rPr>
              <w:t>Post employee benefits</w:t>
            </w:r>
          </w:p>
        </w:tc>
        <w:tc>
          <w:tcPr>
            <w:tcW w:w="1440" w:type="dxa"/>
            <w:vAlign w:val="bottom"/>
          </w:tcPr>
          <w:p>
            <w:pPr>
              <w:jc w:val="right"/>
              <w:spacing w:after="0"/>
              <w:rPr>
                <w:sz w:val="20"/>
                <w:szCs w:val="20"/>
                <w:color w:val="auto"/>
              </w:rPr>
            </w:pPr>
            <w:r>
              <w:rPr>
                <w:rFonts w:ascii="Arial" w:cs="Arial" w:eastAsia="Arial" w:hAnsi="Arial"/>
                <w:sz w:val="16"/>
                <w:szCs w:val="16"/>
                <w:color w:val="auto"/>
              </w:rPr>
              <w:t>263,873</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189,996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148,678</w:t>
            </w:r>
          </w:p>
        </w:tc>
        <w:tc>
          <w:tcPr>
            <w:tcW w:w="120" w:type="dxa"/>
            <w:vAlign w:val="bottom"/>
          </w:tcPr>
          <w:p>
            <w:pPr>
              <w:spacing w:after="0"/>
              <w:rPr>
                <w:sz w:val="16"/>
                <w:szCs w:val="16"/>
                <w:color w:val="auto"/>
              </w:rPr>
            </w:pPr>
          </w:p>
        </w:tc>
      </w:tr>
      <w:tr>
        <w:trPr>
          <w:trHeight w:val="18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payments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9,012,222</w:t>
            </w:r>
          </w:p>
        </w:tc>
        <w:tc>
          <w:tcPr>
            <w:tcW w:w="12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6,252,492</w:t>
            </w:r>
          </w:p>
        </w:tc>
        <w:tc>
          <w:tcPr>
            <w:tcW w:w="2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6,524,726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560" w:type="dxa"/>
            <w:vAlign w:val="bottom"/>
          </w:tcPr>
          <w:p>
            <w:pPr>
              <w:ind w:left="20"/>
              <w:spacing w:after="0" w:line="183" w:lineRule="exact"/>
              <w:rPr>
                <w:sz w:val="20"/>
                <w:szCs w:val="20"/>
                <w:color w:val="auto"/>
              </w:rPr>
            </w:pPr>
            <w:r>
              <w:rPr>
                <w:rFonts w:ascii="Arial" w:cs="Arial" w:eastAsia="Arial" w:hAnsi="Arial"/>
                <w:sz w:val="16"/>
                <w:szCs w:val="16"/>
                <w:color w:val="auto"/>
              </w:rPr>
              <w:t>Total</w:t>
            </w: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14,567,385</w:t>
            </w:r>
          </w:p>
        </w:tc>
        <w:tc>
          <w:tcPr>
            <w:tcW w:w="13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10,910,091</w:t>
            </w:r>
          </w:p>
        </w:tc>
        <w:tc>
          <w:tcPr>
            <w:tcW w:w="1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10,135,264</w:t>
            </w:r>
          </w:p>
        </w:tc>
        <w:tc>
          <w:tcPr>
            <w:tcW w:w="120" w:type="dxa"/>
            <w:vAlign w:val="bottom"/>
          </w:tcPr>
          <w:p>
            <w:pPr>
              <w:spacing w:after="0"/>
              <w:rPr>
                <w:sz w:val="15"/>
                <w:szCs w:val="15"/>
                <w:color w:val="auto"/>
              </w:rPr>
            </w:pPr>
          </w:p>
        </w:tc>
      </w:tr>
      <w:tr>
        <w:trPr>
          <w:trHeight w:val="20"/>
        </w:trPr>
        <w:tc>
          <w:tcPr>
            <w:tcW w:w="45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-153670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-153670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At 31 December 2024, 2023 and 2022, no short-term employee benefits have been capitalized.</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Group engages a management entity for the purpose of providing key management services and/or strategic advisory services to the Company. This management entity is considered a related party, as it provides key management advisory services and exercises key management functions. The aggregate amount of expense recognized in the consolidated statements of loss and comprehensive loss related to this related party for the 2024, 2023 and 2022 fiscal years were €0.8 million, €0.6 million and €0.6 million, respectively.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6"/>
          <w:szCs w:val="16"/>
          <w:b w:val="1"/>
          <w:bCs w:val="1"/>
          <w:color w:val="auto"/>
        </w:rPr>
        <w:t>125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99.4</w:t>
      </w:r>
    </w:p>
    <w:p>
      <w:pPr>
        <w:spacing w:after="0" w:line="18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During 2023 and 2022, Dr. Jochen Knolle received €0.5 million and €0.6 million under his consulting agreement with the Company, while serving as the Company’s Chief Scientific Officer (“CSO”). In late 2023, he relinquished the CSO title but remains a consultant.</w:t>
      </w:r>
    </w:p>
    <w:p>
      <w:pPr>
        <w:spacing w:after="0" w:line="156"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At December 31, 2024, 2023 and 2022, the aggregate amounts payable to key management personnel were €1.5 million, €1.4 million and €1.2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215265</wp:posOffset>
            </wp:positionV>
            <wp:extent cx="93980" cy="402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215265</wp:posOffset>
            </wp:positionV>
            <wp:extent cx="93980" cy="402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215265</wp:posOffset>
            </wp:positionV>
            <wp:extent cx="93980" cy="402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215265</wp:posOffset>
            </wp:positionV>
            <wp:extent cx="93980" cy="402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215265</wp:posOffset>
            </wp:positionV>
            <wp:extent cx="93980" cy="402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215265</wp:posOffset>
            </wp:positionV>
            <wp:extent cx="93980" cy="402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215265</wp:posOffset>
            </wp:positionV>
            <wp:extent cx="102870" cy="402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402590"/>
                    </a:xfrm>
                    <a:prstGeom prst="rect">
                      <a:avLst/>
                    </a:prstGeom>
                    <a:noFill/>
                  </pic:spPr>
                </pic:pic>
              </a:graphicData>
            </a:graphic>
          </wp:anchor>
        </w:drawing>
      </w: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720" w:type="dxa"/>
            <w:vAlign w:val="bottom"/>
            <w:tcBorders>
              <w:top w:val="single" w:sz="8" w:color="auto"/>
              <w:left w:val="single" w:sz="8" w:color="auto"/>
              <w:right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Pension and</w:t>
            </w:r>
          </w:p>
        </w:tc>
        <w:tc>
          <w:tcPr>
            <w:tcW w:w="120" w:type="dxa"/>
            <w:vAlign w:val="bottom"/>
            <w:tcBorders>
              <w:right w:val="single" w:sz="8" w:color="auto"/>
            </w:tcBorders>
          </w:tcPr>
          <w:p>
            <w:pPr>
              <w:spacing w:after="0"/>
              <w:rPr>
                <w:sz w:val="16"/>
                <w:szCs w:val="16"/>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Management</w:t>
            </w:r>
          </w:p>
        </w:tc>
        <w:tc>
          <w:tcPr>
            <w:tcW w:w="140" w:type="dxa"/>
            <w:vAlign w:val="bottom"/>
            <w:tcBorders>
              <w:right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Share-based</w:t>
            </w:r>
          </w:p>
        </w:tc>
        <w:tc>
          <w:tcPr>
            <w:tcW w:w="120" w:type="dxa"/>
            <w:vAlign w:val="bottom"/>
            <w:tcBorders>
              <w:right w:val="single" w:sz="8" w:color="auto"/>
            </w:tcBorders>
          </w:tcPr>
          <w:p>
            <w:pPr>
              <w:spacing w:after="0"/>
              <w:rPr>
                <w:sz w:val="16"/>
                <w:szCs w:val="16"/>
                <w:color w:val="auto"/>
              </w:rPr>
            </w:pPr>
          </w:p>
        </w:tc>
        <w:tc>
          <w:tcPr>
            <w:tcW w:w="10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Total</w:t>
            </w:r>
          </w:p>
        </w:tc>
        <w:tc>
          <w:tcPr>
            <w:tcW w:w="140" w:type="dxa"/>
            <w:vAlign w:val="bottom"/>
            <w:tcBorders>
              <w:right w:val="single" w:sz="8" w:color="auto"/>
            </w:tcBorders>
          </w:tcPr>
          <w:p>
            <w:pPr>
              <w:spacing w:after="0"/>
              <w:rPr>
                <w:sz w:val="16"/>
                <w:szCs w:val="16"/>
                <w:color w:val="auto"/>
              </w:rPr>
            </w:pPr>
          </w:p>
        </w:tc>
        <w:tc>
          <w:tcPr>
            <w:tcW w:w="16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Total remuneration</w:t>
            </w:r>
          </w:p>
        </w:tc>
        <w:tc>
          <w:tcPr>
            <w:tcW w:w="1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720" w:type="dxa"/>
            <w:vAlign w:val="bottom"/>
            <w:tcBorders>
              <w:left w:val="single" w:sz="8" w:color="auto"/>
              <w:right w:val="single" w:sz="8" w:color="auto"/>
            </w:tcBorders>
          </w:tcPr>
          <w:p>
            <w:pPr>
              <w:spacing w:after="0"/>
              <w:rPr>
                <w:sz w:val="8"/>
                <w:szCs w:val="8"/>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color w:val="auto"/>
              </w:rPr>
              <w:t>Salary</w:t>
            </w:r>
          </w:p>
        </w:tc>
        <w:tc>
          <w:tcPr>
            <w:tcW w:w="120" w:type="dxa"/>
            <w:vAlign w:val="bottom"/>
            <w:tcBorders>
              <w:right w:val="single" w:sz="8" w:color="auto"/>
            </w:tcBorders>
          </w:tcPr>
          <w:p>
            <w:pPr>
              <w:spacing w:after="0"/>
              <w:rPr>
                <w:sz w:val="8"/>
                <w:szCs w:val="8"/>
                <w:color w:val="auto"/>
              </w:rPr>
            </w:pPr>
          </w:p>
        </w:tc>
        <w:tc>
          <w:tcPr>
            <w:tcW w:w="900" w:type="dxa"/>
            <w:vAlign w:val="bottom"/>
            <w:vMerge w:val="restart"/>
          </w:tcPr>
          <w:p>
            <w:pPr>
              <w:jc w:val="right"/>
              <w:ind w:right="159"/>
              <w:spacing w:after="0"/>
              <w:rPr>
                <w:sz w:val="20"/>
                <w:szCs w:val="20"/>
                <w:color w:val="auto"/>
              </w:rPr>
            </w:pPr>
            <w:r>
              <w:rPr>
                <w:rFonts w:ascii="Arial" w:cs="Arial" w:eastAsia="Arial" w:hAnsi="Arial"/>
                <w:sz w:val="16"/>
                <w:szCs w:val="16"/>
                <w:color w:val="auto"/>
              </w:rPr>
              <w:t>Bonus</w:t>
            </w:r>
          </w:p>
        </w:tc>
        <w:tc>
          <w:tcPr>
            <w:tcW w:w="120" w:type="dxa"/>
            <w:vAlign w:val="bottom"/>
            <w:tcBorders>
              <w:right w:val="single" w:sz="8" w:color="auto"/>
            </w:tcBorders>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social</w:t>
            </w:r>
          </w:p>
        </w:tc>
        <w:tc>
          <w:tcPr>
            <w:tcW w:w="12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remuneration</w:t>
            </w:r>
          </w:p>
        </w:tc>
        <w:tc>
          <w:tcPr>
            <w:tcW w:w="140" w:type="dxa"/>
            <w:vAlign w:val="bottom"/>
            <w:tcBorders>
              <w:right w:val="single" w:sz="8" w:color="auto"/>
            </w:tcBorders>
          </w:tcPr>
          <w:p>
            <w:pPr>
              <w:spacing w:after="0"/>
              <w:rPr>
                <w:sz w:val="8"/>
                <w:szCs w:val="8"/>
                <w:color w:val="auto"/>
              </w:rPr>
            </w:pPr>
          </w:p>
        </w:tc>
        <w:tc>
          <w:tcPr>
            <w:tcW w:w="16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720" w:type="dxa"/>
            <w:vAlign w:val="bottom"/>
            <w:tcBorders>
              <w:left w:val="single" w:sz="8" w:color="auto"/>
              <w:right w:val="single" w:sz="8" w:color="auto"/>
            </w:tcBorders>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8"/>
              </w:rPr>
              <w:t>fee</w:t>
            </w:r>
          </w:p>
        </w:tc>
        <w:tc>
          <w:tcPr>
            <w:tcW w:w="140" w:type="dxa"/>
            <w:vAlign w:val="bottom"/>
            <w:tcBorders>
              <w:right w:val="single" w:sz="8" w:color="auto"/>
            </w:tcBorders>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compensation</w:t>
            </w:r>
          </w:p>
        </w:tc>
        <w:tc>
          <w:tcPr>
            <w:tcW w:w="12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20" w:type="dxa"/>
            <w:vAlign w:val="bottom"/>
            <w:vMerge w:val="restart"/>
          </w:tcPr>
          <w:p>
            <w:pPr>
              <w:jc w:val="right"/>
              <w:ind w:right="55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720" w:type="dxa"/>
            <w:vAlign w:val="bottom"/>
            <w:tcBorders>
              <w:left w:val="single" w:sz="8" w:color="auto"/>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60" w:type="dxa"/>
            <w:vAlign w:val="bottom"/>
            <w:vMerge w:val="restart"/>
          </w:tcPr>
          <w:p>
            <w:pPr>
              <w:jc w:val="right"/>
              <w:ind w:right="119"/>
              <w:spacing w:after="0"/>
              <w:rPr>
                <w:sz w:val="20"/>
                <w:szCs w:val="20"/>
                <w:color w:val="auto"/>
              </w:rPr>
            </w:pPr>
            <w:r>
              <w:rPr>
                <w:rFonts w:ascii="Arial" w:cs="Arial" w:eastAsia="Arial" w:hAnsi="Arial"/>
                <w:sz w:val="16"/>
                <w:szCs w:val="16"/>
                <w:color w:val="auto"/>
              </w:rPr>
              <w:t>securities</w:t>
            </w:r>
          </w:p>
        </w:tc>
        <w:tc>
          <w:tcPr>
            <w:tcW w:w="120" w:type="dxa"/>
            <w:vAlign w:val="bottom"/>
            <w:tcBorders>
              <w:right w:val="single" w:sz="8" w:color="auto"/>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color w:val="auto"/>
              </w:rPr>
              <w:t>2024</w:t>
            </w:r>
          </w:p>
        </w:tc>
        <w:tc>
          <w:tcPr>
            <w:tcW w:w="140" w:type="dxa"/>
            <w:vAlign w:val="bottom"/>
            <w:tcBorders>
              <w:right w:val="single" w:sz="8" w:color="auto"/>
            </w:tcBorders>
          </w:tcPr>
          <w:p>
            <w:pPr>
              <w:spacing w:after="0"/>
              <w:rPr>
                <w:sz w:val="10"/>
                <w:szCs w:val="10"/>
                <w:color w:val="auto"/>
              </w:rPr>
            </w:pPr>
          </w:p>
        </w:tc>
        <w:tc>
          <w:tcPr>
            <w:tcW w:w="1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72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72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line="166"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line="166"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w w:val="89"/>
              </w:rPr>
              <w:t>€</w:t>
            </w:r>
          </w:p>
        </w:tc>
        <w:tc>
          <w:tcPr>
            <w:tcW w:w="12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9"/>
              <w:spacing w:after="0" w:line="166"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w w:val="89"/>
              </w:rPr>
              <w:t>€</w:t>
            </w:r>
          </w:p>
        </w:tc>
        <w:tc>
          <w:tcPr>
            <w:tcW w:w="140" w:type="dxa"/>
            <w:vAlign w:val="bottom"/>
            <w:tcBorders>
              <w:right w:val="single" w:sz="8" w:color="auto"/>
            </w:tcBorders>
          </w:tcPr>
          <w:p>
            <w:pPr>
              <w:spacing w:after="0"/>
              <w:rPr>
                <w:sz w:val="14"/>
                <w:szCs w:val="14"/>
                <w:color w:val="auto"/>
              </w:rPr>
            </w:pPr>
          </w:p>
        </w:tc>
        <w:tc>
          <w:tcPr>
            <w:tcW w:w="162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20" w:type="dxa"/>
            <w:vAlign w:val="bottom"/>
            <w:tcBorders>
              <w:left w:val="single" w:sz="8" w:color="CFF0FC"/>
              <w:bottom w:val="single" w:sz="8" w:color="auto"/>
              <w:right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Mr. B. Modig</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645,715</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312,862</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147,653</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2,261,661</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3,367,891</w:t>
            </w:r>
          </w:p>
        </w:tc>
        <w:tc>
          <w:tcPr>
            <w:tcW w:w="140" w:type="dxa"/>
            <w:vAlign w:val="bottom"/>
            <w:tcBorders>
              <w:bottom w:val="single" w:sz="8" w:color="CFF4FF"/>
              <w:right w:val="single" w:sz="8" w:color="auto"/>
            </w:tcBorders>
            <w:shd w:val="clear" w:color="auto" w:fill="CFF4FF"/>
          </w:tcPr>
          <w:p>
            <w:pPr>
              <w:spacing w:after="0"/>
              <w:rPr>
                <w:sz w:val="15"/>
                <w:szCs w:val="15"/>
                <w:color w:val="auto"/>
              </w:rPr>
            </w:pPr>
          </w:p>
        </w:tc>
        <w:tc>
          <w:tcPr>
            <w:tcW w:w="162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2,336,649</w:t>
            </w:r>
          </w:p>
        </w:tc>
        <w:tc>
          <w:tcPr>
            <w:tcW w:w="12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Mr. H. Schikan</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56,652</w:t>
            </w:r>
          </w:p>
        </w:tc>
        <w:tc>
          <w:tcPr>
            <w:tcW w:w="14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334,918</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391,570</w:t>
            </w:r>
          </w:p>
        </w:tc>
        <w:tc>
          <w:tcPr>
            <w:tcW w:w="140" w:type="dxa"/>
            <w:vAlign w:val="bottom"/>
            <w:tcBorders>
              <w:right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195,854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tcBorders>
              <w:left w:val="single" w:sz="8" w:color="CFF0FC"/>
              <w:bottom w:val="single" w:sz="8" w:color="auto"/>
              <w:right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Mr. D. Meeker</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87,299</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330,580</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417,879</w:t>
            </w:r>
          </w:p>
        </w:tc>
        <w:tc>
          <w:tcPr>
            <w:tcW w:w="140" w:type="dxa"/>
            <w:vAlign w:val="bottom"/>
            <w:tcBorders>
              <w:bottom w:val="single" w:sz="8" w:color="CFF4FF"/>
              <w:right w:val="single" w:sz="8" w:color="auto"/>
            </w:tcBorders>
            <w:shd w:val="clear" w:color="auto" w:fill="CFF4FF"/>
          </w:tcPr>
          <w:p>
            <w:pPr>
              <w:spacing w:after="0"/>
              <w:rPr>
                <w:sz w:val="15"/>
                <w:szCs w:val="15"/>
                <w:color w:val="auto"/>
              </w:rPr>
            </w:pPr>
          </w:p>
        </w:tc>
        <w:tc>
          <w:tcPr>
            <w:tcW w:w="162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460,567</w:t>
            </w:r>
          </w:p>
        </w:tc>
        <w:tc>
          <w:tcPr>
            <w:tcW w:w="12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Mr. R. Glassman</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51,079</w:t>
            </w:r>
          </w:p>
        </w:tc>
        <w:tc>
          <w:tcPr>
            <w:tcW w:w="14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325,097</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376,176</w:t>
            </w:r>
          </w:p>
        </w:tc>
        <w:tc>
          <w:tcPr>
            <w:tcW w:w="140" w:type="dxa"/>
            <w:vAlign w:val="bottom"/>
            <w:tcBorders>
              <w:right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243,986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tcBorders>
              <w:left w:val="single" w:sz="8" w:color="CFF4FF"/>
              <w:bottom w:val="single" w:sz="8" w:color="auto"/>
              <w:right w:val="single" w:sz="8" w:color="auto"/>
            </w:tcBorders>
            <w:shd w:val="clear" w:color="auto" w:fill="CFF4FF"/>
          </w:tcPr>
          <w:p>
            <w:pPr>
              <w:ind w:left="20"/>
              <w:spacing w:after="0" w:line="183" w:lineRule="exact"/>
              <w:rPr>
                <w:sz w:val="20"/>
                <w:szCs w:val="20"/>
                <w:color w:val="auto"/>
              </w:rPr>
            </w:pPr>
            <w:r>
              <w:rPr>
                <w:rFonts w:ascii="Arial" w:cs="Arial" w:eastAsia="Arial" w:hAnsi="Arial"/>
                <w:sz w:val="16"/>
                <w:szCs w:val="16"/>
                <w:color w:val="auto"/>
              </w:rPr>
              <w:t>Ms. V. Monges</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60,366</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343,497</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403,863</w:t>
            </w:r>
          </w:p>
        </w:tc>
        <w:tc>
          <w:tcPr>
            <w:tcW w:w="140" w:type="dxa"/>
            <w:vAlign w:val="bottom"/>
            <w:tcBorders>
              <w:bottom w:val="single" w:sz="8" w:color="CFF4FF"/>
              <w:right w:val="single" w:sz="8" w:color="auto"/>
            </w:tcBorders>
            <w:shd w:val="clear" w:color="auto" w:fill="CFF4FF"/>
          </w:tcPr>
          <w:p>
            <w:pPr>
              <w:spacing w:after="0"/>
              <w:rPr>
                <w:sz w:val="15"/>
                <w:szCs w:val="15"/>
                <w:color w:val="auto"/>
              </w:rPr>
            </w:pPr>
          </w:p>
        </w:tc>
        <w:tc>
          <w:tcPr>
            <w:tcW w:w="162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258,835</w:t>
            </w:r>
          </w:p>
        </w:tc>
        <w:tc>
          <w:tcPr>
            <w:tcW w:w="12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Ms. E. Björk</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41,792</w:t>
            </w:r>
          </w:p>
        </w:tc>
        <w:tc>
          <w:tcPr>
            <w:tcW w:w="14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359,803</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401,595</w:t>
            </w:r>
          </w:p>
        </w:tc>
        <w:tc>
          <w:tcPr>
            <w:tcW w:w="140" w:type="dxa"/>
            <w:vAlign w:val="bottom"/>
            <w:tcBorders>
              <w:right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297,450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tcBorders>
              <w:left w:val="single" w:sz="8" w:color="CFF0FC"/>
              <w:right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Ms. A. de Jonge - Schuermans(1)</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7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(33,197)</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-779145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-779145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-779145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-779145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-779145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-779145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-521970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-521970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-521970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-521970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-521970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-521970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-521970</wp:posOffset>
            </wp:positionV>
            <wp:extent cx="77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-265430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-265430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-265430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-265430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-265430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-265430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-265430</wp:posOffset>
            </wp:positionV>
            <wp:extent cx="7747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-8255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-8255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number of options granted to individual members of the Board for the year ended December 31, 2024 and 2023 in such capacity.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options granted for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options granted</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8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year ended 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Grant date / Expiry</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ended December</w:t>
            </w:r>
          </w:p>
        </w:tc>
        <w:tc>
          <w:tcPr>
            <w:tcW w:w="100" w:type="dxa"/>
            <w:vAlign w:val="bottom"/>
          </w:tcPr>
          <w:p>
            <w:pPr>
              <w:spacing w:after="0"/>
              <w:rPr>
                <w:sz w:val="17"/>
                <w:szCs w:val="17"/>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Grant date /</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212"/>
        </w:trPr>
        <w:tc>
          <w:tcPr>
            <w:tcW w:w="18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31, 2023</w:t>
            </w: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price</w:t>
            </w:r>
          </w:p>
        </w:tc>
      </w:tr>
      <w:tr>
        <w:trPr>
          <w:trHeight w:val="202"/>
        </w:trPr>
        <w:tc>
          <w:tcPr>
            <w:tcW w:w="1820" w:type="dxa"/>
            <w:vAlign w:val="bottom"/>
          </w:tcPr>
          <w:p>
            <w:pPr>
              <w:spacing w:after="0"/>
              <w:rPr>
                <w:sz w:val="17"/>
                <w:szCs w:val="17"/>
                <w:color w:val="auto"/>
              </w:rPr>
            </w:pPr>
          </w:p>
        </w:tc>
        <w:tc>
          <w:tcPr>
            <w:tcW w:w="21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r>
      <w:tr>
        <w:trPr>
          <w:trHeight w:val="196"/>
        </w:trPr>
        <w:tc>
          <w:tcPr>
            <w:tcW w:w="1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Mr. B. Modig</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April 11,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April 6,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FF0FC"/>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April 11, 2034</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6, 2033</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820" w:type="dxa"/>
            <w:vAlign w:val="bottom"/>
            <w:shd w:val="clear" w:color="auto" w:fill="CFF4FF"/>
          </w:tcPr>
          <w:p>
            <w:pPr>
              <w:ind w:left="40"/>
              <w:spacing w:after="0"/>
              <w:rPr>
                <w:sz w:val="20"/>
                <w:szCs w:val="20"/>
                <w:color w:val="auto"/>
              </w:rPr>
            </w:pPr>
            <w:r>
              <w:rPr>
                <w:rFonts w:ascii="Times New Roman" w:cs="Times New Roman" w:eastAsia="Times New Roman" w:hAnsi="Times New Roman"/>
                <w:sz w:val="16"/>
                <w:szCs w:val="16"/>
                <w:color w:val="auto"/>
              </w:rPr>
              <w:t>Mr. D. Meeker</w:t>
            </w:r>
          </w:p>
        </w:tc>
        <w:tc>
          <w:tcPr>
            <w:tcW w:w="214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shd w:val="clear" w:color="auto" w:fill="CFF4FF"/>
          </w:tcPr>
          <w:p>
            <w:pPr>
              <w:spacing w:after="0"/>
              <w:rPr>
                <w:sz w:val="17"/>
                <w:szCs w:val="17"/>
                <w:color w:val="auto"/>
              </w:rPr>
            </w:pPr>
          </w:p>
        </w:tc>
        <w:tc>
          <w:tcPr>
            <w:tcW w:w="120" w:type="dxa"/>
            <w:vAlign w:val="bottom"/>
            <w:shd w:val="clear" w:color="auto" w:fill="CFF4FF"/>
          </w:tcPr>
          <w:p>
            <w:pPr>
              <w:spacing w:after="0"/>
              <w:rPr>
                <w:sz w:val="17"/>
                <w:szCs w:val="17"/>
                <w:color w:val="auto"/>
              </w:rPr>
            </w:pPr>
          </w:p>
        </w:tc>
        <w:tc>
          <w:tcPr>
            <w:tcW w:w="1480" w:type="dxa"/>
            <w:vAlign w:val="bottom"/>
            <w:shd w:val="clear" w:color="auto" w:fill="CFF4FF"/>
          </w:tcPr>
          <w:p>
            <w:pPr>
              <w:ind w:left="520"/>
              <w:spacing w:after="0"/>
              <w:rPr>
                <w:sz w:val="20"/>
                <w:szCs w:val="20"/>
                <w:color w:val="auto"/>
              </w:rPr>
            </w:pPr>
            <w:r>
              <w:rPr>
                <w:rFonts w:ascii="Times New Roman" w:cs="Times New Roman" w:eastAsia="Times New Roman" w:hAnsi="Times New Roman"/>
                <w:sz w:val="16"/>
                <w:szCs w:val="16"/>
                <w:color w:val="auto"/>
              </w:rPr>
              <w:t>April 11, 2025</w:t>
            </w:r>
          </w:p>
        </w:tc>
        <w:tc>
          <w:tcPr>
            <w:tcW w:w="110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2240" w:type="dxa"/>
            <w:vAlign w:val="bottom"/>
            <w:gridSpan w:val="2"/>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shd w:val="clear" w:color="auto" w:fill="CFF4FF"/>
          </w:tcPr>
          <w:p>
            <w:pPr>
              <w:spacing w:after="0"/>
              <w:rPr>
                <w:sz w:val="17"/>
                <w:szCs w:val="17"/>
                <w:color w:val="auto"/>
              </w:rPr>
            </w:pPr>
          </w:p>
        </w:tc>
        <w:tc>
          <w:tcPr>
            <w:tcW w:w="1220" w:type="dxa"/>
            <w:vAlign w:val="bottom"/>
            <w:shd w:val="clear" w:color="auto" w:fill="CFF4FF"/>
          </w:tcPr>
          <w:p>
            <w:pPr>
              <w:ind w:left="340"/>
              <w:spacing w:after="0"/>
              <w:rPr>
                <w:sz w:val="20"/>
                <w:szCs w:val="20"/>
                <w:color w:val="auto"/>
              </w:rPr>
            </w:pPr>
            <w:r>
              <w:rPr>
                <w:rFonts w:ascii="Times New Roman" w:cs="Times New Roman" w:eastAsia="Times New Roman" w:hAnsi="Times New Roman"/>
                <w:sz w:val="16"/>
                <w:szCs w:val="16"/>
                <w:color w:val="auto"/>
              </w:rPr>
              <w:t>April 6, 2023</w:t>
            </w:r>
          </w:p>
        </w:tc>
        <w:tc>
          <w:tcPr>
            <w:tcW w:w="80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FF4FF"/>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April 11, 2034</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6, 2033</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Ms. E. Björk</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April 11,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April 6,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FF0FC"/>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April 11, 2034</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6, 2033</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820" w:type="dxa"/>
            <w:vAlign w:val="bottom"/>
            <w:shd w:val="clear" w:color="auto" w:fill="CFF4FF"/>
          </w:tcPr>
          <w:p>
            <w:pPr>
              <w:ind w:left="40"/>
              <w:spacing w:after="0"/>
              <w:rPr>
                <w:sz w:val="20"/>
                <w:szCs w:val="20"/>
                <w:color w:val="auto"/>
              </w:rPr>
            </w:pPr>
            <w:r>
              <w:rPr>
                <w:rFonts w:ascii="Times New Roman" w:cs="Times New Roman" w:eastAsia="Times New Roman" w:hAnsi="Times New Roman"/>
                <w:sz w:val="16"/>
                <w:szCs w:val="16"/>
                <w:color w:val="auto"/>
              </w:rPr>
              <w:t>Mr. H. Schikan</w:t>
            </w:r>
          </w:p>
        </w:tc>
        <w:tc>
          <w:tcPr>
            <w:tcW w:w="214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shd w:val="clear" w:color="auto" w:fill="CFF4FF"/>
          </w:tcPr>
          <w:p>
            <w:pPr>
              <w:spacing w:after="0"/>
              <w:rPr>
                <w:sz w:val="17"/>
                <w:szCs w:val="17"/>
                <w:color w:val="auto"/>
              </w:rPr>
            </w:pPr>
          </w:p>
        </w:tc>
        <w:tc>
          <w:tcPr>
            <w:tcW w:w="120" w:type="dxa"/>
            <w:vAlign w:val="bottom"/>
            <w:shd w:val="clear" w:color="auto" w:fill="CFF4FF"/>
          </w:tcPr>
          <w:p>
            <w:pPr>
              <w:spacing w:after="0"/>
              <w:rPr>
                <w:sz w:val="17"/>
                <w:szCs w:val="17"/>
                <w:color w:val="auto"/>
              </w:rPr>
            </w:pPr>
          </w:p>
        </w:tc>
        <w:tc>
          <w:tcPr>
            <w:tcW w:w="1480" w:type="dxa"/>
            <w:vAlign w:val="bottom"/>
            <w:shd w:val="clear" w:color="auto" w:fill="CFF4FF"/>
          </w:tcPr>
          <w:p>
            <w:pPr>
              <w:ind w:left="520"/>
              <w:spacing w:after="0"/>
              <w:rPr>
                <w:sz w:val="20"/>
                <w:szCs w:val="20"/>
                <w:color w:val="auto"/>
              </w:rPr>
            </w:pPr>
            <w:r>
              <w:rPr>
                <w:rFonts w:ascii="Times New Roman" w:cs="Times New Roman" w:eastAsia="Times New Roman" w:hAnsi="Times New Roman"/>
                <w:sz w:val="16"/>
                <w:szCs w:val="16"/>
                <w:color w:val="auto"/>
              </w:rPr>
              <w:t>April 11, 2025</w:t>
            </w:r>
          </w:p>
        </w:tc>
        <w:tc>
          <w:tcPr>
            <w:tcW w:w="110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2240" w:type="dxa"/>
            <w:vAlign w:val="bottom"/>
            <w:gridSpan w:val="2"/>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shd w:val="clear" w:color="auto" w:fill="CFF4FF"/>
          </w:tcPr>
          <w:p>
            <w:pPr>
              <w:spacing w:after="0"/>
              <w:rPr>
                <w:sz w:val="17"/>
                <w:szCs w:val="17"/>
                <w:color w:val="auto"/>
              </w:rPr>
            </w:pPr>
          </w:p>
        </w:tc>
        <w:tc>
          <w:tcPr>
            <w:tcW w:w="1220" w:type="dxa"/>
            <w:vAlign w:val="bottom"/>
            <w:shd w:val="clear" w:color="auto" w:fill="CFF4FF"/>
          </w:tcPr>
          <w:p>
            <w:pPr>
              <w:ind w:left="340"/>
              <w:spacing w:after="0"/>
              <w:rPr>
                <w:sz w:val="20"/>
                <w:szCs w:val="20"/>
                <w:color w:val="auto"/>
              </w:rPr>
            </w:pPr>
            <w:r>
              <w:rPr>
                <w:rFonts w:ascii="Times New Roman" w:cs="Times New Roman" w:eastAsia="Times New Roman" w:hAnsi="Times New Roman"/>
                <w:sz w:val="16"/>
                <w:szCs w:val="16"/>
                <w:color w:val="auto"/>
              </w:rPr>
              <w:t>April 6, 2023</w:t>
            </w:r>
          </w:p>
        </w:tc>
        <w:tc>
          <w:tcPr>
            <w:tcW w:w="80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FF4FF"/>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April 11, 2034</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6, 2033</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820" w:type="dxa"/>
            <w:vAlign w:val="bottom"/>
            <w:shd w:val="clear" w:color="auto" w:fill="CFF4FF"/>
          </w:tcPr>
          <w:p>
            <w:pPr>
              <w:ind w:left="40"/>
              <w:spacing w:after="0"/>
              <w:rPr>
                <w:sz w:val="20"/>
                <w:szCs w:val="20"/>
                <w:color w:val="auto"/>
              </w:rPr>
            </w:pPr>
            <w:r>
              <w:rPr>
                <w:rFonts w:ascii="Times New Roman" w:cs="Times New Roman" w:eastAsia="Times New Roman" w:hAnsi="Times New Roman"/>
                <w:sz w:val="16"/>
                <w:szCs w:val="16"/>
                <w:color w:val="auto"/>
              </w:rPr>
              <w:t>Mr. R. Glassman</w:t>
            </w:r>
          </w:p>
        </w:tc>
        <w:tc>
          <w:tcPr>
            <w:tcW w:w="214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shd w:val="clear" w:color="auto" w:fill="CFF4FF"/>
          </w:tcPr>
          <w:p>
            <w:pPr>
              <w:spacing w:after="0"/>
              <w:rPr>
                <w:sz w:val="17"/>
                <w:szCs w:val="17"/>
                <w:color w:val="auto"/>
              </w:rPr>
            </w:pPr>
          </w:p>
        </w:tc>
        <w:tc>
          <w:tcPr>
            <w:tcW w:w="120" w:type="dxa"/>
            <w:vAlign w:val="bottom"/>
            <w:shd w:val="clear" w:color="auto" w:fill="CFF4FF"/>
          </w:tcPr>
          <w:p>
            <w:pPr>
              <w:spacing w:after="0"/>
              <w:rPr>
                <w:sz w:val="17"/>
                <w:szCs w:val="17"/>
                <w:color w:val="auto"/>
              </w:rPr>
            </w:pPr>
          </w:p>
        </w:tc>
        <w:tc>
          <w:tcPr>
            <w:tcW w:w="14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April 11, 2025</w:t>
            </w:r>
          </w:p>
        </w:tc>
        <w:tc>
          <w:tcPr>
            <w:tcW w:w="110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2240" w:type="dxa"/>
            <w:vAlign w:val="bottom"/>
            <w:gridSpan w:val="2"/>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shd w:val="clear" w:color="auto" w:fill="CFF4FF"/>
          </w:tcPr>
          <w:p>
            <w:pPr>
              <w:spacing w:after="0"/>
              <w:rPr>
                <w:sz w:val="17"/>
                <w:szCs w:val="17"/>
                <w:color w:val="auto"/>
              </w:rPr>
            </w:pPr>
          </w:p>
        </w:tc>
        <w:tc>
          <w:tcPr>
            <w:tcW w:w="1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April 6, 2023</w:t>
            </w:r>
          </w:p>
        </w:tc>
        <w:tc>
          <w:tcPr>
            <w:tcW w:w="80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FF4FF"/>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April 11, 2034</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6, 2033</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820" w:type="dxa"/>
            <w:vAlign w:val="bottom"/>
            <w:shd w:val="clear" w:color="auto" w:fill="CFF4FF"/>
          </w:tcPr>
          <w:p>
            <w:pPr>
              <w:ind w:left="40"/>
              <w:spacing w:after="0"/>
              <w:rPr>
                <w:sz w:val="20"/>
                <w:szCs w:val="20"/>
                <w:color w:val="auto"/>
              </w:rPr>
            </w:pPr>
            <w:r>
              <w:rPr>
                <w:rFonts w:ascii="Times New Roman" w:cs="Times New Roman" w:eastAsia="Times New Roman" w:hAnsi="Times New Roman"/>
                <w:sz w:val="16"/>
                <w:szCs w:val="16"/>
                <w:color w:val="auto"/>
              </w:rPr>
              <w:t>Ms. V. Monges</w:t>
            </w:r>
          </w:p>
        </w:tc>
        <w:tc>
          <w:tcPr>
            <w:tcW w:w="214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shd w:val="clear" w:color="auto" w:fill="CFF4FF"/>
          </w:tcPr>
          <w:p>
            <w:pPr>
              <w:spacing w:after="0"/>
              <w:rPr>
                <w:sz w:val="17"/>
                <w:szCs w:val="17"/>
                <w:color w:val="auto"/>
              </w:rPr>
            </w:pPr>
          </w:p>
        </w:tc>
        <w:tc>
          <w:tcPr>
            <w:tcW w:w="120" w:type="dxa"/>
            <w:vAlign w:val="bottom"/>
            <w:shd w:val="clear" w:color="auto" w:fill="CFF4FF"/>
          </w:tcPr>
          <w:p>
            <w:pPr>
              <w:spacing w:after="0"/>
              <w:rPr>
                <w:sz w:val="17"/>
                <w:szCs w:val="17"/>
                <w:color w:val="auto"/>
              </w:rPr>
            </w:pPr>
          </w:p>
        </w:tc>
        <w:tc>
          <w:tcPr>
            <w:tcW w:w="1480" w:type="dxa"/>
            <w:vAlign w:val="bottom"/>
            <w:shd w:val="clear" w:color="auto" w:fill="CFF4FF"/>
          </w:tcPr>
          <w:p>
            <w:pPr>
              <w:ind w:left="520"/>
              <w:spacing w:after="0"/>
              <w:rPr>
                <w:sz w:val="20"/>
                <w:szCs w:val="20"/>
                <w:color w:val="auto"/>
              </w:rPr>
            </w:pPr>
            <w:r>
              <w:rPr>
                <w:rFonts w:ascii="Times New Roman" w:cs="Times New Roman" w:eastAsia="Times New Roman" w:hAnsi="Times New Roman"/>
                <w:sz w:val="16"/>
                <w:szCs w:val="16"/>
                <w:color w:val="auto"/>
              </w:rPr>
              <w:t>April 11, 2025</w:t>
            </w:r>
          </w:p>
        </w:tc>
        <w:tc>
          <w:tcPr>
            <w:tcW w:w="110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2240" w:type="dxa"/>
            <w:vAlign w:val="bottom"/>
            <w:gridSpan w:val="2"/>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shd w:val="clear" w:color="auto" w:fill="CFF4FF"/>
          </w:tcPr>
          <w:p>
            <w:pPr>
              <w:spacing w:after="0"/>
              <w:rPr>
                <w:sz w:val="17"/>
                <w:szCs w:val="17"/>
                <w:color w:val="auto"/>
              </w:rPr>
            </w:pPr>
          </w:p>
        </w:tc>
        <w:tc>
          <w:tcPr>
            <w:tcW w:w="1220" w:type="dxa"/>
            <w:vAlign w:val="bottom"/>
            <w:shd w:val="clear" w:color="auto" w:fill="CFF4FF"/>
          </w:tcPr>
          <w:p>
            <w:pPr>
              <w:ind w:left="340"/>
              <w:spacing w:after="0"/>
              <w:rPr>
                <w:sz w:val="20"/>
                <w:szCs w:val="20"/>
                <w:color w:val="auto"/>
              </w:rPr>
            </w:pPr>
            <w:r>
              <w:rPr>
                <w:rFonts w:ascii="Times New Roman" w:cs="Times New Roman" w:eastAsia="Times New Roman" w:hAnsi="Times New Roman"/>
                <w:sz w:val="16"/>
                <w:szCs w:val="16"/>
                <w:color w:val="auto"/>
              </w:rPr>
              <w:t>April 6, 2023</w:t>
            </w:r>
          </w:p>
        </w:tc>
        <w:tc>
          <w:tcPr>
            <w:tcW w:w="80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FF4FF"/>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April 11, 2034</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6, 2033</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86"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In April 2024 stock options were granted to members of the Board of Directors with an exercise price of $22.31 per share with a final exercise date of April 11, 2034, unless forfeited or exercised on an earlier date. 100% of the aggregate number of shares subject to the option shall vest on the 12-month anniversary of the vesting commencement date, subject to the option holder’s continuous service.</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number of RSU's granted to individual members of the Board for the year ended December 31, 2024 in such capacity.</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Number of</w:t>
            </w:r>
          </w:p>
        </w:tc>
      </w:tr>
      <w:tr>
        <w:trPr>
          <w:trHeight w:val="153"/>
        </w:trPr>
        <w:tc>
          <w:tcPr>
            <w:tcW w:w="8720" w:type="dxa"/>
            <w:vAlign w:val="bottom"/>
          </w:tcPr>
          <w:p>
            <w:pPr>
              <w:spacing w:after="0"/>
              <w:rPr>
                <w:sz w:val="13"/>
                <w:szCs w:val="13"/>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RSU's</w:t>
            </w:r>
          </w:p>
        </w:tc>
      </w:tr>
      <w:tr>
        <w:trPr>
          <w:trHeight w:val="183"/>
        </w:trPr>
        <w:tc>
          <w:tcPr>
            <w:tcW w:w="8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24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50,000</w:t>
            </w:r>
          </w:p>
        </w:tc>
        <w:tc>
          <w:tcPr>
            <w:tcW w:w="100" w:type="dxa"/>
            <w:vAlign w:val="bottom"/>
            <w:shd w:val="clear" w:color="auto" w:fill="CFF0FC"/>
          </w:tcPr>
          <w:p>
            <w:pPr>
              <w:spacing w:after="0"/>
              <w:rPr>
                <w:sz w:val="15"/>
                <w:szCs w:val="15"/>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Dr. Glassman</w:t>
            </w:r>
          </w:p>
        </w:tc>
        <w:tc>
          <w:tcPr>
            <w:tcW w:w="2420" w:type="dxa"/>
            <w:vAlign w:val="bottom"/>
          </w:tcPr>
          <w:p>
            <w:pPr>
              <w:jc w:val="right"/>
              <w:spacing w:after="0"/>
              <w:rPr>
                <w:sz w:val="20"/>
                <w:szCs w:val="20"/>
                <w:color w:val="auto"/>
              </w:rPr>
            </w:pPr>
            <w:r>
              <w:rPr>
                <w:rFonts w:ascii="Arial" w:cs="Arial" w:eastAsia="Arial" w:hAnsi="Arial"/>
                <w:sz w:val="16"/>
                <w:szCs w:val="16"/>
                <w:color w:val="auto"/>
              </w:rPr>
              <w:t>4,667</w:t>
            </w:r>
          </w:p>
        </w:tc>
        <w:tc>
          <w:tcPr>
            <w:tcW w:w="100" w:type="dxa"/>
            <w:vAlign w:val="bottom"/>
          </w:tcPr>
          <w:p>
            <w:pPr>
              <w:spacing w:after="0"/>
              <w:rPr>
                <w:sz w:val="16"/>
                <w:szCs w:val="16"/>
                <w:color w:val="auto"/>
              </w:rPr>
            </w:pPr>
          </w:p>
        </w:tc>
      </w:tr>
      <w:tr>
        <w:trPr>
          <w:trHeight w:val="189"/>
        </w:trPr>
        <w:tc>
          <w:tcPr>
            <w:tcW w:w="872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4,667</w:t>
            </w:r>
          </w:p>
        </w:tc>
        <w:tc>
          <w:tcPr>
            <w:tcW w:w="100" w:type="dxa"/>
            <w:vAlign w:val="bottom"/>
            <w:shd w:val="clear" w:color="auto" w:fill="CFF0FC"/>
          </w:tcPr>
          <w:p>
            <w:pPr>
              <w:spacing w:after="0"/>
              <w:rPr>
                <w:sz w:val="16"/>
                <w:szCs w:val="16"/>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Mr. Schikan</w:t>
            </w:r>
          </w:p>
        </w:tc>
        <w:tc>
          <w:tcPr>
            <w:tcW w:w="2420" w:type="dxa"/>
            <w:vAlign w:val="bottom"/>
          </w:tcPr>
          <w:p>
            <w:pPr>
              <w:jc w:val="right"/>
              <w:spacing w:after="0"/>
              <w:rPr>
                <w:sz w:val="20"/>
                <w:szCs w:val="20"/>
                <w:color w:val="auto"/>
              </w:rPr>
            </w:pPr>
            <w:r>
              <w:rPr>
                <w:rFonts w:ascii="Arial" w:cs="Arial" w:eastAsia="Arial" w:hAnsi="Arial"/>
                <w:sz w:val="16"/>
                <w:szCs w:val="16"/>
                <w:color w:val="auto"/>
              </w:rPr>
              <w:t>4,667</w:t>
            </w:r>
          </w:p>
        </w:tc>
        <w:tc>
          <w:tcPr>
            <w:tcW w:w="100" w:type="dxa"/>
            <w:vAlign w:val="bottom"/>
          </w:tcPr>
          <w:p>
            <w:pPr>
              <w:spacing w:after="0"/>
              <w:rPr>
                <w:sz w:val="16"/>
                <w:szCs w:val="16"/>
                <w:color w:val="auto"/>
              </w:rPr>
            </w:pPr>
          </w:p>
        </w:tc>
      </w:tr>
      <w:tr>
        <w:trPr>
          <w:trHeight w:val="189"/>
        </w:trPr>
        <w:tc>
          <w:tcPr>
            <w:tcW w:w="872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4,667</w:t>
            </w:r>
          </w:p>
        </w:tc>
        <w:tc>
          <w:tcPr>
            <w:tcW w:w="100" w:type="dxa"/>
            <w:vAlign w:val="bottom"/>
            <w:shd w:val="clear" w:color="auto" w:fill="CFF0FC"/>
          </w:tcPr>
          <w:p>
            <w:pPr>
              <w:spacing w:after="0"/>
              <w:rPr>
                <w:sz w:val="16"/>
                <w:szCs w:val="16"/>
                <w:color w:val="auto"/>
              </w:rPr>
            </w:pPr>
          </w:p>
        </w:tc>
      </w:tr>
      <w:tr>
        <w:trPr>
          <w:trHeight w:val="215"/>
        </w:trPr>
        <w:tc>
          <w:tcPr>
            <w:tcW w:w="8720" w:type="dxa"/>
            <w:vAlign w:val="bottom"/>
          </w:tcPr>
          <w:p>
            <w:pPr>
              <w:spacing w:after="0"/>
              <w:rPr>
                <w:sz w:val="20"/>
                <w:szCs w:val="20"/>
                <w:color w:val="auto"/>
              </w:rPr>
            </w:pPr>
            <w:r>
              <w:rPr>
                <w:rFonts w:ascii="Arial" w:cs="Arial" w:eastAsia="Arial" w:hAnsi="Arial"/>
                <w:sz w:val="16"/>
                <w:szCs w:val="16"/>
                <w:color w:val="auto"/>
              </w:rPr>
              <w:t>Dr. Björk</w:t>
            </w:r>
          </w:p>
        </w:tc>
        <w:tc>
          <w:tcPr>
            <w:tcW w:w="2420" w:type="dxa"/>
            <w:vAlign w:val="bottom"/>
          </w:tcPr>
          <w:p>
            <w:pPr>
              <w:jc w:val="right"/>
              <w:spacing w:after="0"/>
              <w:rPr>
                <w:sz w:val="20"/>
                <w:szCs w:val="20"/>
                <w:color w:val="auto"/>
              </w:rPr>
            </w:pPr>
            <w:r>
              <w:rPr>
                <w:rFonts w:ascii="Arial" w:cs="Arial" w:eastAsia="Arial" w:hAnsi="Arial"/>
                <w:sz w:val="16"/>
                <w:szCs w:val="16"/>
                <w:color w:val="auto"/>
              </w:rPr>
              <w:t>4,667</w:t>
            </w:r>
          </w:p>
        </w:tc>
        <w:tc>
          <w:tcPr>
            <w:tcW w:w="100" w:type="dxa"/>
            <w:vAlign w:val="bottom"/>
          </w:tcPr>
          <w:p>
            <w:pPr>
              <w:spacing w:after="0"/>
              <w:rPr>
                <w:sz w:val="18"/>
                <w:szCs w:val="18"/>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In April 2024 the Company granted RSUs to members of the Board of Directors. The RSUs shall vest on the 12-month anniversary of the vesting start date.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color w:val="auto"/>
        </w:rPr>
        <w:t>126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Commitments and contingencies</w:t>
      </w:r>
    </w:p>
    <w:p>
      <w:pPr>
        <w:spacing w:after="0" w:line="113"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This section provides additional information about items not recognized in the financial statements but could potentially have a significant impact on the Group’s financial position and performance.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contracts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entered into research and development commitments in relation to the developments of Group’s oral bradykinin B2 receptor antagonist.</w:t>
      </w:r>
    </w:p>
    <w:p>
      <w:pPr>
        <w:spacing w:after="0" w:line="30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Group's contractual obligations and commitments as of December 31, 2024 amounted to €109.9 million, (December 31, 2023: €49 million) primarily related to research and development activities.</w:t>
      </w:r>
    </w:p>
    <w:p>
      <w:pPr>
        <w:spacing w:after="0" w:line="129"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On March 31, 2016, the Company entered into a license agreement (the “BRAIN License”) and a research agreement with BRAIN (as successor in interest to AnalytiCon) to collaborate for the development of an orally available bradykinin B2 receptor antagonist. Pursuant to the BRAIN License, the Company acquired a worldwide, exclusive license from BRAIN to use (i) a certain proprietary substance class of bradykinin B2 receptor antagonists with the potential of oral activity (“OB2RA”) and (ii) 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deucrictibant, IR and XR are subject to the BRAIN License.</w:t>
      </w:r>
    </w:p>
    <w:p>
      <w:pPr>
        <w:spacing w:after="0" w:line="15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Under the BRAIN License, up to €9.0 million in aggregate potential milestone payments remain outstanding. In addition, the Company will be required to pay BRAIN low to medium single-digit tiered royalties on direct or indirect net sales of licensed products. The royalties that the Company is required to pay BRAIN under this agreement may be reduced on a country-by-country and product-by-product basis if sales of a generic version of a product account for 1% or more of the relevant market.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Contingent liabilities and contingent assets</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Other than milestones and royalties discussed in Note 21 above, the Group had no contingent liabilities and no contingent assets at December 31, 2024 and 2023.</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Events after the reporting period</w:t>
      </w:r>
    </w:p>
    <w:p>
      <w:pPr>
        <w:spacing w:after="0" w:line="113"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The Company has evaluated subsequent events through May 30, 2025, which is the date the consolidated financial statements were authorized for issuance, and did not identify any significant event after the reporting period that needs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color w:val="auto"/>
        </w:rPr>
        <w:t>127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Signatories to the financial statements</w:t>
      </w:r>
    </w:p>
    <w:p>
      <w:pPr>
        <w:sectPr>
          <w:pgSz w:w="11900" w:h="16838" w:orient="portrait"/>
          <w:cols w:equalWidth="0" w:num="1">
            <w:col w:w="11240"/>
          </w:cols>
          <w:pgMar w:left="320" w:top="773"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Leiden, May 30,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Pharvaris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D. Meeker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 Björk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V. Monges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/s/ R. Glassman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360"/>
          </w:cols>
          <w:pgMar w:left="320" w:top="7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only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84"/>
        </w:trPr>
        <w:tc>
          <w:tcPr>
            <w:tcW w:w="138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rPr>
              <w:t>Table of Contents</w:t>
            </w:r>
          </w:p>
        </w:tc>
        <w:tc>
          <w:tcPr>
            <w:tcW w:w="4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2"/>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Statement of financial position</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2"/>
          </w:tcPr>
          <w:p>
            <w:pPr>
              <w:jc w:val="right"/>
              <w:ind w:right="1260"/>
              <w:spacing w:after="0"/>
              <w:rPr>
                <w:sz w:val="20"/>
                <w:szCs w:val="20"/>
                <w:color w:val="auto"/>
              </w:rPr>
            </w:pPr>
            <w:r>
              <w:rPr>
                <w:rFonts w:ascii="Arial" w:cs="Arial" w:eastAsia="Arial" w:hAnsi="Arial"/>
                <w:sz w:val="16"/>
                <w:szCs w:val="16"/>
                <w:b w:val="1"/>
                <w:bCs w:val="1"/>
                <w:color w:val="auto"/>
              </w:rPr>
              <w:t>As at</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As at</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December 31,</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Notes</w:t>
            </w:r>
          </w:p>
        </w:tc>
        <w:tc>
          <w:tcPr>
            <w:tcW w:w="2420" w:type="dxa"/>
            <w:vAlign w:val="bottom"/>
          </w:tcPr>
          <w:p>
            <w:pPr>
              <w:jc w:val="right"/>
              <w:ind w:right="9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7"/>
                <w:szCs w:val="17"/>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2023 (Restated*)</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240" w:type="dxa"/>
            <w:vAlign w:val="bottom"/>
          </w:tcPr>
          <w:p>
            <w:pPr>
              <w:spacing w:after="0"/>
              <w:rPr>
                <w:sz w:val="15"/>
                <w:szCs w:val="15"/>
                <w:color w:val="auto"/>
              </w:rPr>
            </w:pPr>
          </w:p>
        </w:tc>
        <w:tc>
          <w:tcPr>
            <w:tcW w:w="16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11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Non-current assets</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Financial Fixed Assets</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239,380,167</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361,804,674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Receivables</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72,002</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69,883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color w:val="auto"/>
              </w:rPr>
              <w:t>Prepayments, other receivables and deferred expenses</w:t>
            </w:r>
          </w:p>
        </w:tc>
        <w:tc>
          <w:tcPr>
            <w:tcW w:w="1180" w:type="dxa"/>
            <w:vAlign w:val="bottom"/>
          </w:tcPr>
          <w:p>
            <w:pPr>
              <w:jc w:val="center"/>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384,246</w:t>
            </w: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861,495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shd w:val="clear" w:color="auto" w:fill="CFF0FC"/>
          </w:tcPr>
          <w:p>
            <w:pPr>
              <w:spacing w:after="0"/>
              <w:rPr>
                <w:sz w:val="16"/>
                <w:szCs w:val="16"/>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31,872,510</w:t>
            </w:r>
          </w:p>
        </w:tc>
        <w:tc>
          <w:tcPr>
            <w:tcW w:w="24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22,203,896</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271,708,925</w:t>
            </w:r>
          </w:p>
        </w:tc>
        <w:tc>
          <w:tcPr>
            <w:tcW w:w="240" w:type="dxa"/>
            <w:vAlign w:val="bottom"/>
          </w:tcPr>
          <w:p>
            <w:pPr>
              <w:spacing w:after="0"/>
              <w:rPr>
                <w:sz w:val="15"/>
                <w:szCs w:val="15"/>
                <w:color w:val="auto"/>
              </w:rPr>
            </w:pPr>
          </w:p>
        </w:tc>
        <w:tc>
          <w:tcPr>
            <w:tcW w:w="1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384,939,948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60" w:type="dxa"/>
            <w:vAlign w:val="bottom"/>
            <w:gridSpan w:val="2"/>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Equity and liabilities</w:t>
            </w: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1180" w:type="dxa"/>
            <w:vAlign w:val="bottom"/>
          </w:tcPr>
          <w:p>
            <w:pPr>
              <w:jc w:val="center"/>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Share capital</w:t>
            </w: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6,525,539</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6,274,833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color w:val="auto"/>
              </w:rPr>
              <w:t>Share premium</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623,641,380</w:t>
            </w: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615,811,986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reserves</w:t>
            </w: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39,711,103</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27,894,796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color w:val="auto"/>
              </w:rPr>
              <w:t>Legal reserve</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137,726</w:t>
            </w:r>
          </w:p>
        </w:tc>
        <w:tc>
          <w:tcPr>
            <w:tcW w:w="240" w:type="dxa"/>
            <w:vAlign w:val="bottom"/>
          </w:tcPr>
          <w:p>
            <w:pPr>
              <w:spacing w:after="0"/>
              <w:rPr>
                <w:sz w:val="16"/>
                <w:szCs w:val="16"/>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color w:val="auto"/>
              </w:rPr>
              <w:t>(14,584)</w:t>
            </w: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Accumulated loss</w:t>
            </w: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(402,255,007)</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(265,918,628)</w:t>
            </w:r>
          </w:p>
        </w:tc>
        <w:tc>
          <w:tcPr>
            <w:tcW w:w="0" w:type="dxa"/>
            <w:vAlign w:val="bottom"/>
          </w:tcPr>
          <w:p>
            <w:pPr>
              <w:spacing w:after="0"/>
              <w:rPr>
                <w:sz w:val="1"/>
                <w:szCs w:val="1"/>
                <w:color w:val="auto"/>
              </w:rPr>
            </w:pPr>
          </w:p>
        </w:tc>
      </w:tr>
      <w:tr>
        <w:trPr>
          <w:trHeight w:val="183"/>
        </w:trPr>
        <w:tc>
          <w:tcPr>
            <w:tcW w:w="5460" w:type="dxa"/>
            <w:vAlign w:val="bottom"/>
            <w:tcBorders>
              <w:top w:val="single" w:sz="8" w:color="CFF0FC"/>
            </w:tcBorders>
            <w:gridSpan w:val="2"/>
          </w:tcPr>
          <w:p>
            <w:pPr>
              <w:spacing w:after="0" w:line="183" w:lineRule="exact"/>
              <w:rPr>
                <w:sz w:val="20"/>
                <w:szCs w:val="20"/>
                <w:color w:val="auto"/>
              </w:rPr>
            </w:pPr>
            <w:r>
              <w:rPr>
                <w:rFonts w:ascii="Arial" w:cs="Arial" w:eastAsia="Arial" w:hAnsi="Arial"/>
                <w:sz w:val="16"/>
                <w:szCs w:val="16"/>
                <w:b w:val="1"/>
                <w:bCs w:val="1"/>
                <w:color w:val="auto"/>
              </w:rPr>
              <w:t>Total equity</w:t>
            </w:r>
          </w:p>
        </w:tc>
        <w:tc>
          <w:tcPr>
            <w:tcW w:w="11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4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267,760,741</w:t>
            </w:r>
          </w:p>
        </w:tc>
        <w:tc>
          <w:tcPr>
            <w:tcW w:w="240" w:type="dxa"/>
            <w:vAlign w:val="bottom"/>
            <w:tcBorders>
              <w:top w:val="single" w:sz="8" w:color="CFF0FC"/>
            </w:tcBorders>
          </w:tcPr>
          <w:p>
            <w:pPr>
              <w:spacing w:after="0"/>
              <w:rPr>
                <w:sz w:val="15"/>
                <w:szCs w:val="15"/>
                <w:color w:val="auto"/>
              </w:rPr>
            </w:pPr>
          </w:p>
        </w:tc>
        <w:tc>
          <w:tcPr>
            <w:tcW w:w="1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384,048,403</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60" w:type="dxa"/>
            <w:vAlign w:val="bottom"/>
            <w:gridSpan w:val="2"/>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Non-current liabilities</w:t>
            </w:r>
          </w:p>
        </w:tc>
        <w:tc>
          <w:tcPr>
            <w:tcW w:w="1180" w:type="dxa"/>
            <w:vAlign w:val="bottom"/>
            <w:shd w:val="clear" w:color="auto" w:fill="CFF0FF"/>
          </w:tcPr>
          <w:p>
            <w:pPr>
              <w:spacing w:after="0"/>
              <w:rPr>
                <w:sz w:val="14"/>
                <w:szCs w:val="14"/>
                <w:color w:val="auto"/>
              </w:rPr>
            </w:pPr>
          </w:p>
        </w:tc>
        <w:tc>
          <w:tcPr>
            <w:tcW w:w="140" w:type="dxa"/>
            <w:vAlign w:val="bottom"/>
            <w:shd w:val="clear" w:color="auto" w:fill="CFF0FF"/>
          </w:tcPr>
          <w:p>
            <w:pPr>
              <w:spacing w:after="0"/>
              <w:rPr>
                <w:sz w:val="14"/>
                <w:szCs w:val="14"/>
                <w:color w:val="auto"/>
              </w:rPr>
            </w:pPr>
          </w:p>
        </w:tc>
        <w:tc>
          <w:tcPr>
            <w:tcW w:w="2420" w:type="dxa"/>
            <w:vAlign w:val="bottom"/>
            <w:shd w:val="clear" w:color="auto" w:fill="CFF0FF"/>
          </w:tcPr>
          <w:p>
            <w:pPr>
              <w:spacing w:after="0"/>
              <w:rPr>
                <w:sz w:val="14"/>
                <w:szCs w:val="14"/>
                <w:color w:val="auto"/>
              </w:rPr>
            </w:pPr>
          </w:p>
        </w:tc>
        <w:tc>
          <w:tcPr>
            <w:tcW w:w="240" w:type="dxa"/>
            <w:vAlign w:val="bottom"/>
            <w:shd w:val="clear" w:color="auto" w:fill="CFF0FF"/>
          </w:tcPr>
          <w:p>
            <w:pPr>
              <w:spacing w:after="0"/>
              <w:rPr>
                <w:sz w:val="14"/>
                <w:szCs w:val="14"/>
                <w:color w:val="auto"/>
              </w:rPr>
            </w:pPr>
          </w:p>
        </w:tc>
        <w:tc>
          <w:tcPr>
            <w:tcW w:w="1680" w:type="dxa"/>
            <w:vAlign w:val="bottom"/>
            <w:shd w:val="clear" w:color="auto" w:fill="CFF0FF"/>
          </w:tcPr>
          <w:p>
            <w:pPr>
              <w:spacing w:after="0"/>
              <w:rPr>
                <w:sz w:val="14"/>
                <w:szCs w:val="14"/>
                <w:color w:val="auto"/>
              </w:rPr>
            </w:pPr>
          </w:p>
        </w:tc>
        <w:tc>
          <w:tcPr>
            <w:tcW w:w="120" w:type="dxa"/>
            <w:vAlign w:val="bottom"/>
            <w:shd w:val="clear" w:color="auto" w:fill="CFF0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Trade and other payables</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593,569</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551,287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color w:val="auto"/>
              </w:rPr>
              <w:t>Accrued liabilities</w:t>
            </w:r>
          </w:p>
        </w:tc>
        <w:tc>
          <w:tcPr>
            <w:tcW w:w="1180" w:type="dxa"/>
            <w:vAlign w:val="bottom"/>
          </w:tcPr>
          <w:p>
            <w:pPr>
              <w:jc w:val="center"/>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272,171</w:t>
            </w: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283,309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Current tax payable</w:t>
            </w: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(698,505)</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(615,538)</w:t>
            </w: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color w:val="auto"/>
              </w:rPr>
              <w:t>Payable to subsidiaries</w:t>
            </w:r>
          </w:p>
        </w:tc>
        <w:tc>
          <w:tcPr>
            <w:tcW w:w="1180" w:type="dxa"/>
            <w:vAlign w:val="bottom"/>
          </w:tcPr>
          <w:p>
            <w:pPr>
              <w:jc w:val="center"/>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3,780,949</w:t>
            </w: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672,487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Total liabilities</w:t>
            </w:r>
          </w:p>
        </w:tc>
        <w:tc>
          <w:tcPr>
            <w:tcW w:w="1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3,948,184</w:t>
            </w:r>
          </w:p>
        </w:tc>
        <w:tc>
          <w:tcPr>
            <w:tcW w:w="24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891,545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 equity and liabilities</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271,708,925</w:t>
            </w:r>
          </w:p>
        </w:tc>
        <w:tc>
          <w:tcPr>
            <w:tcW w:w="240" w:type="dxa"/>
            <w:vAlign w:val="bottom"/>
          </w:tcPr>
          <w:p>
            <w:pPr>
              <w:spacing w:after="0"/>
              <w:rPr>
                <w:sz w:val="15"/>
                <w:szCs w:val="15"/>
                <w:color w:val="auto"/>
              </w:rPr>
            </w:pPr>
          </w:p>
        </w:tc>
        <w:tc>
          <w:tcPr>
            <w:tcW w:w="1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384,939,948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-2142490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-2142490</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-1148080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-153670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*refer to "Notes to the Company financial statements" for details regarding the restatement as a result of an error.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84"/>
        </w:trPr>
        <w:tc>
          <w:tcPr>
            <w:tcW w:w="138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rPr>
              <w:t>Table of Contents</w:t>
            </w:r>
          </w:p>
        </w:tc>
        <w:tc>
          <w:tcPr>
            <w:tcW w:w="5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6900" w:type="dxa"/>
            <w:vAlign w:val="bottom"/>
            <w:gridSpan w:val="2"/>
          </w:tcPr>
          <w:p>
            <w:pPr>
              <w:spacing w:after="0"/>
              <w:rPr>
                <w:sz w:val="20"/>
                <w:szCs w:val="20"/>
                <w:color w:val="auto"/>
              </w:rPr>
            </w:pPr>
            <w:r>
              <w:rPr>
                <w:rFonts w:ascii="Arial" w:cs="Arial" w:eastAsia="Arial" w:hAnsi="Arial"/>
                <w:sz w:val="16"/>
                <w:szCs w:val="16"/>
                <w:b w:val="1"/>
                <w:bCs w:val="1"/>
                <w:color w:val="auto"/>
              </w:rPr>
              <w:t>Statement of profit or loss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6"/>
                <w:szCs w:val="16"/>
                <w:b w:val="1"/>
                <w:bCs w:val="1"/>
                <w:color w:val="auto"/>
              </w:rPr>
              <w:t>For the year ended December 31, 2024 and 2023</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3"/>
        </w:trPr>
        <w:tc>
          <w:tcPr>
            <w:tcW w:w="13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Note</w:t>
            </w:r>
          </w:p>
        </w:tc>
        <w:tc>
          <w:tcPr>
            <w:tcW w:w="160" w:type="dxa"/>
            <w:vAlign w:val="bottom"/>
            <w:vMerge w:val="restart"/>
          </w:tcPr>
          <w:p>
            <w:pPr>
              <w:spacing w:after="0"/>
              <w:rPr>
                <w:sz w:val="17"/>
                <w:szCs w:val="17"/>
                <w:color w:val="auto"/>
              </w:rPr>
            </w:pPr>
          </w:p>
        </w:tc>
        <w:tc>
          <w:tcPr>
            <w:tcW w:w="15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5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3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Share in results of participating interests</w:t>
            </w:r>
          </w:p>
        </w:tc>
        <w:tc>
          <w:tcPr>
            <w:tcW w:w="1000" w:type="dxa"/>
            <w:vAlign w:val="bottom"/>
            <w:shd w:val="clear" w:color="auto" w:fill="CFF0FC"/>
          </w:tcPr>
          <w:p>
            <w:pPr>
              <w:jc w:val="right"/>
              <w:ind w:right="248"/>
              <w:spacing w:after="0" w:line="183" w:lineRule="exact"/>
              <w:rPr>
                <w:sz w:val="20"/>
                <w:szCs w:val="20"/>
                <w:color w:val="auto"/>
              </w:rPr>
            </w:pPr>
            <w:r>
              <w:rPr>
                <w:rFonts w:ascii="Arial" w:cs="Arial" w:eastAsia="Arial" w:hAnsi="Arial"/>
                <w:sz w:val="16"/>
                <w:szCs w:val="16"/>
                <w:color w:val="auto"/>
              </w:rPr>
              <w:t>1, 10</w:t>
            </w:r>
          </w:p>
        </w:tc>
        <w:tc>
          <w:tcPr>
            <w:tcW w:w="16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(122,576,817)</w:t>
            </w:r>
          </w:p>
        </w:tc>
        <w:tc>
          <w:tcPr>
            <w:tcW w:w="14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(100,478,637)</w:t>
            </w:r>
          </w:p>
        </w:tc>
        <w:tc>
          <w:tcPr>
            <w:tcW w:w="0" w:type="dxa"/>
            <w:vAlign w:val="bottom"/>
          </w:tcPr>
          <w:p>
            <w:pPr>
              <w:spacing w:after="0"/>
              <w:rPr>
                <w:sz w:val="1"/>
                <w:szCs w:val="1"/>
                <w:color w:val="auto"/>
              </w:rPr>
            </w:pPr>
          </w:p>
        </w:tc>
      </w:tr>
      <w:tr>
        <w:trPr>
          <w:trHeight w:val="189"/>
        </w:trPr>
        <w:tc>
          <w:tcPr>
            <w:tcW w:w="6900" w:type="dxa"/>
            <w:vAlign w:val="bottom"/>
            <w:gridSpan w:val="2"/>
          </w:tcPr>
          <w:p>
            <w:pPr>
              <w:spacing w:after="0"/>
              <w:rPr>
                <w:sz w:val="20"/>
                <w:szCs w:val="20"/>
                <w:color w:val="auto"/>
              </w:rPr>
            </w:pPr>
            <w:r>
              <w:rPr>
                <w:rFonts w:ascii="Arial" w:cs="Arial" w:eastAsia="Arial" w:hAnsi="Arial"/>
                <w:sz w:val="16"/>
                <w:szCs w:val="16"/>
                <w:color w:val="auto"/>
              </w:rPr>
              <w:t>Other loss and expenses after taxes</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(11,644,710)</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(396,431)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Loss for the year after tax</w:t>
            </w: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(134,221,527)</w:t>
            </w:r>
          </w:p>
        </w:tc>
        <w:tc>
          <w:tcPr>
            <w:tcW w:w="14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(100,875,068)</w:t>
            </w:r>
          </w:p>
        </w:tc>
        <w:tc>
          <w:tcPr>
            <w:tcW w:w="0" w:type="dxa"/>
            <w:vAlign w:val="bottom"/>
          </w:tcPr>
          <w:p>
            <w:pPr>
              <w:spacing w:after="0"/>
              <w:rPr>
                <w:sz w:val="1"/>
                <w:szCs w:val="1"/>
                <w:color w:val="auto"/>
              </w:rPr>
            </w:pPr>
          </w:p>
        </w:tc>
      </w:tr>
      <w:tr>
        <w:trPr>
          <w:trHeight w:val="20"/>
        </w:trPr>
        <w:tc>
          <w:tcPr>
            <w:tcW w:w="1380" w:type="dxa"/>
            <w:vAlign w:val="bottom"/>
            <w:shd w:val="clear" w:color="auto" w:fill="CFF0FC"/>
          </w:tcPr>
          <w:p>
            <w:pPr>
              <w:spacing w:after="0" w:line="20" w:lineRule="exact"/>
              <w:rPr>
                <w:sz w:val="1"/>
                <w:szCs w:val="1"/>
                <w:color w:val="auto"/>
              </w:rPr>
            </w:pPr>
          </w:p>
        </w:tc>
        <w:tc>
          <w:tcPr>
            <w:tcW w:w="55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Company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5"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These company financial statements and the consolidated financial statements together constitute the statutory financial statements of Pharvaris N.V. (hereinafter: the “Company” or “Pharvaris”). The financial information of the Company is included in the Group’s consolidated financial statements, as presented on pages 128 to 149. The company’s financial statements are prepared based on the accounting principles of recognition, measurement and determination of profit, as applied in the consolidated financial statements.</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September 30, 2015, Pharvaris N.V. was incorporated and is based in Leiden, the Netherlands. The address of its registered office is Emmy Noetherweg 2, Leiden.</w:t>
      </w:r>
    </w:p>
    <w:p>
      <w:pPr>
        <w:spacing w:after="0" w:line="129"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description of the Company’s activities and the Group structure as included in the notes to the consolidated financial statements also apply to the company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policies</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2024 company financial statements including the notes thereon have been prepared in accordance with Part 9 of Book 2 of the Dutch Civil Code. Section 2:362 (8) of the Dutch Civil Code, allows companies that apply IFRS as issued by the European Union in their consolidated financial statements to use the same measurement principles in their company financial statements. Pharvaris has prepared these company financial statements using this provision. These principles also include the classification and presentation of financial instruments, being equity instruments or financial liabilities.</w:t>
      </w:r>
    </w:p>
    <w:p>
      <w:pPr>
        <w:spacing w:after="0" w:line="15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Since Pharvaris N.V.’s statement of profit or loss for 2024 is recognized in the consolidated financial statements, it is sufficient in the company financial statements to present a condensed statement of profit or loss in accordance with section 402 of Book 2 of the Dutch Civil Code.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Participating interest</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Consolidated subsidiaries are all entities (including intermediate subsidiaries) over which the company has control. The Company controls an entity when it is exposed, or has rights, to variable returns from its involvement with the subsidiary and has the ability to affect those returns through its power over the subsidiary. Subsidiaries are recognised from the date on which control is transferred to the Company or its intermediate holding entities. They are derecognised from the date that control ceases.</w:t>
      </w:r>
    </w:p>
    <w:p>
      <w:pPr>
        <w:spacing w:after="0" w:line="15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Investments in subsidiaries are measured using the net asset value method. The measurement of the financial fixed assets under the net asset value method is based on the measurement principles of assets, provisions and liabilities, and the determination of profit as applied in the consolidated financial statements. When subsidiaries have an equity deficit they are measured at zero under the net asset value method, unless the Company has given a liability undertaking or any other guarantee for the consolidated group company. In case of the latter, the Company recognises a provision in the statement of financial position equal to the negative net asset value of the group company. The Company has direct and indirect interests in the subsidiaries listed in the Other Information section of the consolidated financial statements. The company applies the Dutch GAAP with respect to the presentation and disclosure requirements. Under Dutch GAAP the measurement principles applied in the separate financial statements are equal to those applied in the consolidated financial statements due to the fact participating interests and subsidiaries are measured based on the net asset value method (which have similar characteristics to the equity method under IFRS).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of result in participating interest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share of result of participating interests consists of the share of the Group in the results of these participating interests.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income tax</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Company is the head of the fiscal unity including Pharvaris Holdings B.V. and Pharvaris Netherlands B.V. The Company recognizes the portion of corporate income tax charge that it would owe as an independent taxpayer, taking into account the allocation of the advantages of the fiscal unity. Deferred tax positions are recognized by the head of the fiscal unity in total. Under the standard conditions, the members of the tax group are jointly and severally liable for any corporate income taxes payable by the Company.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Presentation of company financial statements</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structure of the Company statement of financial position and Company Statement of profit or loss are aligned as much as possible with the Consolidated statements in order to achieve optimal transparency between the consolidated financial statements and the company financial statements. The Company statement of financial position has been prepared before the appropriation of results.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Correction of prior-period error</w:t>
      </w:r>
    </w:p>
    <w:p>
      <w:pPr>
        <w:spacing w:after="0" w:line="19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During the ongoing year, it was discovered that a foreign currency loss in Pharvaris N.V. was incorrectly reimbursed by Pharvaris GmbH, resulting from the transfer pricing cost allocation during 2022. Consequently, in the 2022 financial statements, Pharvaris N.V. overstated "other loss and expenses after tax" and understated "share in results of participating interest" by an amount of approximately €11.2 million</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This error did not affect any balances reported in the statement of financial position for 2022, nor did it have any impact on the total loss reported for the year.</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the current year financial statements, out of the total prior period error amounting to approximately €11.2 million, approximately €10.5 million was corrected through a reclassification within the financial statements line item "Fixed financial assets". As a result, the correction recorded in the current period necessitates a restatement of the comparative financial statement line items "Fixed financial assets" and "Payables to subsidiaries" by approximately €0.7 million. Further details regarding this restatement are provided in Note 1 to the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error has been corrected by restating each of the effected financial statement line items for the prior period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jc w:val="right"/>
              <w:ind w:right="279"/>
              <w:spacing w:after="0"/>
              <w:rPr>
                <w:sz w:val="20"/>
                <w:szCs w:val="20"/>
                <w:color w:val="auto"/>
              </w:rPr>
            </w:pPr>
            <w:r>
              <w:rPr>
                <w:rFonts w:ascii="Arial" w:cs="Arial" w:eastAsia="Arial" w:hAnsi="Arial"/>
                <w:sz w:val="16"/>
                <w:szCs w:val="16"/>
                <w:color w:val="auto"/>
              </w:rPr>
              <w:t>December 31, 2023</w:t>
            </w:r>
          </w:p>
        </w:tc>
        <w:tc>
          <w:tcPr>
            <w:tcW w:w="120" w:type="dxa"/>
            <w:vAlign w:val="bottom"/>
          </w:tcPr>
          <w:p>
            <w:pPr>
              <w:spacing w:after="0"/>
              <w:rPr>
                <w:sz w:val="17"/>
                <w:szCs w:val="17"/>
                <w:color w:val="auto"/>
              </w:rPr>
            </w:pPr>
          </w:p>
        </w:tc>
        <w:tc>
          <w:tcPr>
            <w:tcW w:w="1920" w:type="dxa"/>
            <w:vAlign w:val="bottom"/>
            <w:gridSpan w:val="2"/>
          </w:tcPr>
          <w:p>
            <w:pPr>
              <w:jc w:val="right"/>
              <w:ind w:right="720"/>
              <w:spacing w:after="0"/>
              <w:rPr>
                <w:sz w:val="20"/>
                <w:szCs w:val="20"/>
                <w:color w:val="auto"/>
              </w:rPr>
            </w:pPr>
            <w:r>
              <w:rPr>
                <w:rFonts w:ascii="Arial" w:cs="Arial" w:eastAsia="Arial" w:hAnsi="Arial"/>
                <w:sz w:val="16"/>
                <w:szCs w:val="16"/>
                <w:color w:val="auto"/>
              </w:rPr>
              <w:t>Dr/ (Cr)*</w:t>
            </w:r>
          </w:p>
        </w:tc>
        <w:tc>
          <w:tcPr>
            <w:tcW w:w="2060" w:type="dxa"/>
            <w:vAlign w:val="bottom"/>
            <w:gridSpan w:val="2"/>
          </w:tcPr>
          <w:p>
            <w:pPr>
              <w:jc w:val="right"/>
              <w:ind w:right="380"/>
              <w:spacing w:after="0"/>
              <w:rPr>
                <w:sz w:val="20"/>
                <w:szCs w:val="20"/>
                <w:color w:val="auto"/>
              </w:rPr>
            </w:pPr>
            <w:r>
              <w:rPr>
                <w:rFonts w:ascii="Arial" w:cs="Arial" w:eastAsia="Arial" w:hAnsi="Arial"/>
                <w:sz w:val="16"/>
                <w:szCs w:val="16"/>
                <w:color w:val="auto"/>
              </w:rPr>
              <w:t>December 31, 2023</w:t>
            </w:r>
          </w:p>
        </w:tc>
      </w:tr>
      <w:tr>
        <w:trPr>
          <w:trHeight w:val="183"/>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top w:val="single" w:sz="8" w:color="auto"/>
            </w:tcBorders>
          </w:tcPr>
          <w:p>
            <w:pPr>
              <w:jc w:val="right"/>
              <w:ind w:right="939"/>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820" w:type="dxa"/>
            <w:vAlign w:val="bottom"/>
            <w:tcBorders>
              <w:top w:val="single" w:sz="8" w:color="auto"/>
            </w:tcBorders>
          </w:tcPr>
          <w:p>
            <w:pPr>
              <w:jc w:val="right"/>
              <w:ind w:right="799"/>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960" w:type="dxa"/>
            <w:vAlign w:val="bottom"/>
            <w:tcBorders>
              <w:top w:val="single" w:sz="8" w:color="auto"/>
            </w:tcBorders>
          </w:tcPr>
          <w:p>
            <w:pPr>
              <w:jc w:val="right"/>
              <w:ind w:right="859"/>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r>
      <w:tr>
        <w:trPr>
          <w:trHeight w:val="189"/>
        </w:trPr>
        <w:tc>
          <w:tcPr>
            <w:tcW w:w="502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Statement of financial position extract</w:t>
            </w:r>
          </w:p>
        </w:tc>
        <w:tc>
          <w:tcPr>
            <w:tcW w:w="2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Non-current assets</w:t>
            </w: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900" w:type="dxa"/>
            <w:vAlign w:val="bottom"/>
            <w:shd w:val="clear" w:color="auto" w:fill="CFF0FF"/>
          </w:tcPr>
          <w:p>
            <w:pPr>
              <w:spacing w:after="0"/>
              <w:rPr>
                <w:sz w:val="20"/>
                <w:szCs w:val="20"/>
                <w:color w:val="auto"/>
              </w:rPr>
            </w:pPr>
            <w:r>
              <w:rPr>
                <w:rFonts w:ascii="Arial" w:cs="Arial" w:eastAsia="Arial" w:hAnsi="Arial"/>
                <w:sz w:val="16"/>
                <w:szCs w:val="16"/>
                <w:color w:val="auto"/>
              </w:rPr>
              <w:t>Fixed financial assets</w:t>
            </w:r>
          </w:p>
        </w:tc>
        <w:tc>
          <w:tcPr>
            <w:tcW w:w="120" w:type="dxa"/>
            <w:vAlign w:val="bottom"/>
            <w:shd w:val="clear" w:color="auto" w:fill="CFF0FC"/>
          </w:tcPr>
          <w:p>
            <w:pPr>
              <w:spacing w:after="0"/>
              <w:rPr>
                <w:sz w:val="16"/>
                <w:szCs w:val="16"/>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361,132,187</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672,487</w:t>
            </w:r>
          </w:p>
        </w:tc>
        <w:tc>
          <w:tcPr>
            <w:tcW w:w="100" w:type="dxa"/>
            <w:vAlign w:val="bottom"/>
            <w:shd w:val="clear" w:color="auto" w:fill="CFF0FC"/>
          </w:tcPr>
          <w:p>
            <w:pPr>
              <w:spacing w:after="0"/>
              <w:rPr>
                <w:sz w:val="16"/>
                <w:szCs w:val="16"/>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361,804,674</w:t>
            </w:r>
          </w:p>
        </w:tc>
        <w:tc>
          <w:tcPr>
            <w:tcW w:w="100" w:type="dxa"/>
            <w:vAlign w:val="bottom"/>
            <w:shd w:val="clear" w:color="auto" w:fill="CFF0FC"/>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900" w:type="dxa"/>
            <w:vAlign w:val="bottom"/>
            <w:shd w:val="clear" w:color="auto" w:fill="CFF0FF"/>
          </w:tcPr>
          <w:p>
            <w:pPr>
              <w:spacing w:after="0"/>
              <w:rPr>
                <w:sz w:val="20"/>
                <w:szCs w:val="20"/>
                <w:color w:val="auto"/>
              </w:rPr>
            </w:pPr>
            <w:r>
              <w:rPr>
                <w:rFonts w:ascii="Arial" w:cs="Arial" w:eastAsia="Arial" w:hAnsi="Arial"/>
                <w:sz w:val="16"/>
                <w:szCs w:val="16"/>
                <w:color w:val="auto"/>
              </w:rPr>
              <w:t>Payable to subsidiaries</w:t>
            </w:r>
          </w:p>
        </w:tc>
        <w:tc>
          <w:tcPr>
            <w:tcW w:w="120" w:type="dxa"/>
            <w:vAlign w:val="bottom"/>
            <w:shd w:val="clear" w:color="auto" w:fill="CFF0FC"/>
          </w:tcPr>
          <w:p>
            <w:pPr>
              <w:spacing w:after="0"/>
              <w:rPr>
                <w:sz w:val="16"/>
                <w:szCs w:val="16"/>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(672,487)</w:t>
            </w: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(672,487)</w:t>
            </w:r>
          </w:p>
        </w:tc>
      </w:tr>
      <w:tr>
        <w:trPr>
          <w:trHeight w:val="183"/>
        </w:trPr>
        <w:tc>
          <w:tcPr>
            <w:tcW w:w="4900" w:type="dxa"/>
            <w:vAlign w:val="bottom"/>
            <w:tcBorders>
              <w:top w:val="single" w:sz="8" w:color="CFF0FF"/>
            </w:tcBorders>
          </w:tcPr>
          <w:p>
            <w:pPr>
              <w:spacing w:after="0" w:line="169" w:lineRule="exact"/>
              <w:rPr>
                <w:sz w:val="20"/>
                <w:szCs w:val="20"/>
                <w:color w:val="auto"/>
              </w:rPr>
            </w:pPr>
            <w:r>
              <w:rPr>
                <w:rFonts w:ascii="Arial" w:cs="Arial" w:eastAsia="Arial" w:hAnsi="Arial"/>
                <w:sz w:val="16"/>
                <w:szCs w:val="16"/>
                <w:color w:val="auto"/>
              </w:rPr>
              <w:t>Total</w:t>
            </w:r>
          </w:p>
        </w:tc>
        <w:tc>
          <w:tcPr>
            <w:tcW w:w="120" w:type="dxa"/>
            <w:vAlign w:val="bottom"/>
            <w:tcBorders>
              <w:top w:val="single" w:sz="8" w:color="CFF0FC"/>
            </w:tcBorders>
          </w:tcPr>
          <w:p>
            <w:pPr>
              <w:spacing w:after="0"/>
              <w:rPr>
                <w:sz w:val="15"/>
                <w:szCs w:val="15"/>
                <w:color w:val="auto"/>
              </w:rPr>
            </w:pPr>
          </w:p>
        </w:tc>
        <w:tc>
          <w:tcPr>
            <w:tcW w:w="2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361,132,187</w:t>
            </w:r>
          </w:p>
        </w:tc>
        <w:tc>
          <w:tcPr>
            <w:tcW w:w="120" w:type="dxa"/>
            <w:vAlign w:val="bottom"/>
            <w:tcBorders>
              <w:top w:val="single" w:sz="8" w:color="CFF0FC"/>
            </w:tcBorders>
          </w:tcPr>
          <w:p>
            <w:pPr>
              <w:spacing w:after="0"/>
              <w:rPr>
                <w:sz w:val="15"/>
                <w:szCs w:val="15"/>
                <w:color w:val="auto"/>
              </w:rPr>
            </w:pPr>
          </w:p>
        </w:tc>
        <w:tc>
          <w:tcPr>
            <w:tcW w:w="1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5"/>
                <w:szCs w:val="15"/>
                <w:color w:val="auto"/>
              </w:rPr>
            </w:pPr>
          </w:p>
        </w:tc>
        <w:tc>
          <w:tcPr>
            <w:tcW w:w="19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361,132,187</w:t>
            </w:r>
          </w:p>
        </w:tc>
        <w:tc>
          <w:tcPr>
            <w:tcW w:w="100" w:type="dxa"/>
            <w:vAlign w:val="bottom"/>
            <w:tcBorders>
              <w:top w:val="single" w:sz="8" w:color="CFF0FC"/>
            </w:tcBorders>
          </w:tcPr>
          <w:p>
            <w:pPr>
              <w:spacing w:after="0"/>
              <w:rPr>
                <w:sz w:val="15"/>
                <w:szCs w:val="15"/>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-153670</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-153670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 of the financial statements for detail of the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Financial fixed assets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Movements in the financial fixed assets were as follows: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5120" w:type="dxa"/>
            <w:vAlign w:val="bottom"/>
          </w:tcPr>
          <w:p>
            <w:pPr>
              <w:spacing w:after="0"/>
              <w:rPr>
                <w:sz w:val="24"/>
                <w:szCs w:val="2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rPr>
              <w:t>Investment in</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rPr>
              <w:t>Loans to</w:t>
            </w:r>
          </w:p>
        </w:tc>
        <w:tc>
          <w:tcPr>
            <w:tcW w:w="2120" w:type="dxa"/>
            <w:vAlign w:val="bottom"/>
            <w:gridSpan w:val="2"/>
          </w:tcPr>
          <w:p>
            <w:pPr>
              <w:jc w:val="right"/>
              <w:ind w:right="8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rPr>
              <w:t>subsidiaries</w:t>
            </w:r>
          </w:p>
        </w:tc>
        <w:tc>
          <w:tcPr>
            <w:tcW w:w="206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subsidiaries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18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9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2020" w:type="dxa"/>
            <w:vAlign w:val="bottom"/>
            <w:tcBorders>
              <w:top w:val="single" w:sz="8" w:color="auto"/>
            </w:tcBorders>
          </w:tcPr>
          <w:p>
            <w:pPr>
              <w:jc w:val="right"/>
              <w:ind w:right="839"/>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At January 1, 2024</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350,583,884</w:t>
            </w:r>
          </w:p>
        </w:tc>
        <w:tc>
          <w:tcPr>
            <w:tcW w:w="120" w:type="dxa"/>
            <w:vAlign w:val="bottom"/>
            <w:shd w:val="clear" w:color="auto" w:fill="CFF0FC"/>
          </w:tcPr>
          <w:p>
            <w:pPr>
              <w:spacing w:after="0"/>
              <w:rPr>
                <w:sz w:val="16"/>
                <w:szCs w:val="16"/>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10,548,303</w:t>
            </w:r>
          </w:p>
        </w:tc>
        <w:tc>
          <w:tcPr>
            <w:tcW w:w="100" w:type="dxa"/>
            <w:vAlign w:val="bottom"/>
            <w:shd w:val="clear" w:color="auto" w:fill="CFF0FC"/>
          </w:tcPr>
          <w:p>
            <w:pPr>
              <w:spacing w:after="0"/>
              <w:rPr>
                <w:sz w:val="16"/>
                <w:szCs w:val="16"/>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361,132,187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Restatement*</w:t>
            </w:r>
          </w:p>
        </w:tc>
        <w:tc>
          <w:tcPr>
            <w:tcW w:w="1820" w:type="dxa"/>
            <w:vAlign w:val="bottom"/>
          </w:tcPr>
          <w:p>
            <w:pPr>
              <w:jc w:val="right"/>
              <w:spacing w:after="0"/>
              <w:rPr>
                <w:sz w:val="20"/>
                <w:szCs w:val="20"/>
                <w:color w:val="auto"/>
              </w:rPr>
            </w:pPr>
            <w:r>
              <w:rPr>
                <w:rFonts w:ascii="Arial" w:cs="Arial" w:eastAsia="Arial" w:hAnsi="Arial"/>
                <w:sz w:val="16"/>
                <w:szCs w:val="16"/>
                <w:color w:val="auto"/>
              </w:rPr>
              <w:t>11,220,790</w:t>
            </w:r>
          </w:p>
        </w:tc>
        <w:tc>
          <w:tcPr>
            <w:tcW w:w="120" w:type="dxa"/>
            <w:vAlign w:val="bottom"/>
          </w:tcPr>
          <w:p>
            <w:pPr>
              <w:spacing w:after="0"/>
              <w:rPr>
                <w:sz w:val="16"/>
                <w:szCs w:val="16"/>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6"/>
                <w:szCs w:val="16"/>
                <w:color w:val="auto"/>
              </w:rPr>
              <w:t>(10,548,303)</w:t>
            </w:r>
          </w:p>
        </w:tc>
        <w:tc>
          <w:tcPr>
            <w:tcW w:w="2020" w:type="dxa"/>
            <w:vAlign w:val="bottom"/>
          </w:tcPr>
          <w:p>
            <w:pPr>
              <w:jc w:val="right"/>
              <w:spacing w:after="0"/>
              <w:rPr>
                <w:sz w:val="20"/>
                <w:szCs w:val="20"/>
                <w:color w:val="auto"/>
              </w:rPr>
            </w:pPr>
            <w:r>
              <w:rPr>
                <w:rFonts w:ascii="Arial" w:cs="Arial" w:eastAsia="Arial" w:hAnsi="Arial"/>
                <w:sz w:val="16"/>
                <w:szCs w:val="16"/>
                <w:color w:val="auto"/>
              </w:rPr>
              <w:t>672,487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At January 1, 2024 (Restated*) Net book value</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361,804,674</w:t>
            </w:r>
          </w:p>
        </w:tc>
        <w:tc>
          <w:tcPr>
            <w:tcW w:w="120" w:type="dxa"/>
            <w:vAlign w:val="bottom"/>
            <w:shd w:val="clear" w:color="auto" w:fill="CFF0FC"/>
          </w:tcPr>
          <w:p>
            <w:pPr>
              <w:spacing w:after="0"/>
              <w:rPr>
                <w:sz w:val="16"/>
                <w:szCs w:val="16"/>
                <w:color w:val="auto"/>
              </w:rPr>
            </w:pP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361,804,674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20"/>
                <w:szCs w:val="20"/>
                <w:color w:val="auto"/>
              </w:rPr>
            </w:pPr>
            <w:r>
              <w:rPr>
                <w:rFonts w:ascii="Arial" w:cs="Arial" w:eastAsia="Arial" w:hAnsi="Arial"/>
                <w:sz w:val="16"/>
                <w:szCs w:val="16"/>
                <w:b w:val="1"/>
                <w:bCs w:val="1"/>
                <w:color w:val="auto"/>
              </w:rPr>
              <w:t>Movements in book value</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Investments / (conversion into equity)</w:t>
            </w:r>
          </w:p>
        </w:tc>
        <w:tc>
          <w:tcPr>
            <w:tcW w:w="1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Exchange differences</w:t>
            </w:r>
          </w:p>
        </w:tc>
        <w:tc>
          <w:tcPr>
            <w:tcW w:w="1820" w:type="dxa"/>
            <w:vAlign w:val="bottom"/>
          </w:tcPr>
          <w:p>
            <w:pPr>
              <w:jc w:val="right"/>
              <w:spacing w:after="0"/>
              <w:rPr>
                <w:sz w:val="20"/>
                <w:szCs w:val="20"/>
                <w:color w:val="auto"/>
              </w:rPr>
            </w:pPr>
            <w:r>
              <w:rPr>
                <w:rFonts w:ascii="Arial" w:cs="Arial" w:eastAsia="Arial" w:hAnsi="Arial"/>
                <w:sz w:val="16"/>
                <w:szCs w:val="16"/>
                <w:color w:val="auto"/>
              </w:rPr>
              <w:t>152,310</w:t>
            </w:r>
          </w:p>
        </w:tc>
        <w:tc>
          <w:tcPr>
            <w:tcW w:w="120" w:type="dxa"/>
            <w:vAlign w:val="bottom"/>
          </w:tcPr>
          <w:p>
            <w:pPr>
              <w:spacing w:after="0"/>
              <w:rPr>
                <w:sz w:val="16"/>
                <w:szCs w:val="16"/>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152,310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Share of loss of participations</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(122,576,817)</w:t>
            </w: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(122,576,817)</w:t>
            </w:r>
          </w:p>
        </w:tc>
        <w:tc>
          <w:tcPr>
            <w:tcW w:w="0" w:type="dxa"/>
            <w:vAlign w:val="bottom"/>
          </w:tcPr>
          <w:p>
            <w:pPr>
              <w:spacing w:after="0"/>
              <w:rPr>
                <w:sz w:val="1"/>
                <w:szCs w:val="1"/>
                <w:color w:val="auto"/>
              </w:rPr>
            </w:pP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Other movements</w:t>
            </w: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120" w:type="dxa"/>
            <w:vAlign w:val="bottom"/>
            <w:vMerge w:val="restart"/>
          </w:tcPr>
          <w:p>
            <w:pPr>
              <w:spacing w:after="0"/>
              <w:rPr>
                <w:sz w:val="20"/>
                <w:szCs w:val="20"/>
                <w:color w:val="auto"/>
              </w:rPr>
            </w:pPr>
            <w:r>
              <w:rPr>
                <w:rFonts w:ascii="Arial" w:cs="Arial" w:eastAsia="Arial" w:hAnsi="Arial"/>
                <w:sz w:val="16"/>
                <w:szCs w:val="16"/>
                <w:b w:val="1"/>
                <w:bCs w:val="1"/>
                <w:color w:val="auto"/>
              </w:rPr>
              <w:t>At December 31, 2024</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(122,424,507)</w:t>
            </w:r>
          </w:p>
        </w:tc>
        <w:tc>
          <w:tcPr>
            <w:tcW w:w="120" w:type="dxa"/>
            <w:vAlign w:val="bottom"/>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(122,424,507)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120" w:type="dxa"/>
            <w:vAlign w:val="bottom"/>
            <w:vMerge w:val="continue"/>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F"/>
            </w:tcBorders>
            <w:shd w:val="clear" w:color="auto" w:fill="CFF0FF"/>
          </w:tcPr>
          <w:p>
            <w:pPr>
              <w:spacing w:after="0" w:line="169" w:lineRule="exact"/>
              <w:rPr>
                <w:sz w:val="20"/>
                <w:szCs w:val="20"/>
                <w:color w:val="auto"/>
              </w:rPr>
            </w:pPr>
            <w:r>
              <w:rPr>
                <w:rFonts w:ascii="Arial" w:cs="Arial" w:eastAsia="Arial" w:hAnsi="Arial"/>
                <w:sz w:val="16"/>
                <w:szCs w:val="16"/>
                <w:color w:val="auto"/>
              </w:rPr>
              <w:t>Net book value</w:t>
            </w:r>
          </w:p>
        </w:tc>
        <w:tc>
          <w:tcPr>
            <w:tcW w:w="1820" w:type="dxa"/>
            <w:vAlign w:val="bottom"/>
            <w:tcBorders>
              <w:bottom w:val="single" w:sz="8" w:color="auto"/>
            </w:tcBorders>
            <w:shd w:val="clear" w:color="auto" w:fill="CFF0FF"/>
          </w:tcPr>
          <w:p>
            <w:pPr>
              <w:jc w:val="right"/>
              <w:spacing w:after="0" w:line="169" w:lineRule="exact"/>
              <w:rPr>
                <w:sz w:val="20"/>
                <w:szCs w:val="20"/>
                <w:color w:val="auto"/>
              </w:rPr>
            </w:pPr>
            <w:r>
              <w:rPr>
                <w:rFonts w:ascii="Arial" w:cs="Arial" w:eastAsia="Arial" w:hAnsi="Arial"/>
                <w:sz w:val="16"/>
                <w:szCs w:val="16"/>
                <w:color w:val="auto"/>
              </w:rPr>
              <w:t>239,380,167</w:t>
            </w:r>
          </w:p>
        </w:tc>
        <w:tc>
          <w:tcPr>
            <w:tcW w:w="120" w:type="dxa"/>
            <w:vAlign w:val="bottom"/>
            <w:tcBorders>
              <w:bottom w:val="single" w:sz="8" w:color="CFF0FF"/>
            </w:tcBorders>
            <w:shd w:val="clear" w:color="auto" w:fill="CFF0FF"/>
          </w:tcPr>
          <w:p>
            <w:pPr>
              <w:spacing w:after="0"/>
              <w:rPr>
                <w:sz w:val="19"/>
                <w:szCs w:val="19"/>
                <w:color w:val="auto"/>
              </w:rPr>
            </w:pPr>
          </w:p>
        </w:tc>
        <w:tc>
          <w:tcPr>
            <w:tcW w:w="1960" w:type="dxa"/>
            <w:vAlign w:val="bottom"/>
            <w:tcBorders>
              <w:bottom w:val="single" w:sz="8" w:color="auto"/>
            </w:tcBorders>
            <w:shd w:val="clear" w:color="auto" w:fill="CFF0FF"/>
          </w:tcPr>
          <w:p>
            <w:pPr>
              <w:jc w:val="right"/>
              <w:spacing w:after="0" w:line="169"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F"/>
            </w:tcBorders>
            <w:shd w:val="clear" w:color="auto" w:fill="CFF0FF"/>
          </w:tcPr>
          <w:p>
            <w:pPr>
              <w:spacing w:after="0"/>
              <w:rPr>
                <w:sz w:val="19"/>
                <w:szCs w:val="19"/>
                <w:color w:val="auto"/>
              </w:rPr>
            </w:pPr>
          </w:p>
        </w:tc>
        <w:tc>
          <w:tcPr>
            <w:tcW w:w="2020" w:type="dxa"/>
            <w:vAlign w:val="bottom"/>
            <w:tcBorders>
              <w:bottom w:val="single" w:sz="8" w:color="auto"/>
            </w:tcBorders>
            <w:shd w:val="clear" w:color="auto" w:fill="CFF0FF"/>
          </w:tcPr>
          <w:p>
            <w:pPr>
              <w:jc w:val="right"/>
              <w:spacing w:after="0" w:line="169" w:lineRule="exact"/>
              <w:rPr>
                <w:sz w:val="20"/>
                <w:szCs w:val="20"/>
                <w:color w:val="auto"/>
              </w:rPr>
            </w:pPr>
            <w:r>
              <w:rPr>
                <w:rFonts w:ascii="Arial" w:cs="Arial" w:eastAsia="Arial" w:hAnsi="Arial"/>
                <w:sz w:val="16"/>
                <w:szCs w:val="16"/>
                <w:color w:val="auto"/>
              </w:rPr>
              <w:t>239,380,167</w:t>
            </w:r>
          </w:p>
        </w:tc>
        <w:tc>
          <w:tcPr>
            <w:tcW w:w="100" w:type="dxa"/>
            <w:vAlign w:val="bottom"/>
            <w:tcBorders>
              <w:bottom w:val="single" w:sz="8" w:color="CFF0FF"/>
            </w:tcBorders>
            <w:shd w:val="clear" w:color="auto" w:fill="CFF0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Pharvaris Holdings B.V. reported a loss of €122,576,817 for the year ended December 31, 2024 (2023: €100,478,637).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investment in subsidiaries is carried at €239,380,167 on December 31, 2024 (2023: €361,804,674).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directly holds 100% of the shares of Pharvaris Holdings B.V. (2023: 100%) and indirectly holds 100% of the shares of Pharvaris Netherlands</w:t>
      </w:r>
    </w:p>
    <w:p>
      <w:pPr>
        <w:spacing w:after="0" w:line="21"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B.V. (2023: 100%), 100% of the shares of Pharvaris Inc. (2023: 100%) and 100% of the shares of Pharvaris GmbH (2023: 100%) via Pharvaris Holdings B.V.</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*Net book value at January 1, 2024 has been restated due to a prior period error (refer to "Notes to the Company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Receivables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820" w:type="dxa"/>
            <w:vAlign w:val="bottom"/>
            <w:gridSpan w:val="3"/>
          </w:tcPr>
          <w:p>
            <w:pPr>
              <w:ind w:left="280"/>
              <w:spacing w:after="0"/>
              <w:rPr>
                <w:sz w:val="20"/>
                <w:szCs w:val="20"/>
                <w:color w:val="auto"/>
              </w:rPr>
            </w:pPr>
            <w:r>
              <w:rPr>
                <w:rFonts w:ascii="Arial" w:cs="Arial" w:eastAsia="Arial" w:hAnsi="Arial"/>
                <w:sz w:val="16"/>
                <w:szCs w:val="16"/>
                <w:b w:val="1"/>
                <w:bCs w:val="1"/>
                <w:color w:val="auto"/>
              </w:rPr>
              <w:t>December 31,</w:t>
            </w: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00" w:type="dxa"/>
            <w:vAlign w:val="bottom"/>
          </w:tcPr>
          <w:p>
            <w:pPr>
              <w:spacing w:after="0"/>
              <w:rPr>
                <w:sz w:val="17"/>
                <w:szCs w:val="17"/>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r>
      <w:tr>
        <w:trPr>
          <w:trHeight w:val="183"/>
        </w:trPr>
        <w:tc>
          <w:tcPr>
            <w:tcW w:w="7700" w:type="dxa"/>
            <w:vAlign w:val="bottom"/>
          </w:tcPr>
          <w:p>
            <w:pPr>
              <w:spacing w:after="0"/>
              <w:rPr>
                <w:sz w:val="15"/>
                <w:szCs w:val="15"/>
                <w:color w:val="auto"/>
              </w:rPr>
            </w:pPr>
          </w:p>
        </w:tc>
        <w:tc>
          <w:tcPr>
            <w:tcW w:w="16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5"/>
                <w:szCs w:val="15"/>
                <w:color w:val="auto"/>
              </w:rPr>
            </w:pPr>
          </w:p>
        </w:tc>
      </w:tr>
      <w:tr>
        <w:trPr>
          <w:trHeight w:val="189"/>
        </w:trPr>
        <w:tc>
          <w:tcPr>
            <w:tcW w:w="7700" w:type="dxa"/>
            <w:vAlign w:val="bottom"/>
            <w:tcBorders>
              <w:bottom w:val="single" w:sz="8" w:color="CFF4FF"/>
            </w:tcBorders>
            <w:shd w:val="clear" w:color="auto" w:fill="CFF4FF"/>
          </w:tcPr>
          <w:p>
            <w:pPr>
              <w:spacing w:after="0"/>
              <w:rPr>
                <w:sz w:val="20"/>
                <w:szCs w:val="20"/>
                <w:color w:val="auto"/>
              </w:rPr>
            </w:pPr>
            <w:r>
              <w:rPr>
                <w:rFonts w:ascii="Times New Roman" w:cs="Times New Roman" w:eastAsia="Times New Roman" w:hAnsi="Times New Roman"/>
                <w:sz w:val="16"/>
                <w:szCs w:val="16"/>
                <w:color w:val="auto"/>
              </w:rPr>
              <w:t>VAT receivables</w:t>
            </w:r>
          </w:p>
        </w:tc>
        <w:tc>
          <w:tcPr>
            <w:tcW w:w="16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72,002</w:t>
            </w:r>
          </w:p>
        </w:tc>
        <w:tc>
          <w:tcPr>
            <w:tcW w:w="20" w:type="dxa"/>
            <w:vAlign w:val="bottom"/>
            <w:tcBorders>
              <w:bottom w:val="single" w:sz="8" w:color="CFF4FF"/>
            </w:tcBorders>
            <w:shd w:val="clear" w:color="auto" w:fill="CFF4FF"/>
          </w:tcPr>
          <w:p>
            <w:pPr>
              <w:spacing w:after="0"/>
              <w:rPr>
                <w:sz w:val="16"/>
                <w:szCs w:val="16"/>
                <w:color w:val="auto"/>
              </w:rPr>
            </w:pPr>
          </w:p>
        </w:tc>
        <w:tc>
          <w:tcPr>
            <w:tcW w:w="200" w:type="dxa"/>
            <w:vAlign w:val="bottom"/>
            <w:tcBorders>
              <w:bottom w:val="single" w:sz="8" w:color="CFF4FF"/>
            </w:tcBorders>
            <w:shd w:val="clear" w:color="auto" w:fill="CFF4FF"/>
          </w:tcPr>
          <w:p>
            <w:pPr>
              <w:spacing w:after="0"/>
              <w:rPr>
                <w:sz w:val="16"/>
                <w:szCs w:val="16"/>
                <w:color w:val="auto"/>
              </w:rPr>
            </w:pPr>
          </w:p>
        </w:tc>
        <w:tc>
          <w:tcPr>
            <w:tcW w:w="16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69,883</w:t>
            </w:r>
          </w:p>
        </w:tc>
        <w:tc>
          <w:tcPr>
            <w:tcW w:w="120" w:type="dxa"/>
            <w:vAlign w:val="bottom"/>
            <w:tcBorders>
              <w:bottom w:val="single" w:sz="8" w:color="CFF4FF"/>
            </w:tcBorders>
            <w:shd w:val="clear" w:color="auto" w:fill="CFF4FF"/>
          </w:tcPr>
          <w:p>
            <w:pPr>
              <w:spacing w:after="0"/>
              <w:rPr>
                <w:sz w:val="16"/>
                <w:szCs w:val="16"/>
                <w:color w:val="auto"/>
              </w:rPr>
            </w:pPr>
          </w:p>
        </w:tc>
      </w:tr>
      <w:tr>
        <w:trPr>
          <w:trHeight w:val="183"/>
        </w:trPr>
        <w:tc>
          <w:tcPr>
            <w:tcW w:w="77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72,002</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69,883</w:t>
            </w:r>
          </w:p>
        </w:tc>
        <w:tc>
          <w:tcPr>
            <w:tcW w:w="12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receivables do not bear any interest, the fair value approximates the book value. All receivables fall due within one year.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Prepayments, other receivables and deferred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820" w:type="dxa"/>
            <w:vAlign w:val="bottom"/>
            <w:gridSpan w:val="3"/>
          </w:tcPr>
          <w:p>
            <w:pPr>
              <w:ind w:left="280"/>
              <w:spacing w:after="0"/>
              <w:rPr>
                <w:sz w:val="20"/>
                <w:szCs w:val="20"/>
                <w:color w:val="auto"/>
              </w:rPr>
            </w:pPr>
            <w:r>
              <w:rPr>
                <w:rFonts w:ascii="Arial" w:cs="Arial" w:eastAsia="Arial" w:hAnsi="Arial"/>
                <w:sz w:val="16"/>
                <w:szCs w:val="16"/>
                <w:b w:val="1"/>
                <w:bCs w:val="1"/>
                <w:color w:val="auto"/>
              </w:rPr>
              <w:t>December 31,</w:t>
            </w: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00" w:type="dxa"/>
            <w:vAlign w:val="bottom"/>
          </w:tcPr>
          <w:p>
            <w:pPr>
              <w:spacing w:after="0"/>
              <w:rPr>
                <w:sz w:val="17"/>
                <w:szCs w:val="17"/>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r>
      <w:tr>
        <w:trPr>
          <w:trHeight w:val="18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5"/>
                <w:szCs w:val="15"/>
                <w:color w:val="auto"/>
              </w:rPr>
            </w:pPr>
          </w:p>
        </w:tc>
      </w:tr>
      <w:tr>
        <w:trPr>
          <w:trHeight w:val="183"/>
        </w:trPr>
        <w:tc>
          <w:tcPr>
            <w:tcW w:w="7700" w:type="dxa"/>
            <w:vAlign w:val="bottom"/>
            <w:shd w:val="clear" w:color="auto" w:fill="CFF0FF"/>
          </w:tcPr>
          <w:p>
            <w:pPr>
              <w:spacing w:after="0" w:line="183" w:lineRule="exact"/>
              <w:rPr>
                <w:sz w:val="20"/>
                <w:szCs w:val="20"/>
                <w:color w:val="auto"/>
              </w:rPr>
            </w:pPr>
            <w:r>
              <w:rPr>
                <w:rFonts w:ascii="Arial" w:cs="Arial" w:eastAsia="Arial" w:hAnsi="Arial"/>
                <w:sz w:val="16"/>
                <w:szCs w:val="16"/>
                <w:color w:val="auto"/>
              </w:rPr>
              <w:t>Prepayments</w:t>
            </w:r>
          </w:p>
        </w:tc>
        <w:tc>
          <w:tcPr>
            <w:tcW w:w="1620" w:type="dxa"/>
            <w:vAlign w:val="bottom"/>
            <w:gridSpan w:val="2"/>
            <w:shd w:val="clear" w:color="auto" w:fill="CFF0FF"/>
          </w:tcPr>
          <w:p>
            <w:pPr>
              <w:jc w:val="right"/>
              <w:ind w:right="20"/>
              <w:spacing w:after="0" w:line="183" w:lineRule="exact"/>
              <w:rPr>
                <w:sz w:val="20"/>
                <w:szCs w:val="20"/>
                <w:color w:val="auto"/>
              </w:rPr>
            </w:pPr>
            <w:r>
              <w:rPr>
                <w:rFonts w:ascii="Arial" w:cs="Arial" w:eastAsia="Arial" w:hAnsi="Arial"/>
                <w:sz w:val="16"/>
                <w:szCs w:val="16"/>
                <w:color w:val="auto"/>
              </w:rPr>
              <w:t>342,301</w:t>
            </w:r>
          </w:p>
        </w:tc>
        <w:tc>
          <w:tcPr>
            <w:tcW w:w="200" w:type="dxa"/>
            <w:vAlign w:val="bottom"/>
            <w:shd w:val="clear" w:color="auto" w:fill="CFF0FF"/>
          </w:tcPr>
          <w:p>
            <w:pPr>
              <w:spacing w:after="0"/>
              <w:rPr>
                <w:sz w:val="15"/>
                <w:szCs w:val="15"/>
                <w:color w:val="auto"/>
              </w:rPr>
            </w:pPr>
          </w:p>
        </w:tc>
        <w:tc>
          <w:tcPr>
            <w:tcW w:w="160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414,185</w:t>
            </w:r>
          </w:p>
        </w:tc>
        <w:tc>
          <w:tcPr>
            <w:tcW w:w="120" w:type="dxa"/>
            <w:vAlign w:val="bottom"/>
            <w:shd w:val="clear" w:color="auto" w:fill="CFF0FF"/>
          </w:tcPr>
          <w:p>
            <w:pPr>
              <w:spacing w:after="0"/>
              <w:rPr>
                <w:sz w:val="15"/>
                <w:szCs w:val="15"/>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Other receivables and deferred expenses</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41,945</w:t>
            </w:r>
          </w:p>
        </w:tc>
        <w:tc>
          <w:tcPr>
            <w:tcW w:w="2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447,310</w:t>
            </w:r>
          </w:p>
        </w:tc>
        <w:tc>
          <w:tcPr>
            <w:tcW w:w="120" w:type="dxa"/>
            <w:vAlign w:val="bottom"/>
          </w:tcPr>
          <w:p>
            <w:pPr>
              <w:spacing w:after="0"/>
              <w:rPr>
                <w:sz w:val="16"/>
                <w:szCs w:val="16"/>
                <w:color w:val="auto"/>
              </w:rPr>
            </w:pPr>
          </w:p>
        </w:tc>
      </w:tr>
      <w:tr>
        <w:trPr>
          <w:trHeight w:val="183"/>
        </w:trPr>
        <w:tc>
          <w:tcPr>
            <w:tcW w:w="77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384,246</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861,495</w:t>
            </w:r>
          </w:p>
        </w:tc>
        <w:tc>
          <w:tcPr>
            <w:tcW w:w="12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Prepayments per December 31, 2024 and 2023 mainly relate to prepaid D&amp;O insurance.</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Other receivables and deferred expenses per December 31, 2023 mainly consist of deferred transaction costs related to Group’s in-process equity financing (refer to note 13 in the consolidated financial statements). The Company defers the transaction costs related to any in-process financing. Upon recognition of the equity instruments, the related transaction costs are deducted from share premium. The fair value of the prepayments, other receivables and deferred expenses approximates the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Cash and cash equivalents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820" w:type="dxa"/>
            <w:vAlign w:val="bottom"/>
            <w:gridSpan w:val="3"/>
          </w:tcPr>
          <w:p>
            <w:pPr>
              <w:ind w:left="280"/>
              <w:spacing w:after="0"/>
              <w:rPr>
                <w:sz w:val="20"/>
                <w:szCs w:val="20"/>
                <w:color w:val="auto"/>
              </w:rPr>
            </w:pPr>
            <w:r>
              <w:rPr>
                <w:rFonts w:ascii="Arial" w:cs="Arial" w:eastAsia="Arial" w:hAnsi="Arial"/>
                <w:sz w:val="16"/>
                <w:szCs w:val="16"/>
                <w:b w:val="1"/>
                <w:bCs w:val="1"/>
                <w:color w:val="auto"/>
              </w:rPr>
              <w:t>December 31,</w:t>
            </w: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17"/>
                <w:szCs w:val="17"/>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w:t>
            </w: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31,872,510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22,203,896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170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31,872,510</w:t>
            </w:r>
          </w:p>
        </w:tc>
        <w:tc>
          <w:tcPr>
            <w:tcW w:w="120" w:type="dxa"/>
            <w:vAlign w:val="bottom"/>
          </w:tcPr>
          <w:p>
            <w:pPr>
              <w:spacing w:after="0"/>
              <w:rPr>
                <w:sz w:val="15"/>
                <w:szCs w:val="15"/>
                <w:color w:val="auto"/>
              </w:rPr>
            </w:pPr>
          </w:p>
        </w:tc>
        <w:tc>
          <w:tcPr>
            <w:tcW w:w="172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22,203,896</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color w:val="auto"/>
              </w:rPr>
              <w:t>The Cash and cash equivalents consist of bank balances and are not subject to any restriction.</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8"/>
        </w:trPr>
        <w:tc>
          <w:tcPr>
            <w:tcW w:w="7700" w:type="dxa"/>
            <w:vAlign w:val="bottom"/>
          </w:tcPr>
          <w:p>
            <w:pPr>
              <w:jc w:val="right"/>
              <w:ind w:right="1859"/>
              <w:spacing w:after="0"/>
              <w:rPr>
                <w:sz w:val="20"/>
                <w:szCs w:val="20"/>
                <w:color w:val="auto"/>
              </w:rPr>
            </w:pPr>
            <w:r>
              <w:rPr>
                <w:rFonts w:ascii="Arial" w:cs="Arial" w:eastAsia="Arial" w:hAnsi="Arial"/>
                <w:sz w:val="16"/>
                <w:szCs w:val="16"/>
                <w:color w:val="auto"/>
              </w:rPr>
              <w:t>135</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77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Equity</w:t>
      </w:r>
    </w:p>
    <w:p>
      <w:pPr>
        <w:spacing w:after="0" w:line="12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On December 31, 2024, the Company’s authorized share capital amounted to € 14.1 million divided into 117,500,000 ordinary shares, each with a nominal value of (€0.12). (2023 and 2022: authorized share capital amounted to € 14.1 million divided into 58,750,000 ordinary shares and 58,750,000 preferred shares, each with a nominal value of (€0.12).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of December 31, 2024, the total number of issued and fully paid shares was 54,379,491 (2023: 52,290,212; 2022: 33,816,459).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issued share capital totaled €6.5 million (2023: €6.3 million; 2022: €4.1 million).</w:t>
      </w:r>
    </w:p>
    <w:p>
      <w:pPr>
        <w:spacing w:after="0" w:line="11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SVB Securities LLC.</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During June, 2023, the Company entered into a subscription agreement with certain institutional investors relating to the offer and sale of 6,951,340 ordinary shares of the Company, par value €0.12 per share, in a private placement at a purchase price of $10.07 per Ordinary Share. The subscription agreement generated $70.0 million (€64.1 million).</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December 31, 2023, the Company has sold a total of 593,927 ordinary shares under the Sales Agreement generating total net proceeds of $9.8 million (€9.3 million), after deducting $0.3 million (€0.3 million), which was payable to Leerink Partners, LLC as commission in respect of such sales.</w:t>
      </w:r>
    </w:p>
    <w:p>
      <w:pPr>
        <w:spacing w:after="0" w:line="4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Shares were sold in the Offering at the public offering price of $24.00 per share. The Pre-Funded Warrants were sold at a public offering price of $23.99 per Pre-Funded Warrant, which represents the per share public offering price for the common stock less the $0.01 per share exercise price for each such Pre-Funded Warrant. Each Pre-Funded Warrant is exercisable as of December 8, 2023 until fully exercised, subject to an ownership limitation relating to the Hart-Scott-Rodino Antitrust Improvements Act of 1976, as amended, as set forth in the form of Pre-Funded Warrant.</w:t>
      </w:r>
    </w:p>
    <w:p>
      <w:pPr>
        <w:spacing w:after="0" w:line="7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4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Share</w:t>
            </w:r>
          </w:p>
        </w:tc>
        <w:tc>
          <w:tcPr>
            <w:tcW w:w="120" w:type="dxa"/>
            <w:vAlign w:val="bottom"/>
          </w:tcPr>
          <w:p>
            <w:pPr>
              <w:spacing w:after="0"/>
              <w:rPr>
                <w:sz w:val="13"/>
                <w:szCs w:val="13"/>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Share</w:t>
            </w: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Other</w:t>
            </w:r>
          </w:p>
        </w:tc>
        <w:tc>
          <w:tcPr>
            <w:tcW w:w="12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Legal</w:t>
            </w: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Accumulated</w:t>
            </w:r>
          </w:p>
        </w:tc>
        <w:tc>
          <w:tcPr>
            <w:tcW w:w="19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Total</w:t>
            </w:r>
          </w:p>
        </w:tc>
      </w:tr>
      <w:tr>
        <w:trPr>
          <w:trHeight w:val="153"/>
        </w:trPr>
        <w:tc>
          <w:tcPr>
            <w:tcW w:w="30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20" w:type="dxa"/>
            <w:vAlign w:val="bottom"/>
          </w:tcPr>
          <w:p>
            <w:pPr>
              <w:spacing w:after="0"/>
              <w:rPr>
                <w:sz w:val="13"/>
                <w:szCs w:val="13"/>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premium</w:t>
            </w: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reserves</w:t>
            </w:r>
          </w:p>
        </w:tc>
        <w:tc>
          <w:tcPr>
            <w:tcW w:w="12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reserve</w:t>
            </w: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losses</w:t>
            </w:r>
          </w:p>
        </w:tc>
        <w:tc>
          <w:tcPr>
            <w:tcW w:w="19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Equity</w:t>
            </w:r>
          </w:p>
        </w:tc>
      </w:tr>
      <w:tr>
        <w:trPr>
          <w:trHeight w:val="128"/>
        </w:trPr>
        <w:tc>
          <w:tcPr>
            <w:tcW w:w="302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center"/>
              <w:ind w:left="30"/>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30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center"/>
              <w:ind w:left="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82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56"/>
        </w:trPr>
        <w:tc>
          <w:tcPr>
            <w:tcW w:w="3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January 1, 2023</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4,057,976</w:t>
            </w:r>
          </w:p>
        </w:tc>
        <w:tc>
          <w:tcPr>
            <w:tcW w:w="12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289,177,197</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20,169,459</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43,290</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(164,188,892)</w:t>
            </w:r>
          </w:p>
        </w:tc>
        <w:tc>
          <w:tcPr>
            <w:tcW w:w="1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149,259,030</w:t>
            </w:r>
          </w:p>
        </w:tc>
        <w:tc>
          <w:tcPr>
            <w:tcW w:w="100" w:type="dxa"/>
            <w:vAlign w:val="bottom"/>
            <w:shd w:val="clear" w:color="auto" w:fill="CFF0FC"/>
          </w:tcPr>
          <w:p>
            <w:pPr>
              <w:spacing w:after="0"/>
              <w:rPr>
                <w:sz w:val="13"/>
                <w:szCs w:val="13"/>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(100,875,068)</w:t>
            </w:r>
          </w:p>
        </w:tc>
        <w:tc>
          <w:tcPr>
            <w:tcW w:w="1920" w:type="dxa"/>
            <w:vAlign w:val="bottom"/>
            <w:gridSpan w:val="2"/>
          </w:tcPr>
          <w:p>
            <w:pPr>
              <w:jc w:val="right"/>
              <w:ind w:right="60"/>
              <w:spacing w:after="0"/>
              <w:rPr>
                <w:sz w:val="20"/>
                <w:szCs w:val="20"/>
                <w:color w:val="auto"/>
              </w:rPr>
            </w:pPr>
            <w:r>
              <w:rPr>
                <w:rFonts w:ascii="Arial" w:cs="Arial" w:eastAsia="Arial" w:hAnsi="Arial"/>
                <w:sz w:val="14"/>
                <w:szCs w:val="14"/>
                <w:color w:val="auto"/>
              </w:rPr>
              <w:t>(100,875,068)</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Issue of share capital</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2,169,859</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340,388,989</w:t>
            </w: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342,558,848</w:t>
            </w:r>
          </w:p>
        </w:tc>
        <w:tc>
          <w:tcPr>
            <w:tcW w:w="100" w:type="dxa"/>
            <w:vAlign w:val="bottom"/>
            <w:shd w:val="clear" w:color="auto" w:fill="CFF0FC"/>
          </w:tcPr>
          <w:p>
            <w:pPr>
              <w:spacing w:after="0"/>
              <w:rPr>
                <w:sz w:val="14"/>
                <w:szCs w:val="14"/>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Transaction costs on issue of shares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(17,712,292)</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60"/>
              <w:spacing w:after="0"/>
              <w:rPr>
                <w:sz w:val="20"/>
                <w:szCs w:val="20"/>
                <w:color w:val="auto"/>
              </w:rPr>
            </w:pPr>
            <w:r>
              <w:rPr>
                <w:rFonts w:ascii="Arial" w:cs="Arial" w:eastAsia="Arial" w:hAnsi="Arial"/>
                <w:sz w:val="14"/>
                <w:szCs w:val="14"/>
                <w:color w:val="auto"/>
              </w:rPr>
              <w:t>(17,712,292)</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Tax effect on transaction costs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714,733</w:t>
            </w: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714,733</w:t>
            </w:r>
          </w:p>
        </w:tc>
        <w:tc>
          <w:tcPr>
            <w:tcW w:w="100" w:type="dxa"/>
            <w:vAlign w:val="bottom"/>
            <w:shd w:val="clear" w:color="auto" w:fill="CFF0FC"/>
          </w:tcPr>
          <w:p>
            <w:pPr>
              <w:spacing w:after="0"/>
              <w:rPr>
                <w:sz w:val="14"/>
                <w:szCs w:val="14"/>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(57,874)</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60"/>
              <w:spacing w:after="0"/>
              <w:rPr>
                <w:sz w:val="20"/>
                <w:szCs w:val="20"/>
                <w:color w:val="auto"/>
              </w:rPr>
            </w:pPr>
            <w:r>
              <w:rPr>
                <w:rFonts w:ascii="Arial" w:cs="Arial" w:eastAsia="Arial" w:hAnsi="Arial"/>
                <w:sz w:val="14"/>
                <w:szCs w:val="14"/>
                <w:color w:val="auto"/>
              </w:rPr>
              <w:t>(57,874)</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Settlement of share-based payments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46,998</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3,243,359</w:t>
            </w: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(2,937,889)</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(854,668)</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(502,200)</w:t>
            </w: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Share-based payments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tcPr>
          <w:p>
            <w:pPr>
              <w:spacing w:after="0"/>
              <w:rPr>
                <w:sz w:val="14"/>
                <w:szCs w:val="14"/>
                <w:color w:val="auto"/>
              </w:rPr>
            </w:pPr>
          </w:p>
        </w:tc>
      </w:tr>
      <w:tr>
        <w:trPr>
          <w:trHeight w:val="176"/>
        </w:trPr>
        <w:tc>
          <w:tcPr>
            <w:tcW w:w="3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2023</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6,274,833</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615,811,986</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27,894,796</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(14,584)</w:t>
            </w:r>
          </w:p>
        </w:tc>
        <w:tc>
          <w:tcPr>
            <w:tcW w:w="1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(265,918,628)</w:t>
            </w:r>
          </w:p>
        </w:tc>
        <w:tc>
          <w:tcPr>
            <w:tcW w:w="1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384,048,403</w:t>
            </w:r>
          </w:p>
        </w:tc>
        <w:tc>
          <w:tcPr>
            <w:tcW w:w="100" w:type="dxa"/>
            <w:vAlign w:val="bottom"/>
            <w:shd w:val="clear" w:color="auto" w:fill="CFF0FC"/>
          </w:tcPr>
          <w:p>
            <w:pPr>
              <w:spacing w:after="0"/>
              <w:rPr>
                <w:sz w:val="15"/>
                <w:szCs w:val="15"/>
                <w:color w:val="auto"/>
              </w:rPr>
            </w:pP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43"/>
        </w:trPr>
        <w:tc>
          <w:tcPr>
            <w:tcW w:w="3020" w:type="dxa"/>
            <w:vAlign w:val="bottom"/>
          </w:tcPr>
          <w:p>
            <w:pPr>
              <w:spacing w:after="0" w:line="143" w:lineRule="exact"/>
              <w:rPr>
                <w:sz w:val="20"/>
                <w:szCs w:val="20"/>
                <w:color w:val="auto"/>
              </w:rPr>
            </w:pPr>
            <w:r>
              <w:rPr>
                <w:rFonts w:ascii="Arial" w:cs="Arial" w:eastAsia="Arial" w:hAnsi="Arial"/>
                <w:sz w:val="14"/>
                <w:szCs w:val="14"/>
                <w:b w:val="1"/>
                <w:bCs w:val="1"/>
                <w:color w:val="auto"/>
              </w:rPr>
              <w:t>Balance at January 1, 2024</w:t>
            </w: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6,274,833</w:t>
            </w:r>
          </w:p>
        </w:tc>
        <w:tc>
          <w:tcPr>
            <w:tcW w:w="120" w:type="dxa"/>
            <w:vAlign w:val="bottom"/>
          </w:tcPr>
          <w:p>
            <w:pPr>
              <w:spacing w:after="0"/>
              <w:rPr>
                <w:sz w:val="12"/>
                <w:szCs w:val="12"/>
                <w:color w:val="auto"/>
              </w:rPr>
            </w:pPr>
          </w:p>
        </w:tc>
        <w:tc>
          <w:tcPr>
            <w:tcW w:w="1160" w:type="dxa"/>
            <w:vAlign w:val="bottom"/>
          </w:tcPr>
          <w:p>
            <w:pPr>
              <w:jc w:val="right"/>
              <w:spacing w:after="0" w:line="143" w:lineRule="exact"/>
              <w:rPr>
                <w:sz w:val="20"/>
                <w:szCs w:val="20"/>
                <w:color w:val="auto"/>
              </w:rPr>
            </w:pPr>
            <w:r>
              <w:rPr>
                <w:rFonts w:ascii="Arial" w:cs="Arial" w:eastAsia="Arial" w:hAnsi="Arial"/>
                <w:sz w:val="14"/>
                <w:szCs w:val="14"/>
                <w:color w:val="auto"/>
              </w:rPr>
              <w:t>615,811,986</w:t>
            </w:r>
          </w:p>
        </w:tc>
        <w:tc>
          <w:tcPr>
            <w:tcW w:w="120" w:type="dxa"/>
            <w:vAlign w:val="bottom"/>
          </w:tcPr>
          <w:p>
            <w:pPr>
              <w:spacing w:after="0"/>
              <w:rPr>
                <w:sz w:val="12"/>
                <w:szCs w:val="12"/>
                <w:color w:val="auto"/>
              </w:rPr>
            </w:pPr>
          </w:p>
        </w:tc>
        <w:tc>
          <w:tcPr>
            <w:tcW w:w="1300" w:type="dxa"/>
            <w:vAlign w:val="bottom"/>
          </w:tcPr>
          <w:p>
            <w:pPr>
              <w:jc w:val="right"/>
              <w:spacing w:after="0" w:line="143" w:lineRule="exact"/>
              <w:rPr>
                <w:sz w:val="20"/>
                <w:szCs w:val="20"/>
                <w:color w:val="auto"/>
              </w:rPr>
            </w:pPr>
            <w:r>
              <w:rPr>
                <w:rFonts w:ascii="Arial" w:cs="Arial" w:eastAsia="Arial" w:hAnsi="Arial"/>
                <w:sz w:val="14"/>
                <w:szCs w:val="14"/>
                <w:color w:val="auto"/>
              </w:rPr>
              <w:t>27,894,796</w:t>
            </w:r>
          </w:p>
        </w:tc>
        <w:tc>
          <w:tcPr>
            <w:tcW w:w="100" w:type="dxa"/>
            <w:vAlign w:val="bottom"/>
          </w:tcPr>
          <w:p>
            <w:pPr>
              <w:spacing w:after="0"/>
              <w:rPr>
                <w:sz w:val="12"/>
                <w:szCs w:val="12"/>
                <w:color w:val="auto"/>
              </w:rPr>
            </w:pPr>
          </w:p>
        </w:tc>
        <w:tc>
          <w:tcPr>
            <w:tcW w:w="12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(14,584)</w:t>
            </w:r>
          </w:p>
        </w:tc>
        <w:tc>
          <w:tcPr>
            <w:tcW w:w="12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(265,918,628)</w:t>
            </w:r>
          </w:p>
        </w:tc>
        <w:tc>
          <w:tcPr>
            <w:tcW w:w="1820" w:type="dxa"/>
            <w:vAlign w:val="bottom"/>
          </w:tcPr>
          <w:p>
            <w:pPr>
              <w:jc w:val="right"/>
              <w:spacing w:after="0" w:line="143" w:lineRule="exact"/>
              <w:rPr>
                <w:sz w:val="20"/>
                <w:szCs w:val="20"/>
                <w:color w:val="auto"/>
              </w:rPr>
            </w:pPr>
            <w:r>
              <w:rPr>
                <w:rFonts w:ascii="Arial" w:cs="Arial" w:eastAsia="Arial" w:hAnsi="Arial"/>
                <w:sz w:val="14"/>
                <w:szCs w:val="14"/>
                <w:color w:val="auto"/>
              </w:rPr>
              <w:t>384,048,403</w:t>
            </w:r>
          </w:p>
        </w:tc>
        <w:tc>
          <w:tcPr>
            <w:tcW w:w="100" w:type="dxa"/>
            <w:vAlign w:val="bottom"/>
          </w:tcPr>
          <w:p>
            <w:pPr>
              <w:spacing w:after="0"/>
              <w:rPr>
                <w:sz w:val="12"/>
                <w:szCs w:val="12"/>
                <w:color w:val="auto"/>
              </w:rPr>
            </w:pP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(134,221,527)</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(134,221,527)</w:t>
            </w: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Issue of share capital</w:t>
            </w:r>
          </w:p>
        </w:tc>
        <w:tc>
          <w:tcPr>
            <w:tcW w:w="1040" w:type="dxa"/>
            <w:vAlign w:val="bottom"/>
          </w:tcPr>
          <w:p>
            <w:pPr>
              <w:jc w:val="right"/>
              <w:spacing w:after="0"/>
              <w:rPr>
                <w:sz w:val="20"/>
                <w:szCs w:val="20"/>
                <w:color w:val="auto"/>
              </w:rPr>
            </w:pPr>
            <w:r>
              <w:rPr>
                <w:rFonts w:ascii="Arial" w:cs="Arial" w:eastAsia="Arial" w:hAnsi="Arial"/>
                <w:sz w:val="14"/>
                <w:szCs w:val="14"/>
                <w:color w:val="auto"/>
              </w:rPr>
              <w:t>165,000</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(165,000)</w:t>
            </w:r>
          </w:p>
        </w:tc>
        <w:tc>
          <w:tcPr>
            <w:tcW w:w="1300" w:type="dxa"/>
            <w:vAlign w:val="bottom"/>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14"/>
                <w:szCs w:val="14"/>
                <w:color w:val="auto"/>
              </w:rPr>
            </w:pP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Transaction costs on issue of shares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592,000</w:t>
            </w: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592,000</w:t>
            </w:r>
          </w:p>
        </w:tc>
        <w:tc>
          <w:tcPr>
            <w:tcW w:w="100" w:type="dxa"/>
            <w:vAlign w:val="bottom"/>
            <w:shd w:val="clear" w:color="auto" w:fill="CFF0FC"/>
          </w:tcPr>
          <w:p>
            <w:pPr>
              <w:spacing w:after="0"/>
              <w:rPr>
                <w:sz w:val="14"/>
                <w:szCs w:val="14"/>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Tax effect on transaction costs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851,662</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851,662</w:t>
            </w:r>
          </w:p>
        </w:tc>
        <w:tc>
          <w:tcPr>
            <w:tcW w:w="100" w:type="dxa"/>
            <w:vAlign w:val="bottom"/>
          </w:tcPr>
          <w:p>
            <w:pPr>
              <w:spacing w:after="0"/>
              <w:rPr>
                <w:sz w:val="14"/>
                <w:szCs w:val="14"/>
                <w:color w:val="auto"/>
              </w:rPr>
            </w:pP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reserve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152,310</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152,310</w:t>
            </w:r>
          </w:p>
        </w:tc>
        <w:tc>
          <w:tcPr>
            <w:tcW w:w="100" w:type="dxa"/>
            <w:vAlign w:val="bottom"/>
            <w:shd w:val="clear" w:color="auto" w:fill="CFF0FC"/>
          </w:tcPr>
          <w:p>
            <w:pPr>
              <w:spacing w:after="0"/>
              <w:rPr>
                <w:sz w:val="14"/>
                <w:szCs w:val="14"/>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Settlement of share-based payments</w:t>
            </w:r>
          </w:p>
        </w:tc>
        <w:tc>
          <w:tcPr>
            <w:tcW w:w="1040" w:type="dxa"/>
            <w:vAlign w:val="bottom"/>
          </w:tcPr>
          <w:p>
            <w:pPr>
              <w:jc w:val="right"/>
              <w:spacing w:after="0"/>
              <w:rPr>
                <w:sz w:val="20"/>
                <w:szCs w:val="20"/>
                <w:color w:val="auto"/>
              </w:rPr>
            </w:pPr>
            <w:r>
              <w:rPr>
                <w:rFonts w:ascii="Arial" w:cs="Arial" w:eastAsia="Arial" w:hAnsi="Arial"/>
                <w:sz w:val="14"/>
                <w:szCs w:val="14"/>
                <w:color w:val="auto"/>
              </w:rPr>
              <w:t>85,706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6,550,732</w:t>
            </w:r>
          </w:p>
        </w:tc>
        <w:tc>
          <w:tcPr>
            <w:tcW w:w="12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(4,404,835)</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(2,114,852)</w:t>
            </w:r>
          </w:p>
        </w:tc>
        <w:tc>
          <w:tcPr>
            <w:tcW w:w="1820" w:type="dxa"/>
            <w:vAlign w:val="bottom"/>
          </w:tcPr>
          <w:p>
            <w:pPr>
              <w:jc w:val="right"/>
              <w:spacing w:after="0"/>
              <w:rPr>
                <w:sz w:val="20"/>
                <w:szCs w:val="20"/>
                <w:color w:val="auto"/>
              </w:rPr>
            </w:pPr>
            <w:r>
              <w:rPr>
                <w:rFonts w:ascii="Arial" w:cs="Arial" w:eastAsia="Arial" w:hAnsi="Arial"/>
                <w:sz w:val="14"/>
                <w:szCs w:val="14"/>
                <w:color w:val="auto"/>
              </w:rPr>
              <w:t>116,751</w:t>
            </w:r>
          </w:p>
        </w:tc>
        <w:tc>
          <w:tcPr>
            <w:tcW w:w="100" w:type="dxa"/>
            <w:vAlign w:val="bottom"/>
          </w:tcPr>
          <w:p>
            <w:pPr>
              <w:spacing w:after="0"/>
              <w:rPr>
                <w:sz w:val="14"/>
                <w:szCs w:val="14"/>
                <w:color w:val="auto"/>
              </w:rPr>
            </w:pPr>
          </w:p>
        </w:tc>
      </w:tr>
      <w:tr>
        <w:trPr>
          <w:trHeight w:val="162"/>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16,208,533</w:t>
            </w:r>
          </w:p>
        </w:tc>
        <w:tc>
          <w:tcPr>
            <w:tcW w:w="1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16,208,533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30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2024</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6,525,539</w:t>
            </w:r>
          </w:p>
        </w:tc>
        <w:tc>
          <w:tcPr>
            <w:tcW w:w="1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623,641,380</w:t>
            </w:r>
          </w:p>
        </w:tc>
        <w:tc>
          <w:tcPr>
            <w:tcW w:w="12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39,711,103</w:t>
            </w:r>
          </w:p>
        </w:tc>
        <w:tc>
          <w:tcPr>
            <w:tcW w:w="10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137,726</w:t>
            </w:r>
          </w:p>
        </w:tc>
        <w:tc>
          <w:tcPr>
            <w:tcW w:w="120" w:type="dxa"/>
            <w:vAlign w:val="bottom"/>
          </w:tcPr>
          <w:p>
            <w:pPr>
              <w:spacing w:after="0"/>
              <w:rPr>
                <w:sz w:val="13"/>
                <w:szCs w:val="13"/>
                <w:color w:val="auto"/>
              </w:rPr>
            </w:pPr>
          </w:p>
        </w:tc>
        <w:tc>
          <w:tcPr>
            <w:tcW w:w="12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(402,255,007)</w:t>
            </w:r>
          </w:p>
        </w:tc>
        <w:tc>
          <w:tcPr>
            <w:tcW w:w="1820" w:type="dxa"/>
            <w:vAlign w:val="bottom"/>
          </w:tcPr>
          <w:p>
            <w:pPr>
              <w:jc w:val="right"/>
              <w:spacing w:after="0" w:line="155" w:lineRule="exact"/>
              <w:rPr>
                <w:sz w:val="20"/>
                <w:szCs w:val="20"/>
                <w:color w:val="auto"/>
              </w:rPr>
            </w:pPr>
            <w:r>
              <w:rPr>
                <w:rFonts w:ascii="Arial" w:cs="Arial" w:eastAsia="Arial" w:hAnsi="Arial"/>
                <w:sz w:val="14"/>
                <w:szCs w:val="14"/>
                <w:color w:val="auto"/>
              </w:rPr>
              <w:t>267,760,741</w:t>
            </w:r>
          </w:p>
        </w:tc>
        <w:tc>
          <w:tcPr>
            <w:tcW w:w="100" w:type="dxa"/>
            <w:vAlign w:val="bottom"/>
          </w:tcPr>
          <w:p>
            <w:pPr>
              <w:spacing w:after="0"/>
              <w:rPr>
                <w:sz w:val="13"/>
                <w:szCs w:val="13"/>
                <w:color w:val="auto"/>
              </w:rPr>
            </w:pPr>
          </w:p>
        </w:tc>
      </w:tr>
      <w:tr>
        <w:trPr>
          <w:trHeight w:val="20"/>
        </w:trPr>
        <w:tc>
          <w:tcPr>
            <w:tcW w:w="3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-985520</wp:posOffset>
            </wp:positionV>
            <wp:extent cx="76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-968375</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-985520</wp:posOffset>
            </wp:positionV>
            <wp:extent cx="774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-968375</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-985520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-968375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-985520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-968375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-985520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-968375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-136525</wp:posOffset>
            </wp:positionV>
            <wp:extent cx="768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-136525</wp:posOffset>
            </wp:positionV>
            <wp:extent cx="774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-136525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-136525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-136525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reserve</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As of December 31, 2024 the legal reserve amounted to €137,726 (2023: €14,584 ) and relate to unrealized currency translation losses. Pursuant to Dutch law, limitations exist relating to the distribution of shareholder’s equity for the entire amount of legal reserve. By their nature, unrealized losses relating to the currency translation differences reduce shareholders’ equity and thereby distributable amounts.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Appropriation of the result for 2024 and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result for the years 2024 and 2023 has been transferred to accumulated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Difference in equity and loss between the company and consolidated financial statements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is no difference between equity according to the company balance sheet and equity according to the consolidated balance sheet as well as the result according to the Company income statement and result according to the consolidated income statement for the year ended December 31, 2024 and 2023.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Trade and other payables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820" w:type="dxa"/>
            <w:vAlign w:val="bottom"/>
            <w:gridSpan w:val="3"/>
          </w:tcPr>
          <w:p>
            <w:pPr>
              <w:ind w:left="280"/>
              <w:spacing w:after="0"/>
              <w:rPr>
                <w:sz w:val="20"/>
                <w:szCs w:val="20"/>
                <w:color w:val="auto"/>
              </w:rPr>
            </w:pPr>
            <w:r>
              <w:rPr>
                <w:rFonts w:ascii="Arial" w:cs="Arial" w:eastAsia="Arial" w:hAnsi="Arial"/>
                <w:sz w:val="16"/>
                <w:szCs w:val="16"/>
                <w:b w:val="1"/>
                <w:bCs w:val="1"/>
                <w:color w:val="auto"/>
              </w:rPr>
              <w:t>December 31,</w:t>
            </w: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00" w:type="dxa"/>
            <w:vAlign w:val="bottom"/>
          </w:tcPr>
          <w:p>
            <w:pPr>
              <w:spacing w:after="0"/>
              <w:rPr>
                <w:sz w:val="17"/>
                <w:szCs w:val="17"/>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r>
      <w:tr>
        <w:trPr>
          <w:trHeight w:val="18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5"/>
                <w:szCs w:val="15"/>
                <w:color w:val="auto"/>
              </w:rPr>
            </w:pPr>
          </w:p>
        </w:tc>
      </w:tr>
      <w:tr>
        <w:trPr>
          <w:trHeight w:val="183"/>
        </w:trPr>
        <w:tc>
          <w:tcPr>
            <w:tcW w:w="77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Trade payables</w:t>
            </w: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593,569</w:t>
            </w:r>
          </w:p>
        </w:tc>
        <w:tc>
          <w:tcPr>
            <w:tcW w:w="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551,287</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7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593,569</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551,287</w:t>
            </w:r>
          </w:p>
        </w:tc>
        <w:tc>
          <w:tcPr>
            <w:tcW w:w="12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fall due within one year. The trade and other payables do not bear any interest and the carrying value approximates the fair value.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Accrued liabilities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840" w:type="dxa"/>
            <w:vAlign w:val="bottom"/>
            <w:gridSpan w:val="3"/>
          </w:tcPr>
          <w:p>
            <w:pPr>
              <w:ind w:left="280"/>
              <w:spacing w:after="0"/>
              <w:rPr>
                <w:sz w:val="20"/>
                <w:szCs w:val="20"/>
                <w:color w:val="auto"/>
              </w:rPr>
            </w:pPr>
            <w:r>
              <w:rPr>
                <w:rFonts w:ascii="Arial" w:cs="Arial" w:eastAsia="Arial" w:hAnsi="Arial"/>
                <w:sz w:val="16"/>
                <w:szCs w:val="16"/>
                <w:b w:val="1"/>
                <w:bCs w:val="1"/>
                <w:color w:val="auto"/>
              </w:rPr>
              <w:t>December 31,</w:t>
            </w:r>
          </w:p>
        </w:tc>
        <w:tc>
          <w:tcPr>
            <w:tcW w:w="170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00" w:type="dxa"/>
            <w:vAlign w:val="bottom"/>
          </w:tcPr>
          <w:p>
            <w:pPr>
              <w:spacing w:after="0"/>
              <w:rPr>
                <w:sz w:val="17"/>
                <w:szCs w:val="17"/>
                <w:color w:val="auto"/>
              </w:rPr>
            </w:pPr>
          </w:p>
        </w:tc>
        <w:tc>
          <w:tcPr>
            <w:tcW w:w="16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r>
      <w:tr>
        <w:trPr>
          <w:trHeight w:val="183"/>
        </w:trPr>
        <w:tc>
          <w:tcPr>
            <w:tcW w:w="7700" w:type="dxa"/>
            <w:vAlign w:val="bottom"/>
          </w:tcPr>
          <w:p>
            <w:pPr>
              <w:spacing w:after="0"/>
              <w:rPr>
                <w:sz w:val="15"/>
                <w:szCs w:val="15"/>
                <w:color w:val="auto"/>
              </w:rPr>
            </w:pPr>
          </w:p>
        </w:tc>
        <w:tc>
          <w:tcPr>
            <w:tcW w:w="16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r>
      <w:tr>
        <w:trPr>
          <w:trHeight w:val="183"/>
        </w:trPr>
        <w:tc>
          <w:tcPr>
            <w:tcW w:w="7700" w:type="dxa"/>
            <w:vAlign w:val="bottom"/>
            <w:tcBorders>
              <w:bottom w:val="single" w:sz="8" w:color="CFF0FF"/>
            </w:tcBorders>
            <w:shd w:val="clear" w:color="auto" w:fill="CFF0FF"/>
          </w:tcPr>
          <w:p>
            <w:pPr>
              <w:spacing w:after="0" w:line="183" w:lineRule="exact"/>
              <w:rPr>
                <w:sz w:val="20"/>
                <w:szCs w:val="20"/>
                <w:color w:val="auto"/>
              </w:rPr>
            </w:pPr>
            <w:r>
              <w:rPr>
                <w:rFonts w:ascii="Arial" w:cs="Arial" w:eastAsia="Arial" w:hAnsi="Arial"/>
                <w:sz w:val="16"/>
                <w:szCs w:val="16"/>
                <w:color w:val="auto"/>
              </w:rPr>
              <w:t>Consulting and accounting fee accruals</w:t>
            </w:r>
          </w:p>
        </w:tc>
        <w:tc>
          <w:tcPr>
            <w:tcW w:w="1620" w:type="dxa"/>
            <w:vAlign w:val="bottom"/>
            <w:tcBorders>
              <w:bottom w:val="single" w:sz="8" w:color="auto"/>
            </w:tcBorders>
            <w:shd w:val="clear" w:color="auto" w:fill="CFF0FF"/>
          </w:tcPr>
          <w:p>
            <w:pPr>
              <w:jc w:val="right"/>
              <w:spacing w:after="0" w:line="183" w:lineRule="exact"/>
              <w:rPr>
                <w:sz w:val="20"/>
                <w:szCs w:val="20"/>
                <w:color w:val="auto"/>
              </w:rPr>
            </w:pPr>
            <w:r>
              <w:rPr>
                <w:rFonts w:ascii="Arial" w:cs="Arial" w:eastAsia="Arial" w:hAnsi="Arial"/>
                <w:sz w:val="16"/>
                <w:szCs w:val="16"/>
                <w:color w:val="auto"/>
              </w:rPr>
              <w:t>272,171</w:t>
            </w:r>
          </w:p>
        </w:tc>
        <w:tc>
          <w:tcPr>
            <w:tcW w:w="20" w:type="dxa"/>
            <w:vAlign w:val="bottom"/>
            <w:tcBorders>
              <w:bottom w:val="single" w:sz="8" w:color="CFF0FF"/>
            </w:tcBorders>
            <w:shd w:val="clear" w:color="auto" w:fill="CFF0FF"/>
          </w:tcPr>
          <w:p>
            <w:pPr>
              <w:spacing w:after="0"/>
              <w:rPr>
                <w:sz w:val="15"/>
                <w:szCs w:val="15"/>
                <w:color w:val="auto"/>
              </w:rPr>
            </w:pPr>
          </w:p>
        </w:tc>
        <w:tc>
          <w:tcPr>
            <w:tcW w:w="200" w:type="dxa"/>
            <w:vAlign w:val="bottom"/>
            <w:tcBorders>
              <w:bottom w:val="single" w:sz="8" w:color="CFF0FF"/>
            </w:tcBorders>
            <w:shd w:val="clear" w:color="auto" w:fill="CFF0FF"/>
          </w:tcPr>
          <w:p>
            <w:pPr>
              <w:spacing w:after="0"/>
              <w:rPr>
                <w:sz w:val="15"/>
                <w:szCs w:val="15"/>
                <w:color w:val="auto"/>
              </w:rPr>
            </w:pPr>
          </w:p>
        </w:tc>
        <w:tc>
          <w:tcPr>
            <w:tcW w:w="1600" w:type="dxa"/>
            <w:vAlign w:val="bottom"/>
            <w:tcBorders>
              <w:bottom w:val="single" w:sz="8" w:color="auto"/>
            </w:tcBorders>
            <w:shd w:val="clear" w:color="auto" w:fill="CFF0FF"/>
          </w:tcPr>
          <w:p>
            <w:pPr>
              <w:jc w:val="right"/>
              <w:spacing w:after="0" w:line="183" w:lineRule="exact"/>
              <w:rPr>
                <w:sz w:val="20"/>
                <w:szCs w:val="20"/>
                <w:color w:val="auto"/>
              </w:rPr>
            </w:pPr>
            <w:r>
              <w:rPr>
                <w:rFonts w:ascii="Arial" w:cs="Arial" w:eastAsia="Arial" w:hAnsi="Arial"/>
                <w:sz w:val="16"/>
                <w:szCs w:val="16"/>
                <w:color w:val="auto"/>
              </w:rPr>
              <w:t>283,309</w:t>
            </w:r>
          </w:p>
        </w:tc>
        <w:tc>
          <w:tcPr>
            <w:tcW w:w="100" w:type="dxa"/>
            <w:vAlign w:val="bottom"/>
            <w:tcBorders>
              <w:bottom w:val="single" w:sz="8" w:color="CFF0FF"/>
            </w:tcBorders>
            <w:shd w:val="clear" w:color="auto" w:fill="CFF0FF"/>
          </w:tcPr>
          <w:p>
            <w:pPr>
              <w:spacing w:after="0"/>
              <w:rPr>
                <w:sz w:val="15"/>
                <w:szCs w:val="15"/>
                <w:color w:val="auto"/>
              </w:rPr>
            </w:pPr>
          </w:p>
        </w:tc>
      </w:tr>
      <w:tr>
        <w:trPr>
          <w:trHeight w:val="183"/>
        </w:trPr>
        <w:tc>
          <w:tcPr>
            <w:tcW w:w="7700" w:type="dxa"/>
            <w:vAlign w:val="bottom"/>
          </w:tcPr>
          <w:p>
            <w:pPr>
              <w:spacing w:after="0"/>
              <w:rPr>
                <w:sz w:val="15"/>
                <w:szCs w:val="15"/>
                <w:color w:val="auto"/>
              </w:rPr>
            </w:pPr>
          </w:p>
        </w:tc>
        <w:tc>
          <w:tcPr>
            <w:tcW w:w="16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272,171</w:t>
            </w:r>
          </w:p>
        </w:tc>
        <w:tc>
          <w:tcPr>
            <w:tcW w:w="200" w:type="dxa"/>
            <w:vAlign w:val="bottom"/>
          </w:tcPr>
          <w:p>
            <w:pPr>
              <w:spacing w:after="0"/>
              <w:rPr>
                <w:sz w:val="15"/>
                <w:szCs w:val="15"/>
                <w:color w:val="auto"/>
              </w:rPr>
            </w:pPr>
          </w:p>
        </w:tc>
        <w:tc>
          <w:tcPr>
            <w:tcW w:w="170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283,309</w:t>
            </w:r>
          </w:p>
        </w:tc>
      </w:tr>
      <w:tr>
        <w:trPr>
          <w:trHeight w:val="20"/>
        </w:trPr>
        <w:tc>
          <w:tcPr>
            <w:tcW w:w="77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-153670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960"/>
        <w:spacing w:after="0" w:line="286" w:lineRule="auto"/>
        <w:rPr>
          <w:sz w:val="20"/>
          <w:szCs w:val="20"/>
          <w:color w:val="auto"/>
        </w:rPr>
      </w:pPr>
      <w:r>
        <w:rPr>
          <w:rFonts w:ascii="Arial" w:cs="Arial" w:eastAsia="Arial" w:hAnsi="Arial"/>
          <w:sz w:val="16"/>
          <w:szCs w:val="16"/>
          <w:color w:val="auto"/>
        </w:rPr>
        <w:t>All the accrued liabilities are due within twelve months after year-end and qualify as short-term liabilities. The carrying value of accrued liabilities approximates the fair value.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9"/>
          <w:szCs w:val="19"/>
          <w:b w:val="1"/>
          <w:bCs w:val="1"/>
          <w:color w:val="auto"/>
        </w:rPr>
        <w:t>Payable to subsidiaries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16"/>
                <w:szCs w:val="16"/>
                <w:color w:val="auto"/>
              </w:rPr>
            </w:pPr>
          </w:p>
        </w:tc>
      </w:tr>
      <w:tr>
        <w:trPr>
          <w:trHeight w:val="203"/>
        </w:trPr>
        <w:tc>
          <w:tcPr>
            <w:tcW w:w="7480" w:type="dxa"/>
            <w:vAlign w:val="bottom"/>
          </w:tcPr>
          <w:p>
            <w:pPr>
              <w:spacing w:after="0"/>
              <w:rPr>
                <w:sz w:val="17"/>
                <w:szCs w:val="17"/>
                <w:color w:val="auto"/>
              </w:rPr>
            </w:pPr>
          </w:p>
        </w:tc>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 (Restated*)</w:t>
            </w:r>
          </w:p>
        </w:tc>
        <w:tc>
          <w:tcPr>
            <w:tcW w:w="100" w:type="dxa"/>
            <w:vAlign w:val="bottom"/>
          </w:tcPr>
          <w:p>
            <w:pPr>
              <w:spacing w:after="0"/>
              <w:rPr>
                <w:sz w:val="17"/>
                <w:szCs w:val="17"/>
                <w:color w:val="auto"/>
              </w:rPr>
            </w:pPr>
          </w:p>
        </w:tc>
      </w:tr>
      <w:tr>
        <w:trPr>
          <w:trHeight w:val="183"/>
        </w:trPr>
        <w:tc>
          <w:tcPr>
            <w:tcW w:w="7480" w:type="dxa"/>
            <w:vAlign w:val="bottom"/>
          </w:tcPr>
          <w:p>
            <w:pPr>
              <w:spacing w:after="0"/>
              <w:rPr>
                <w:sz w:val="15"/>
                <w:szCs w:val="15"/>
                <w:color w:val="auto"/>
              </w:rPr>
            </w:pPr>
          </w:p>
        </w:tc>
        <w:tc>
          <w:tcPr>
            <w:tcW w:w="16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260" w:type="dxa"/>
            <w:vAlign w:val="bottom"/>
          </w:tcPr>
          <w:p>
            <w:pPr>
              <w:spacing w:after="0"/>
              <w:rPr>
                <w:sz w:val="15"/>
                <w:szCs w:val="15"/>
                <w:color w:val="auto"/>
              </w:rPr>
            </w:pPr>
          </w:p>
        </w:tc>
        <w:tc>
          <w:tcPr>
            <w:tcW w:w="17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r>
      <w:tr>
        <w:trPr>
          <w:trHeight w:val="183"/>
        </w:trPr>
        <w:tc>
          <w:tcPr>
            <w:tcW w:w="7480" w:type="dxa"/>
            <w:vAlign w:val="bottom"/>
            <w:tcBorders>
              <w:bottom w:val="single" w:sz="8" w:color="CFF0FF"/>
            </w:tcBorders>
            <w:shd w:val="clear" w:color="auto" w:fill="CFF0FF"/>
          </w:tcPr>
          <w:p>
            <w:pPr>
              <w:spacing w:after="0" w:line="183" w:lineRule="exact"/>
              <w:rPr>
                <w:sz w:val="20"/>
                <w:szCs w:val="20"/>
                <w:color w:val="auto"/>
              </w:rPr>
            </w:pPr>
            <w:r>
              <w:rPr>
                <w:rFonts w:ascii="Arial" w:cs="Arial" w:eastAsia="Arial" w:hAnsi="Arial"/>
                <w:sz w:val="16"/>
                <w:szCs w:val="16"/>
                <w:color w:val="auto"/>
              </w:rPr>
              <w:t>Payable to subsidiaries</w:t>
            </w:r>
          </w:p>
        </w:tc>
        <w:tc>
          <w:tcPr>
            <w:tcW w:w="1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3,780,949</w:t>
            </w:r>
          </w:p>
        </w:tc>
        <w:tc>
          <w:tcPr>
            <w:tcW w:w="260" w:type="dxa"/>
            <w:vAlign w:val="bottom"/>
            <w:tcBorders>
              <w:bottom w:val="single" w:sz="8" w:color="CFF0FC"/>
            </w:tcBorders>
            <w:shd w:val="clear" w:color="auto" w:fill="CFF0FC"/>
          </w:tcPr>
          <w:p>
            <w:pPr>
              <w:spacing w:after="0"/>
              <w:rPr>
                <w:sz w:val="15"/>
                <w:szCs w:val="15"/>
                <w:color w:val="auto"/>
              </w:rPr>
            </w:pPr>
          </w:p>
        </w:tc>
        <w:tc>
          <w:tcPr>
            <w:tcW w:w="1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672,487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480" w:type="dxa"/>
            <w:vAlign w:val="bottom"/>
          </w:tcPr>
          <w:p>
            <w:pPr>
              <w:spacing w:after="0"/>
              <w:rPr>
                <w:sz w:val="15"/>
                <w:szCs w:val="15"/>
                <w:color w:val="auto"/>
              </w:rPr>
            </w:pPr>
          </w:p>
        </w:tc>
        <w:tc>
          <w:tcPr>
            <w:tcW w:w="1620" w:type="dxa"/>
            <w:vAlign w:val="bottom"/>
          </w:tcPr>
          <w:p>
            <w:pPr>
              <w:jc w:val="right"/>
              <w:spacing w:after="0" w:line="183" w:lineRule="exact"/>
              <w:rPr>
                <w:sz w:val="20"/>
                <w:szCs w:val="20"/>
                <w:color w:val="auto"/>
              </w:rPr>
            </w:pPr>
            <w:r>
              <w:rPr>
                <w:rFonts w:ascii="Arial" w:cs="Arial" w:eastAsia="Arial" w:hAnsi="Arial"/>
                <w:sz w:val="16"/>
                <w:szCs w:val="16"/>
                <w:color w:val="auto"/>
              </w:rPr>
              <w:t>3,780,949</w:t>
            </w:r>
          </w:p>
        </w:tc>
        <w:tc>
          <w:tcPr>
            <w:tcW w:w="20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672,487</w:t>
            </w:r>
          </w:p>
        </w:tc>
        <w:tc>
          <w:tcPr>
            <w:tcW w:w="100" w:type="dxa"/>
            <w:vAlign w:val="bottom"/>
          </w:tcPr>
          <w:p>
            <w:pPr>
              <w:spacing w:after="0"/>
              <w:rPr>
                <w:sz w:val="15"/>
                <w:szCs w:val="15"/>
                <w:color w:val="auto"/>
              </w:rPr>
            </w:pPr>
          </w:p>
        </w:tc>
      </w:tr>
      <w:tr>
        <w:trPr>
          <w:trHeight w:val="20"/>
        </w:trPr>
        <w:tc>
          <w:tcPr>
            <w:tcW w:w="74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-153670</wp:posOffset>
            </wp:positionV>
            <wp:extent cx="768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The payable to subsidiaries are in a current account with group companies, which is directly claimable. The fair value of the payable to subsidiaries approximates the carrying amount.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*Net book value at January 1, 2024 has been restated due to a prior period error (refer to "Notes to the Company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Commitments and contingencies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contingent liabilities and no contingent assets at December 31, 2024 and 2023.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unity</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is the head of the fiscal unity Pharvaris N.V. in the Netherlands for income taxes and is jointly and severally liable for the income tax liabilities of the fiscal unity. Reference is made to note 10 of these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Share in results of participating interests</w:t>
      </w:r>
    </w:p>
    <w:p>
      <w:pPr>
        <w:spacing w:after="0" w:line="2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represents the share of the Company in the results of its participating interest of Pharvaris Holdings B.V. Reference is made to Note 1 of these financial statements.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4" w:right="39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Income taxes</w:t>
      </w:r>
    </w:p>
    <w:p>
      <w:pPr>
        <w:spacing w:after="0" w:line="24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Pharvaris N.V. forms a corporate income tax group, fiscal unity, with Pharvaris Netherlands B.V. and Pharvaris Holdings B.V. As head of the fiscal unity, the company financial statements of Pharvaris N.V. recognise the entire tax position of the fiscal unity.</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current tax expenses of €506,139 for the year ended December 31, 2024 relates to the result of a cost-plus agreement between the Dutch entities and the Group's principal entity in Switzerland resulting in a taxable profit in the Netherlands. In addition, a deferred tax loss of €851,662 for the year ended December 31, 2023 which is directly recognized in equity as a benefit and relates to the deferred tax effect of share issuance costs accounted for in share premium, but which are tax deductible. For the year ended December 31, 2023, a tax benefit of €714,733 was directly recognized in equity.</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Furthermore, a deferred tax expense of € 208,186 was recognized for temporary valuation differences on the intangible fixed asset for fiscal purposes, which was fully offset by a deferred tax benefit of € 361,475 due to a decrease in balance for the non-recognized deferred tax assets.</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All the tax liabilities are due within twelve months after year-end and qualify as short-term liabilities. The total tax expenses for the year ended December 31, 2024 amounts € 1,204,512 (2023: € 714,733)</w:t>
      </w:r>
    </w:p>
    <w:p>
      <w:pPr>
        <w:spacing w:after="0" w:line="14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Company did not recognize the tax benefit of the losses incurred in previous years. The fiscal unity has tax loss carry-forwards of approximately €26.5 million (2023: €30.7 million), that are available for offsetting against future taxable profits of the companies in which the losses arose.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0" w:type="dxa"/>
            <w:vAlign w:val="bottom"/>
          </w:tcPr>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9200" w:type="dxa"/>
            <w:vAlign w:val="bottom"/>
          </w:tcPr>
          <w:p>
            <w:pPr>
              <w:spacing w:after="0"/>
              <w:rPr>
                <w:sz w:val="20"/>
                <w:szCs w:val="20"/>
                <w:color w:val="auto"/>
              </w:rPr>
            </w:pPr>
            <w:r>
              <w:rPr>
                <w:rFonts w:ascii="Arial" w:cs="Arial" w:eastAsia="Arial" w:hAnsi="Arial"/>
                <w:sz w:val="16"/>
                <w:szCs w:val="16"/>
                <w:b w:val="1"/>
                <w:bCs w:val="1"/>
                <w:color w:val="auto"/>
              </w:rPr>
              <w:t>Year</w:t>
            </w:r>
          </w:p>
        </w:tc>
        <w:tc>
          <w:tcPr>
            <w:tcW w:w="2040" w:type="dxa"/>
            <w:vAlign w:val="bottom"/>
            <w:gridSpan w:val="2"/>
          </w:tcPr>
          <w:p>
            <w:pPr>
              <w:ind w:left="560"/>
              <w:spacing w:after="0"/>
              <w:rPr>
                <w:sz w:val="20"/>
                <w:szCs w:val="20"/>
                <w:color w:val="auto"/>
              </w:rPr>
            </w:pPr>
            <w:r>
              <w:rPr>
                <w:rFonts w:ascii="Arial" w:cs="Arial" w:eastAsia="Arial" w:hAnsi="Arial"/>
                <w:sz w:val="16"/>
                <w:szCs w:val="16"/>
                <w:b w:val="1"/>
                <w:bCs w:val="1"/>
                <w:color w:val="auto"/>
              </w:rPr>
              <w:t>Tax losses</w:t>
            </w:r>
          </w:p>
        </w:tc>
        <w:tc>
          <w:tcPr>
            <w:tcW w:w="0" w:type="dxa"/>
            <w:vAlign w:val="bottom"/>
          </w:tcPr>
          <w:p>
            <w:pPr>
              <w:spacing w:after="0"/>
              <w:rPr>
                <w:sz w:val="1"/>
                <w:szCs w:val="1"/>
                <w:color w:val="auto"/>
              </w:rPr>
            </w:pPr>
          </w:p>
        </w:tc>
      </w:tr>
      <w:tr>
        <w:trPr>
          <w:trHeight w:val="203"/>
        </w:trPr>
        <w:tc>
          <w:tcPr>
            <w:tcW w:w="9200" w:type="dxa"/>
            <w:vAlign w:val="bottom"/>
          </w:tcPr>
          <w:p>
            <w:pPr>
              <w:spacing w:after="0"/>
              <w:rPr>
                <w:sz w:val="17"/>
                <w:szCs w:val="17"/>
                <w:color w:val="auto"/>
              </w:rPr>
            </w:pPr>
          </w:p>
        </w:tc>
        <w:tc>
          <w:tcPr>
            <w:tcW w:w="1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 million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0" w:type="dxa"/>
            <w:vAlign w:val="bottom"/>
            <w:tcBorders>
              <w:bottom w:val="single" w:sz="8" w:color="CFF0FF"/>
            </w:tcBorders>
            <w:shd w:val="clear" w:color="auto" w:fill="CFF0FF"/>
          </w:tcPr>
          <w:p>
            <w:pPr>
              <w:spacing w:after="0" w:line="183" w:lineRule="exact"/>
              <w:rPr>
                <w:sz w:val="20"/>
                <w:szCs w:val="20"/>
                <w:color w:val="auto"/>
              </w:rPr>
            </w:pPr>
            <w:r>
              <w:rPr>
                <w:rFonts w:ascii="Arial" w:cs="Arial" w:eastAsia="Arial" w:hAnsi="Arial"/>
                <w:sz w:val="16"/>
                <w:szCs w:val="16"/>
                <w:color w:val="auto"/>
              </w:rPr>
              <w:t>Unlimited</w:t>
            </w:r>
          </w:p>
        </w:tc>
        <w:tc>
          <w:tcPr>
            <w:tcW w:w="1940" w:type="dxa"/>
            <w:vAlign w:val="bottom"/>
            <w:tcBorders>
              <w:bottom w:val="single" w:sz="8" w:color="auto"/>
            </w:tcBorders>
            <w:shd w:val="clear" w:color="auto" w:fill="CFF0FF"/>
          </w:tcPr>
          <w:p>
            <w:pPr>
              <w:jc w:val="right"/>
              <w:spacing w:after="0" w:line="183" w:lineRule="exact"/>
              <w:rPr>
                <w:sz w:val="20"/>
                <w:szCs w:val="20"/>
                <w:color w:val="auto"/>
              </w:rPr>
            </w:pPr>
            <w:r>
              <w:rPr>
                <w:rFonts w:ascii="Arial" w:cs="Arial" w:eastAsia="Arial" w:hAnsi="Arial"/>
                <w:sz w:val="16"/>
                <w:szCs w:val="16"/>
                <w:color w:val="auto"/>
              </w:rPr>
              <w:t>26.5</w:t>
            </w:r>
          </w:p>
        </w:tc>
        <w:tc>
          <w:tcPr>
            <w:tcW w:w="100" w:type="dxa"/>
            <w:vAlign w:val="bottom"/>
            <w:tcBorders>
              <w:bottom w:val="single" w:sz="8" w:color="CFF0FF"/>
            </w:tcBorders>
            <w:shd w:val="clear" w:color="auto" w:fill="CFF0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carry-forward losses</w:t>
            </w:r>
          </w:p>
        </w:tc>
        <w:tc>
          <w:tcPr>
            <w:tcW w:w="204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6"/>
                <w:szCs w:val="16"/>
                <w:b w:val="1"/>
                <w:bCs w:val="1"/>
                <w:color w:val="auto"/>
              </w:rPr>
              <w:t>Deferred tax</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92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-405765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statement of profit or loss.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R&amp;D</w:t>
            </w:r>
          </w:p>
        </w:tc>
        <w:tc>
          <w:tcPr>
            <w:tcW w:w="2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4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Receivables</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assets</w:t>
            </w:r>
          </w:p>
        </w:tc>
        <w:tc>
          <w:tcPr>
            <w:tcW w:w="2120" w:type="dxa"/>
            <w:vAlign w:val="bottom"/>
            <w:shd w:val="clear" w:color="auto" w:fill="CFF0FC"/>
          </w:tcPr>
          <w:p>
            <w:pPr>
              <w:spacing w:after="0"/>
              <w:rPr>
                <w:sz w:val="15"/>
                <w:szCs w:val="15"/>
                <w:color w:val="auto"/>
              </w:rPr>
            </w:pPr>
          </w:p>
        </w:tc>
        <w:tc>
          <w:tcPr>
            <w:tcW w:w="13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center"/>
              <w:ind w:right="240"/>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FF0FC"/>
          </w:tcPr>
          <w:p>
            <w:pPr>
              <w:jc w:val="right"/>
              <w:ind w:right="780"/>
              <w:spacing w:after="0" w:line="183" w:lineRule="exact"/>
              <w:rPr>
                <w:sz w:val="20"/>
                <w:szCs w:val="20"/>
                <w:color w:val="auto"/>
              </w:rPr>
            </w:pPr>
            <w:r>
              <w:rPr>
                <w:rFonts w:ascii="Arial" w:cs="Arial" w:eastAsia="Arial" w:hAnsi="Arial"/>
                <w:sz w:val="16"/>
                <w:szCs w:val="16"/>
                <w:color w:val="auto"/>
              </w:rPr>
              <w:t>€</w:t>
            </w: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At January 1, 2024</w:t>
            </w:r>
          </w:p>
        </w:tc>
        <w:tc>
          <w:tcPr>
            <w:tcW w:w="3480" w:type="dxa"/>
            <w:vAlign w:val="bottom"/>
            <w:gridSpan w:val="2"/>
          </w:tcPr>
          <w:p>
            <w:pPr>
              <w:jc w:val="right"/>
              <w:spacing w:after="0"/>
              <w:rPr>
                <w:sz w:val="20"/>
                <w:szCs w:val="20"/>
                <w:color w:val="auto"/>
              </w:rPr>
            </w:pPr>
            <w:r>
              <w:rPr>
                <w:rFonts w:ascii="Arial" w:cs="Arial" w:eastAsia="Arial" w:hAnsi="Arial"/>
                <w:sz w:val="16"/>
                <w:szCs w:val="16"/>
                <w:color w:val="auto"/>
              </w:rPr>
              <w:t>1,754,775</w:t>
            </w:r>
          </w:p>
        </w:tc>
        <w:tc>
          <w:tcPr>
            <w:tcW w:w="22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1,754,775</w:t>
            </w:r>
          </w:p>
        </w:tc>
        <w:tc>
          <w:tcPr>
            <w:tcW w:w="120" w:type="dxa"/>
            <w:vAlign w:val="bottom"/>
          </w:tcPr>
          <w:p>
            <w:pPr>
              <w:spacing w:after="0"/>
              <w:rPr>
                <w:sz w:val="16"/>
                <w:szCs w:val="16"/>
                <w:color w:val="auto"/>
              </w:rPr>
            </w:pPr>
          </w:p>
        </w:tc>
      </w:tr>
      <w:tr>
        <w:trPr>
          <w:trHeight w:val="18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Credited</w:t>
            </w:r>
          </w:p>
        </w:tc>
        <w:tc>
          <w:tcPr>
            <w:tcW w:w="2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 Profit or loss</w:t>
            </w:r>
          </w:p>
        </w:tc>
        <w:tc>
          <w:tcPr>
            <w:tcW w:w="3480" w:type="dxa"/>
            <w:vAlign w:val="bottom"/>
            <w:gridSpan w:val="2"/>
          </w:tcPr>
          <w:p>
            <w:pPr>
              <w:jc w:val="right"/>
              <w:spacing w:after="0"/>
              <w:rPr>
                <w:sz w:val="20"/>
                <w:szCs w:val="20"/>
                <w:color w:val="auto"/>
              </w:rPr>
            </w:pPr>
            <w:r>
              <w:rPr>
                <w:rFonts w:ascii="Arial" w:cs="Arial" w:eastAsia="Arial" w:hAnsi="Arial"/>
                <w:sz w:val="16"/>
                <w:szCs w:val="16"/>
                <w:color w:val="auto"/>
              </w:rPr>
              <w:t>59,958</w:t>
            </w:r>
          </w:p>
        </w:tc>
        <w:tc>
          <w:tcPr>
            <w:tcW w:w="22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59,958</w:t>
            </w:r>
          </w:p>
        </w:tc>
        <w:tc>
          <w:tcPr>
            <w:tcW w:w="120" w:type="dxa"/>
            <w:vAlign w:val="bottom"/>
          </w:tcPr>
          <w:p>
            <w:pPr>
              <w:spacing w:after="0"/>
              <w:rPr>
                <w:sz w:val="16"/>
                <w:szCs w:val="16"/>
                <w:color w:val="auto"/>
              </w:rPr>
            </w:pPr>
          </w:p>
        </w:tc>
      </w:tr>
      <w:tr>
        <w:trPr>
          <w:trHeight w:val="189"/>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212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480" w:type="dxa"/>
            <w:vAlign w:val="bottom"/>
          </w:tcPr>
          <w:p>
            <w:pPr>
              <w:spacing w:after="0" w:line="183" w:lineRule="exact"/>
              <w:rPr>
                <w:sz w:val="20"/>
                <w:szCs w:val="20"/>
                <w:color w:val="auto"/>
              </w:rPr>
            </w:pPr>
            <w:r>
              <w:rPr>
                <w:rFonts w:ascii="Arial" w:cs="Arial" w:eastAsia="Arial" w:hAnsi="Arial"/>
                <w:sz w:val="16"/>
                <w:szCs w:val="16"/>
                <w:color w:val="auto"/>
              </w:rPr>
              <w:t>At December 31, 2024</w:t>
            </w:r>
          </w:p>
        </w:tc>
        <w:tc>
          <w:tcPr>
            <w:tcW w:w="34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1,814,733</w:t>
            </w:r>
          </w:p>
        </w:tc>
        <w:tc>
          <w:tcPr>
            <w:tcW w:w="220" w:type="dxa"/>
            <w:vAlign w:val="bottom"/>
          </w:tcPr>
          <w:p>
            <w:pPr>
              <w:spacing w:after="0"/>
              <w:rPr>
                <w:sz w:val="15"/>
                <w:szCs w:val="15"/>
                <w:color w:val="auto"/>
              </w:rPr>
            </w:pPr>
          </w:p>
        </w:tc>
        <w:tc>
          <w:tcPr>
            <w:tcW w:w="15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1,814,733</w:t>
            </w:r>
          </w:p>
        </w:tc>
        <w:tc>
          <w:tcPr>
            <w:tcW w:w="120" w:type="dxa"/>
            <w:vAlign w:val="bottom"/>
          </w:tcPr>
          <w:p>
            <w:pPr>
              <w:spacing w:after="0"/>
              <w:rPr>
                <w:sz w:val="15"/>
                <w:szCs w:val="15"/>
                <w:color w:val="auto"/>
              </w:rPr>
            </w:pPr>
          </w:p>
        </w:tc>
      </w:tr>
      <w:tr>
        <w:trPr>
          <w:trHeight w:val="18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liability</w:t>
            </w:r>
          </w:p>
        </w:tc>
        <w:tc>
          <w:tcPr>
            <w:tcW w:w="2120" w:type="dxa"/>
            <w:vAlign w:val="bottom"/>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At January 1, 2024</w:t>
            </w:r>
          </w:p>
        </w:tc>
        <w:tc>
          <w:tcPr>
            <w:tcW w:w="2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ind w:right="160"/>
              <w:spacing w:after="0"/>
              <w:rPr>
                <w:sz w:val="20"/>
                <w:szCs w:val="20"/>
                <w:color w:val="auto"/>
              </w:rPr>
            </w:pPr>
            <w:r>
              <w:rPr>
                <w:rFonts w:ascii="Arial" w:cs="Arial" w:eastAsia="Arial" w:hAnsi="Arial"/>
                <w:sz w:val="16"/>
                <w:szCs w:val="16"/>
                <w:color w:val="auto"/>
              </w:rPr>
              <w:t>(1,754,775)</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(1,754,775)</w:t>
            </w:r>
          </w:p>
        </w:tc>
      </w:tr>
      <w:tr>
        <w:trPr>
          <w:trHeight w:val="18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Credited</w:t>
            </w:r>
          </w:p>
        </w:tc>
        <w:tc>
          <w:tcPr>
            <w:tcW w:w="2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 Profit or loss</w:t>
            </w:r>
          </w:p>
        </w:tc>
        <w:tc>
          <w:tcPr>
            <w:tcW w:w="2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93,329</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93,329</w:t>
            </w:r>
          </w:p>
        </w:tc>
        <w:tc>
          <w:tcPr>
            <w:tcW w:w="120" w:type="dxa"/>
            <w:vAlign w:val="bottom"/>
          </w:tcPr>
          <w:p>
            <w:pPr>
              <w:spacing w:after="0"/>
              <w:rPr>
                <w:sz w:val="16"/>
                <w:szCs w:val="16"/>
                <w:color w:val="auto"/>
              </w:rPr>
            </w:pPr>
          </w:p>
        </w:tc>
      </w:tr>
      <w:tr>
        <w:trPr>
          <w:trHeight w:val="189"/>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212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480" w:type="dxa"/>
            <w:vAlign w:val="bottom"/>
          </w:tcPr>
          <w:p>
            <w:pPr>
              <w:spacing w:after="0" w:line="183" w:lineRule="exact"/>
              <w:rPr>
                <w:sz w:val="20"/>
                <w:szCs w:val="20"/>
                <w:color w:val="auto"/>
              </w:rPr>
            </w:pPr>
            <w:r>
              <w:rPr>
                <w:rFonts w:ascii="Arial" w:cs="Arial" w:eastAsia="Arial" w:hAnsi="Arial"/>
                <w:sz w:val="16"/>
                <w:szCs w:val="16"/>
                <w:color w:val="auto"/>
              </w:rPr>
              <w:t>At December 31, 2024</w:t>
            </w:r>
          </w:p>
        </w:tc>
        <w:tc>
          <w:tcPr>
            <w:tcW w:w="212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780" w:type="dxa"/>
            <w:vAlign w:val="bottom"/>
            <w:gridSpan w:val="3"/>
          </w:tcPr>
          <w:p>
            <w:pPr>
              <w:jc w:val="right"/>
              <w:ind w:right="160"/>
              <w:spacing w:after="0" w:line="183" w:lineRule="exact"/>
              <w:rPr>
                <w:sz w:val="20"/>
                <w:szCs w:val="20"/>
                <w:color w:val="auto"/>
              </w:rPr>
            </w:pPr>
            <w:r>
              <w:rPr>
                <w:rFonts w:ascii="Arial" w:cs="Arial" w:eastAsia="Arial" w:hAnsi="Arial"/>
                <w:sz w:val="16"/>
                <w:szCs w:val="16"/>
                <w:color w:val="auto"/>
              </w:rPr>
              <w:t>(1,661,446)</w:t>
            </w:r>
          </w:p>
        </w:tc>
        <w:tc>
          <w:tcPr>
            <w:tcW w:w="15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(1,661,446)</w:t>
            </w:r>
          </w:p>
        </w:tc>
      </w:tr>
      <w:tr>
        <w:trPr>
          <w:trHeight w:val="223"/>
        </w:trPr>
        <w:tc>
          <w:tcPr>
            <w:tcW w:w="44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deferred tax assets at December 31, 2024</w:t>
            </w:r>
          </w:p>
        </w:tc>
        <w:tc>
          <w:tcPr>
            <w:tcW w:w="2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153,287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856"/>
        </w:trPr>
        <w:tc>
          <w:tcPr>
            <w:tcW w:w="4480" w:type="dxa"/>
            <w:vAlign w:val="bottom"/>
          </w:tcPr>
          <w:p>
            <w:pPr>
              <w:spacing w:after="0"/>
              <w:rPr>
                <w:sz w:val="24"/>
                <w:szCs w:val="24"/>
                <w:color w:val="auto"/>
              </w:rPr>
            </w:pPr>
          </w:p>
        </w:tc>
        <w:tc>
          <w:tcPr>
            <w:tcW w:w="2120" w:type="dxa"/>
            <w:vAlign w:val="bottom"/>
          </w:tcPr>
          <w:p>
            <w:pPr>
              <w:jc w:val="right"/>
              <w:ind w:right="759"/>
              <w:spacing w:after="0"/>
              <w:rPr>
                <w:sz w:val="20"/>
                <w:szCs w:val="20"/>
                <w:color w:val="auto"/>
              </w:rPr>
            </w:pPr>
            <w:r>
              <w:rPr>
                <w:rFonts w:ascii="Arial" w:cs="Arial" w:eastAsia="Arial" w:hAnsi="Arial"/>
                <w:sz w:val="16"/>
                <w:szCs w:val="16"/>
                <w:color w:val="auto"/>
              </w:rPr>
              <w:t>142</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1"/>
        </w:trPr>
        <w:tc>
          <w:tcPr>
            <w:tcW w:w="44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-2065020</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-2065020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-1327785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-1327785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-1327785</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84"/>
        </w:trPr>
        <w:tc>
          <w:tcPr>
            <w:tcW w:w="66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0"/>
        </w:trPr>
        <w:tc>
          <w:tcPr>
            <w:tcW w:w="1380" w:type="dxa"/>
            <w:vAlign w:val="bottom"/>
            <w:tcBorders>
              <w:top w:val="single" w:sz="8" w:color="0000FF"/>
            </w:tcBorders>
          </w:tcPr>
          <w:p>
            <w:pPr>
              <w:spacing w:after="0"/>
              <w:rPr>
                <w:sz w:val="24"/>
                <w:szCs w:val="24"/>
                <w:color w:val="auto"/>
              </w:rPr>
            </w:pPr>
          </w:p>
        </w:tc>
        <w:tc>
          <w:tcPr>
            <w:tcW w:w="522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R&amp;D</w:t>
            </w: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Receivables</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2"/>
        </w:trPr>
        <w:tc>
          <w:tcPr>
            <w:tcW w:w="66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assets</w:t>
            </w:r>
          </w:p>
        </w:tc>
        <w:tc>
          <w:tcPr>
            <w:tcW w:w="1580" w:type="dxa"/>
            <w:vAlign w:val="bottom"/>
            <w:gridSpan w:val="2"/>
            <w:shd w:val="clear" w:color="auto" w:fill="CFF0FC"/>
          </w:tcPr>
          <w:p>
            <w:pPr>
              <w:jc w:val="center"/>
              <w:ind w:right="220"/>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FF0FC"/>
          </w:tcPr>
          <w:p>
            <w:pPr>
              <w:jc w:val="center"/>
              <w:ind w:right="240"/>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FF0FC"/>
          </w:tcPr>
          <w:p>
            <w:pPr>
              <w:jc w:val="right"/>
              <w:ind w:right="780"/>
              <w:spacing w:after="0" w:line="183" w:lineRule="exact"/>
              <w:rPr>
                <w:sz w:val="20"/>
                <w:szCs w:val="20"/>
                <w:color w:val="auto"/>
              </w:rPr>
            </w:pPr>
            <w:r>
              <w:rPr>
                <w:rFonts w:ascii="Arial" w:cs="Arial" w:eastAsia="Arial" w:hAnsi="Arial"/>
                <w:sz w:val="16"/>
                <w:szCs w:val="16"/>
                <w:color w:val="auto"/>
              </w:rPr>
              <w:t>€</w:t>
            </w:r>
          </w:p>
        </w:tc>
      </w:tr>
      <w:tr>
        <w:trPr>
          <w:trHeight w:val="189"/>
        </w:trPr>
        <w:tc>
          <w:tcPr>
            <w:tcW w:w="6600" w:type="dxa"/>
            <w:vAlign w:val="bottom"/>
            <w:gridSpan w:val="2"/>
          </w:tcPr>
          <w:p>
            <w:pPr>
              <w:spacing w:after="0"/>
              <w:rPr>
                <w:sz w:val="20"/>
                <w:szCs w:val="20"/>
                <w:color w:val="auto"/>
              </w:rPr>
            </w:pPr>
            <w:r>
              <w:rPr>
                <w:rFonts w:ascii="Arial" w:cs="Arial" w:eastAsia="Arial" w:hAnsi="Arial"/>
                <w:sz w:val="16"/>
                <w:szCs w:val="16"/>
                <w:color w:val="auto"/>
              </w:rPr>
              <w:t>At January 1, 2023</w:t>
            </w:r>
          </w:p>
        </w:tc>
        <w:tc>
          <w:tcPr>
            <w:tcW w:w="1360" w:type="dxa"/>
            <w:vAlign w:val="bottom"/>
          </w:tcPr>
          <w:p>
            <w:pPr>
              <w:jc w:val="right"/>
              <w:spacing w:after="0"/>
              <w:rPr>
                <w:sz w:val="20"/>
                <w:szCs w:val="20"/>
                <w:color w:val="auto"/>
              </w:rPr>
            </w:pPr>
            <w:r>
              <w:rPr>
                <w:rFonts w:ascii="Arial" w:cs="Arial" w:eastAsia="Arial" w:hAnsi="Arial"/>
                <w:sz w:val="16"/>
                <w:szCs w:val="16"/>
                <w:color w:val="auto"/>
              </w:rPr>
              <w:t>1,792,384</w:t>
            </w:r>
          </w:p>
        </w:tc>
        <w:tc>
          <w:tcPr>
            <w:tcW w:w="22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1,792,384</w:t>
            </w:r>
          </w:p>
        </w:tc>
        <w:tc>
          <w:tcPr>
            <w:tcW w:w="120" w:type="dxa"/>
            <w:vAlign w:val="bottom"/>
          </w:tcPr>
          <w:p>
            <w:pPr>
              <w:spacing w:after="0"/>
              <w:rPr>
                <w:sz w:val="16"/>
                <w:szCs w:val="16"/>
                <w:color w:val="auto"/>
              </w:rPr>
            </w:pPr>
          </w:p>
        </w:tc>
      </w:tr>
      <w:tr>
        <w:trPr>
          <w:trHeight w:val="189"/>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Charged</w:t>
            </w: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6600" w:type="dxa"/>
            <w:vAlign w:val="bottom"/>
            <w:gridSpan w:val="2"/>
          </w:tcPr>
          <w:p>
            <w:pPr>
              <w:spacing w:after="0"/>
              <w:rPr>
                <w:sz w:val="20"/>
                <w:szCs w:val="20"/>
                <w:color w:val="auto"/>
              </w:rPr>
            </w:pPr>
            <w:r>
              <w:rPr>
                <w:rFonts w:ascii="Arial" w:cs="Arial" w:eastAsia="Arial" w:hAnsi="Arial"/>
                <w:sz w:val="16"/>
                <w:szCs w:val="16"/>
                <w:color w:val="auto"/>
              </w:rPr>
              <w:t>- Profit or loss</w:t>
            </w: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(37,609)</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(37,609)</w:t>
            </w:r>
          </w:p>
        </w:tc>
      </w:tr>
      <w:tr>
        <w:trPr>
          <w:trHeight w:val="189"/>
        </w:trPr>
        <w:tc>
          <w:tcPr>
            <w:tcW w:w="6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6600" w:type="dxa"/>
            <w:vAlign w:val="bottom"/>
            <w:gridSpan w:val="2"/>
          </w:tcPr>
          <w:p>
            <w:pPr>
              <w:spacing w:after="0" w:line="183" w:lineRule="exact"/>
              <w:rPr>
                <w:sz w:val="20"/>
                <w:szCs w:val="20"/>
                <w:color w:val="auto"/>
              </w:rPr>
            </w:pPr>
            <w:r>
              <w:rPr>
                <w:rFonts w:ascii="Arial" w:cs="Arial" w:eastAsia="Arial" w:hAnsi="Arial"/>
                <w:sz w:val="16"/>
                <w:szCs w:val="16"/>
                <w:color w:val="auto"/>
              </w:rPr>
              <w:t>At December 31, 2023</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1,754,775</w:t>
            </w:r>
          </w:p>
        </w:tc>
        <w:tc>
          <w:tcPr>
            <w:tcW w:w="220" w:type="dxa"/>
            <w:vAlign w:val="bottom"/>
          </w:tcPr>
          <w:p>
            <w:pPr>
              <w:spacing w:after="0"/>
              <w:rPr>
                <w:sz w:val="15"/>
                <w:szCs w:val="15"/>
                <w:color w:val="auto"/>
              </w:rPr>
            </w:pPr>
          </w:p>
        </w:tc>
        <w:tc>
          <w:tcPr>
            <w:tcW w:w="15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1,754,775</w:t>
            </w:r>
          </w:p>
        </w:tc>
        <w:tc>
          <w:tcPr>
            <w:tcW w:w="120" w:type="dxa"/>
            <w:vAlign w:val="bottom"/>
          </w:tcPr>
          <w:p>
            <w:pPr>
              <w:spacing w:after="0"/>
              <w:rPr>
                <w:sz w:val="15"/>
                <w:szCs w:val="15"/>
                <w:color w:val="auto"/>
              </w:rPr>
            </w:pPr>
          </w:p>
        </w:tc>
      </w:tr>
      <w:tr>
        <w:trPr>
          <w:trHeight w:val="183"/>
        </w:trPr>
        <w:tc>
          <w:tcPr>
            <w:tcW w:w="66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liability</w:t>
            </w:r>
          </w:p>
        </w:tc>
        <w:tc>
          <w:tcPr>
            <w:tcW w:w="13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6600" w:type="dxa"/>
            <w:vAlign w:val="bottom"/>
            <w:gridSpan w:val="2"/>
          </w:tcPr>
          <w:p>
            <w:pPr>
              <w:spacing w:after="0"/>
              <w:rPr>
                <w:sz w:val="20"/>
                <w:szCs w:val="20"/>
                <w:color w:val="auto"/>
              </w:rPr>
            </w:pPr>
            <w:r>
              <w:rPr>
                <w:rFonts w:ascii="Arial" w:cs="Arial" w:eastAsia="Arial" w:hAnsi="Arial"/>
                <w:sz w:val="16"/>
                <w:szCs w:val="16"/>
                <w:color w:val="auto"/>
              </w:rPr>
              <w:t>At January 1, 2023</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(1,792,384)</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(1,792,384)</w:t>
            </w:r>
          </w:p>
        </w:tc>
      </w:tr>
      <w:tr>
        <w:trPr>
          <w:trHeight w:val="189"/>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Credited</w:t>
            </w: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6600" w:type="dxa"/>
            <w:vAlign w:val="bottom"/>
            <w:gridSpan w:val="2"/>
          </w:tcPr>
          <w:p>
            <w:pPr>
              <w:spacing w:after="0"/>
              <w:rPr>
                <w:sz w:val="20"/>
                <w:szCs w:val="20"/>
                <w:color w:val="auto"/>
              </w:rPr>
            </w:pPr>
            <w:r>
              <w:rPr>
                <w:rFonts w:ascii="Arial" w:cs="Arial" w:eastAsia="Arial" w:hAnsi="Arial"/>
                <w:sz w:val="16"/>
                <w:szCs w:val="16"/>
                <w:color w:val="auto"/>
              </w:rPr>
              <w:t>- Profit or loss</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37,609</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37,609</w:t>
            </w:r>
          </w:p>
        </w:tc>
        <w:tc>
          <w:tcPr>
            <w:tcW w:w="120" w:type="dxa"/>
            <w:vAlign w:val="bottom"/>
          </w:tcPr>
          <w:p>
            <w:pPr>
              <w:spacing w:after="0"/>
              <w:rPr>
                <w:sz w:val="16"/>
                <w:szCs w:val="16"/>
                <w:color w:val="auto"/>
              </w:rPr>
            </w:pPr>
          </w:p>
        </w:tc>
      </w:tr>
      <w:tr>
        <w:trPr>
          <w:trHeight w:val="189"/>
        </w:trPr>
        <w:tc>
          <w:tcPr>
            <w:tcW w:w="6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6600" w:type="dxa"/>
            <w:vAlign w:val="bottom"/>
            <w:gridSpan w:val="2"/>
          </w:tcPr>
          <w:p>
            <w:pPr>
              <w:spacing w:after="0" w:line="183" w:lineRule="exact"/>
              <w:rPr>
                <w:sz w:val="20"/>
                <w:szCs w:val="20"/>
                <w:color w:val="auto"/>
              </w:rPr>
            </w:pPr>
            <w:r>
              <w:rPr>
                <w:rFonts w:ascii="Arial" w:cs="Arial" w:eastAsia="Arial" w:hAnsi="Arial"/>
                <w:sz w:val="16"/>
                <w:szCs w:val="16"/>
                <w:color w:val="auto"/>
              </w:rPr>
              <w:t>At December 31, 2023</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5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(1,754,775)</w:t>
            </w:r>
          </w:p>
        </w:tc>
        <w:tc>
          <w:tcPr>
            <w:tcW w:w="15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(1,754,775)</w:t>
            </w:r>
          </w:p>
        </w:tc>
      </w:tr>
      <w:tr>
        <w:trPr>
          <w:trHeight w:val="223"/>
        </w:trPr>
        <w:tc>
          <w:tcPr>
            <w:tcW w:w="660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deferred tax assets at December 31, 2023</w:t>
            </w:r>
          </w:p>
        </w:tc>
        <w:tc>
          <w:tcPr>
            <w:tcW w:w="136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-1019175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-1019175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-281940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-281940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7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total unrecognized deferred tax assets from temporary differences amounts to €7.8 million (2023: €9.3 million). No deferred tax balances in relation to investments in subsidiaries, associates and interests in joint arrangements are considered, due to the fact that the timing of the reversal of the temporary differences can be controlled by the Company and it is probable that the temporary differences will not reverse in the foreseeable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Related parties</w:t>
      </w:r>
    </w:p>
    <w:p>
      <w:pPr>
        <w:spacing w:after="0" w:line="24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Note 1.2 of the consolidated financial statements provides information about the Group’s structure, including details of the subsidiaries and the holding company and the total amount of transactions that have been entered into with related parties for the relevant financial year. Reference is made to Note 20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74" w:right="49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Remuneration of the board of Directors and Key management</w:t>
      </w:r>
    </w:p>
    <w:p>
      <w:pPr>
        <w:spacing w:after="0" w:line="24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emoluments, including pension costs as referred to in Section 2:383(1) of the Netherlands Civil Code, charged in the financial year to the Company and group companies by the Board of Directors members amounts to €5,358,974 (2023: €3,760,144).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shows the remuneration of the individual members of the Board of Directors for the year ended December 31, 2024 and 2023 in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187960</wp:posOffset>
            </wp:positionV>
            <wp:extent cx="102235" cy="402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02235" cy="40259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187960</wp:posOffset>
            </wp:positionV>
            <wp:extent cx="102235" cy="402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02235" cy="402590"/>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187960</wp:posOffset>
            </wp:positionV>
            <wp:extent cx="102870" cy="402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02870" cy="402590"/>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187960</wp:posOffset>
            </wp:positionV>
            <wp:extent cx="93980" cy="402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187960</wp:posOffset>
            </wp:positionV>
            <wp:extent cx="93980" cy="402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187960</wp:posOffset>
            </wp:positionV>
            <wp:extent cx="93980" cy="402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187960</wp:posOffset>
            </wp:positionV>
            <wp:extent cx="93980" cy="402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93980" cy="402590"/>
                    </a:xfrm>
                    <a:prstGeom prst="rect">
                      <a:avLst/>
                    </a:prstGeom>
                    <a:noFill/>
                  </pic:spPr>
                </pic:pic>
              </a:graphicData>
            </a:graphic>
          </wp:anchor>
        </w:drawing>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280" w:type="dxa"/>
            <w:vAlign w:val="bottom"/>
            <w:tcBorders>
              <w:top w:val="single" w:sz="8" w:color="auto"/>
              <w:left w:val="single" w:sz="8" w:color="auto"/>
              <w:right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Pension and</w:t>
            </w:r>
          </w:p>
        </w:tc>
        <w:tc>
          <w:tcPr>
            <w:tcW w:w="140" w:type="dxa"/>
            <w:vAlign w:val="bottom"/>
            <w:tcBorders>
              <w:right w:val="single" w:sz="8" w:color="auto"/>
            </w:tcBorders>
          </w:tcPr>
          <w:p>
            <w:pPr>
              <w:spacing w:after="0"/>
              <w:rPr>
                <w:sz w:val="16"/>
                <w:szCs w:val="16"/>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Management</w:t>
            </w:r>
          </w:p>
        </w:tc>
        <w:tc>
          <w:tcPr>
            <w:tcW w:w="120" w:type="dxa"/>
            <w:vAlign w:val="bottom"/>
            <w:tcBorders>
              <w:right w:val="single" w:sz="8" w:color="auto"/>
            </w:tcBorders>
            <w:vMerge w:val="restart"/>
          </w:tcPr>
          <w:p>
            <w:pPr>
              <w:spacing w:after="0"/>
              <w:rPr>
                <w:sz w:val="16"/>
                <w:szCs w:val="16"/>
                <w:color w:val="auto"/>
              </w:rPr>
            </w:pPr>
          </w:p>
        </w:tc>
        <w:tc>
          <w:tcPr>
            <w:tcW w:w="1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Share-based</w:t>
            </w:r>
          </w:p>
        </w:tc>
        <w:tc>
          <w:tcPr>
            <w:tcW w:w="140" w:type="dxa"/>
            <w:vAlign w:val="bottom"/>
            <w:tcBorders>
              <w:right w:val="single" w:sz="8" w:color="auto"/>
            </w:tcBorders>
            <w:vMerge w:val="restart"/>
          </w:tcPr>
          <w:p>
            <w:pPr>
              <w:spacing w:after="0"/>
              <w:rPr>
                <w:sz w:val="16"/>
                <w:szCs w:val="16"/>
                <w:color w:val="auto"/>
              </w:rPr>
            </w:pPr>
          </w:p>
        </w:tc>
        <w:tc>
          <w:tcPr>
            <w:tcW w:w="10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Total</w:t>
            </w:r>
          </w:p>
        </w:tc>
        <w:tc>
          <w:tcPr>
            <w:tcW w:w="140" w:type="dxa"/>
            <w:vAlign w:val="bottom"/>
            <w:tcBorders>
              <w:right w:val="single" w:sz="8" w:color="auto"/>
            </w:tcBorders>
          </w:tcPr>
          <w:p>
            <w:pPr>
              <w:spacing w:after="0"/>
              <w:rPr>
                <w:sz w:val="16"/>
                <w:szCs w:val="16"/>
                <w:color w:val="auto"/>
              </w:rPr>
            </w:pPr>
          </w:p>
        </w:tc>
        <w:tc>
          <w:tcPr>
            <w:tcW w:w="14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Total remuneration</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2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gridSpan w:val="3"/>
            <w:vMerge w:val="restart"/>
          </w:tcPr>
          <w:p>
            <w:pPr>
              <w:ind w:left="260"/>
              <w:spacing w:after="0"/>
              <w:rPr>
                <w:sz w:val="20"/>
                <w:szCs w:val="20"/>
                <w:color w:val="auto"/>
              </w:rPr>
            </w:pPr>
            <w:r>
              <w:rPr>
                <w:rFonts w:ascii="Arial" w:cs="Arial" w:eastAsia="Arial" w:hAnsi="Arial"/>
                <w:sz w:val="16"/>
                <w:szCs w:val="16"/>
                <w:color w:val="auto"/>
              </w:rPr>
              <w:t>Salary</w:t>
            </w:r>
          </w:p>
        </w:tc>
        <w:tc>
          <w:tcPr>
            <w:tcW w:w="126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Bonus</w:t>
            </w:r>
          </w:p>
        </w:tc>
        <w:tc>
          <w:tcPr>
            <w:tcW w:w="124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16"/>
                <w:szCs w:val="16"/>
                <w:color w:val="auto"/>
              </w:rPr>
              <w:t>social</w:t>
            </w:r>
          </w:p>
        </w:tc>
        <w:tc>
          <w:tcPr>
            <w:tcW w:w="1100" w:type="dxa"/>
            <w:vAlign w:val="bottom"/>
            <w:vMerge w:val="continue"/>
          </w:tcPr>
          <w:p>
            <w:pPr>
              <w:spacing w:after="0"/>
              <w:rPr>
                <w:sz w:val="8"/>
                <w:szCs w:val="8"/>
                <w:color w:val="auto"/>
              </w:rPr>
            </w:pPr>
          </w:p>
        </w:tc>
        <w:tc>
          <w:tcPr>
            <w:tcW w:w="120" w:type="dxa"/>
            <w:vAlign w:val="bottom"/>
            <w:tcBorders>
              <w:right w:val="single" w:sz="8" w:color="auto"/>
            </w:tcBorders>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4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6"/>
                <w:szCs w:val="16"/>
                <w:color w:val="auto"/>
              </w:rPr>
              <w:t>remuneration</w:t>
            </w:r>
          </w:p>
        </w:tc>
        <w:tc>
          <w:tcPr>
            <w:tcW w:w="14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2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gridSpan w:val="3"/>
            <w:vMerge w:val="continue"/>
          </w:tcPr>
          <w:p>
            <w:pPr>
              <w:spacing w:after="0"/>
              <w:rPr>
                <w:sz w:val="8"/>
                <w:szCs w:val="8"/>
                <w:color w:val="auto"/>
              </w:rPr>
            </w:pPr>
          </w:p>
        </w:tc>
        <w:tc>
          <w:tcPr>
            <w:tcW w:w="1260" w:type="dxa"/>
            <w:vAlign w:val="bottom"/>
            <w:tcBorders>
              <w:right w:val="single" w:sz="8" w:color="auto"/>
            </w:tcBorders>
            <w:gridSpan w:val="2"/>
            <w:vMerge w:val="continue"/>
          </w:tcPr>
          <w:p>
            <w:pPr>
              <w:spacing w:after="0"/>
              <w:rPr>
                <w:sz w:val="8"/>
                <w:szCs w:val="8"/>
                <w:color w:val="auto"/>
              </w:rPr>
            </w:pPr>
          </w:p>
        </w:tc>
        <w:tc>
          <w:tcPr>
            <w:tcW w:w="1240" w:type="dxa"/>
            <w:vAlign w:val="bottom"/>
            <w:tcBorders>
              <w:right w:val="single" w:sz="8" w:color="auto"/>
            </w:tcBorders>
            <w:gridSpan w:val="2"/>
            <w:vMerge w:val="continue"/>
          </w:tcPr>
          <w:p>
            <w:pPr>
              <w:spacing w:after="0"/>
              <w:rPr>
                <w:sz w:val="8"/>
                <w:szCs w:val="8"/>
                <w:color w:val="auto"/>
              </w:rPr>
            </w:pPr>
          </w:p>
        </w:tc>
        <w:tc>
          <w:tcPr>
            <w:tcW w:w="12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color w:val="auto"/>
                <w:w w:val="98"/>
              </w:rPr>
              <w:t>fee</w:t>
            </w:r>
          </w:p>
        </w:tc>
        <w:tc>
          <w:tcPr>
            <w:tcW w:w="132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6"/>
                <w:szCs w:val="16"/>
                <w:color w:val="auto"/>
              </w:rPr>
              <w:t>compensation</w:t>
            </w:r>
          </w:p>
        </w:tc>
        <w:tc>
          <w:tcPr>
            <w:tcW w:w="1200" w:type="dxa"/>
            <w:vAlign w:val="bottom"/>
            <w:tcBorders>
              <w:right w:val="single" w:sz="8" w:color="auto"/>
            </w:tcBorders>
            <w:gridSpan w:val="2"/>
            <w:vMerge w:val="continue"/>
          </w:tcPr>
          <w:p>
            <w:pPr>
              <w:spacing w:after="0"/>
              <w:rPr>
                <w:sz w:val="8"/>
                <w:szCs w:val="8"/>
                <w:color w:val="auto"/>
              </w:rPr>
            </w:pPr>
          </w:p>
        </w:tc>
        <w:tc>
          <w:tcPr>
            <w:tcW w:w="1480" w:type="dxa"/>
            <w:vAlign w:val="bottom"/>
            <w:vMerge w:val="restart"/>
          </w:tcPr>
          <w:p>
            <w:pPr>
              <w:jc w:val="right"/>
              <w:ind w:right="49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280" w:type="dxa"/>
            <w:vAlign w:val="bottom"/>
            <w:tcBorders>
              <w:left w:val="single" w:sz="8" w:color="auto"/>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right"/>
              <w:ind w:right="360"/>
              <w:spacing w:after="0"/>
              <w:rPr>
                <w:sz w:val="20"/>
                <w:szCs w:val="20"/>
                <w:color w:val="auto"/>
              </w:rPr>
            </w:pPr>
            <w:r>
              <w:rPr>
                <w:rFonts w:ascii="Arial" w:cs="Arial" w:eastAsia="Arial" w:hAnsi="Arial"/>
                <w:sz w:val="16"/>
                <w:szCs w:val="16"/>
                <w:color w:val="auto"/>
              </w:rPr>
              <w:t>securities</w:t>
            </w:r>
          </w:p>
        </w:tc>
        <w:tc>
          <w:tcPr>
            <w:tcW w:w="1220" w:type="dxa"/>
            <w:vAlign w:val="bottom"/>
            <w:tcBorders>
              <w:right w:val="single" w:sz="8" w:color="auto"/>
            </w:tcBorders>
            <w:gridSpan w:val="2"/>
            <w:vMerge w:val="continue"/>
          </w:tcPr>
          <w:p>
            <w:pPr>
              <w:spacing w:after="0"/>
              <w:rPr>
                <w:sz w:val="10"/>
                <w:szCs w:val="10"/>
                <w:color w:val="auto"/>
              </w:rPr>
            </w:pPr>
          </w:p>
        </w:tc>
        <w:tc>
          <w:tcPr>
            <w:tcW w:w="1320" w:type="dxa"/>
            <w:vAlign w:val="bottom"/>
            <w:tcBorders>
              <w:right w:val="single" w:sz="8" w:color="auto"/>
            </w:tcBorders>
            <w:gridSpan w:val="2"/>
            <w:vMerge w:val="continue"/>
          </w:tcPr>
          <w:p>
            <w:pPr>
              <w:spacing w:after="0"/>
              <w:rPr>
                <w:sz w:val="10"/>
                <w:szCs w:val="10"/>
                <w:color w:val="auto"/>
              </w:rPr>
            </w:pP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color w:val="auto"/>
              </w:rPr>
              <w:t>2024</w:t>
            </w:r>
          </w:p>
        </w:tc>
        <w:tc>
          <w:tcPr>
            <w:tcW w:w="140" w:type="dxa"/>
            <w:vAlign w:val="bottom"/>
            <w:tcBorders>
              <w:right w:val="single" w:sz="8" w:color="auto"/>
            </w:tcBorders>
          </w:tcPr>
          <w:p>
            <w:pPr>
              <w:spacing w:after="0"/>
              <w:rPr>
                <w:sz w:val="10"/>
                <w:szCs w:val="10"/>
                <w:color w:val="auto"/>
              </w:rPr>
            </w:pPr>
          </w:p>
        </w:tc>
        <w:tc>
          <w:tcPr>
            <w:tcW w:w="1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280" w:type="dxa"/>
            <w:vAlign w:val="bottom"/>
            <w:tcBorders>
              <w:left w:val="single" w:sz="8" w:color="auto"/>
              <w:right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280" w:type="dxa"/>
            <w:vAlign w:val="bottom"/>
            <w:tcBorders>
              <w:top w:val="single" w:sz="8" w:color="auto"/>
              <w:bottom w:val="single" w:sz="8" w:color="auto"/>
              <w:right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9"/>
              <w:spacing w:after="0" w:line="16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39"/>
              <w:spacing w:after="0" w:line="166"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spacing w:after="0" w:line="166"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spacing w:after="0" w:line="166"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spacing w:after="0" w:line="166"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center"/>
              <w:spacing w:after="0" w:line="166"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center"/>
              <w:spacing w:after="0" w:line="16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80" w:type="dxa"/>
            <w:vAlign w:val="bottom"/>
            <w:tcBorders>
              <w:left w:val="single" w:sz="8" w:color="CFF0FC"/>
              <w:bottom w:val="single" w:sz="8" w:color="auto"/>
              <w:right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Mr. B. Modig</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645,715</w:t>
            </w: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312,862</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147,653</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2,261,661</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3,367,891</w:t>
            </w:r>
          </w:p>
        </w:tc>
        <w:tc>
          <w:tcPr>
            <w:tcW w:w="140" w:type="dxa"/>
            <w:vAlign w:val="bottom"/>
            <w:tcBorders>
              <w:bottom w:val="single" w:sz="8" w:color="CFF4FF"/>
              <w:right w:val="single" w:sz="8" w:color="auto"/>
            </w:tcBorders>
            <w:shd w:val="clear" w:color="auto" w:fill="CFF4FF"/>
          </w:tcPr>
          <w:p>
            <w:pPr>
              <w:spacing w:after="0"/>
              <w:rPr>
                <w:sz w:val="15"/>
                <w:szCs w:val="15"/>
                <w:color w:val="auto"/>
              </w:rPr>
            </w:pPr>
          </w:p>
        </w:tc>
        <w:tc>
          <w:tcPr>
            <w:tcW w:w="148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2,336,649</w:t>
            </w:r>
          </w:p>
        </w:tc>
        <w:tc>
          <w:tcPr>
            <w:tcW w:w="10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8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Mr. H. Schikan</w:t>
            </w:r>
          </w:p>
        </w:tc>
        <w:tc>
          <w:tcPr>
            <w:tcW w:w="10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56,652</w:t>
            </w:r>
          </w:p>
        </w:tc>
        <w:tc>
          <w:tcPr>
            <w:tcW w:w="1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334,918</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391,570</w:t>
            </w:r>
          </w:p>
        </w:tc>
        <w:tc>
          <w:tcPr>
            <w:tcW w:w="140" w:type="dxa"/>
            <w:vAlign w:val="bottom"/>
            <w:tcBorders>
              <w:right w:val="single" w:sz="8" w:color="auto"/>
            </w:tcBorders>
          </w:tcPr>
          <w:p>
            <w:pPr>
              <w:spacing w:after="0"/>
              <w:rPr>
                <w:sz w:val="15"/>
                <w:szCs w:val="15"/>
                <w:color w:val="auto"/>
              </w:rPr>
            </w:pPr>
          </w:p>
        </w:tc>
        <w:tc>
          <w:tcPr>
            <w:tcW w:w="15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195,854</w:t>
            </w:r>
          </w:p>
        </w:tc>
        <w:tc>
          <w:tcPr>
            <w:tcW w:w="0" w:type="dxa"/>
            <w:vAlign w:val="bottom"/>
          </w:tcPr>
          <w:p>
            <w:pPr>
              <w:spacing w:after="0"/>
              <w:rPr>
                <w:sz w:val="1"/>
                <w:szCs w:val="1"/>
                <w:color w:val="auto"/>
              </w:rPr>
            </w:pPr>
          </w:p>
        </w:tc>
      </w:tr>
      <w:tr>
        <w:trPr>
          <w:trHeight w:val="183"/>
        </w:trPr>
        <w:tc>
          <w:tcPr>
            <w:tcW w:w="2280" w:type="dxa"/>
            <w:vAlign w:val="bottom"/>
            <w:tcBorders>
              <w:top w:val="single" w:sz="8" w:color="auto"/>
              <w:left w:val="single" w:sz="8" w:color="CFF0FC"/>
              <w:bottom w:val="single" w:sz="8" w:color="auto"/>
              <w:right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Mr. D. Meeker</w:t>
            </w: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87,299</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330,580</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417,879</w:t>
            </w:r>
          </w:p>
        </w:tc>
        <w:tc>
          <w:tcPr>
            <w:tcW w:w="140" w:type="dxa"/>
            <w:vAlign w:val="bottom"/>
            <w:tcBorders>
              <w:bottom w:val="single" w:sz="8" w:color="CFF4FF"/>
              <w:right w:val="single" w:sz="8" w:color="auto"/>
            </w:tcBorders>
            <w:shd w:val="clear" w:color="auto" w:fill="CFF4FF"/>
          </w:tcPr>
          <w:p>
            <w:pPr>
              <w:spacing w:after="0"/>
              <w:rPr>
                <w:sz w:val="15"/>
                <w:szCs w:val="15"/>
                <w:color w:val="auto"/>
              </w:rPr>
            </w:pPr>
          </w:p>
        </w:tc>
        <w:tc>
          <w:tcPr>
            <w:tcW w:w="1480" w:type="dxa"/>
            <w:vAlign w:val="bottom"/>
            <w:tcBorders>
              <w:top w:val="single" w:sz="8" w:color="auto"/>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460,567</w:t>
            </w:r>
          </w:p>
        </w:tc>
        <w:tc>
          <w:tcPr>
            <w:tcW w:w="10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8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Mr. R. Glassman</w:t>
            </w:r>
          </w:p>
        </w:tc>
        <w:tc>
          <w:tcPr>
            <w:tcW w:w="10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51,079</w:t>
            </w:r>
          </w:p>
        </w:tc>
        <w:tc>
          <w:tcPr>
            <w:tcW w:w="1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325,097</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376,176</w:t>
            </w:r>
          </w:p>
        </w:tc>
        <w:tc>
          <w:tcPr>
            <w:tcW w:w="140" w:type="dxa"/>
            <w:vAlign w:val="bottom"/>
            <w:tcBorders>
              <w:right w:val="single" w:sz="8" w:color="auto"/>
            </w:tcBorders>
          </w:tcPr>
          <w:p>
            <w:pPr>
              <w:spacing w:after="0"/>
              <w:rPr>
                <w:sz w:val="15"/>
                <w:szCs w:val="15"/>
                <w:color w:val="auto"/>
              </w:rPr>
            </w:pPr>
          </w:p>
        </w:tc>
        <w:tc>
          <w:tcPr>
            <w:tcW w:w="15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243,986</w:t>
            </w:r>
          </w:p>
        </w:tc>
        <w:tc>
          <w:tcPr>
            <w:tcW w:w="0" w:type="dxa"/>
            <w:vAlign w:val="bottom"/>
          </w:tcPr>
          <w:p>
            <w:pPr>
              <w:spacing w:after="0"/>
              <w:rPr>
                <w:sz w:val="1"/>
                <w:szCs w:val="1"/>
                <w:color w:val="auto"/>
              </w:rPr>
            </w:pPr>
          </w:p>
        </w:tc>
      </w:tr>
      <w:tr>
        <w:trPr>
          <w:trHeight w:val="183"/>
        </w:trPr>
        <w:tc>
          <w:tcPr>
            <w:tcW w:w="2280" w:type="dxa"/>
            <w:vAlign w:val="bottom"/>
            <w:tcBorders>
              <w:top w:val="single" w:sz="8" w:color="auto"/>
              <w:left w:val="single" w:sz="8" w:color="CFF4FF"/>
              <w:bottom w:val="single" w:sz="8" w:color="auto"/>
              <w:right w:val="single" w:sz="8" w:color="auto"/>
            </w:tcBorders>
            <w:shd w:val="clear" w:color="auto" w:fill="CFF4FF"/>
          </w:tcPr>
          <w:p>
            <w:pPr>
              <w:ind w:left="20"/>
              <w:spacing w:after="0" w:line="183" w:lineRule="exact"/>
              <w:rPr>
                <w:sz w:val="20"/>
                <w:szCs w:val="20"/>
                <w:color w:val="auto"/>
              </w:rPr>
            </w:pPr>
            <w:r>
              <w:rPr>
                <w:rFonts w:ascii="Arial" w:cs="Arial" w:eastAsia="Arial" w:hAnsi="Arial"/>
                <w:sz w:val="16"/>
                <w:szCs w:val="16"/>
                <w:color w:val="auto"/>
              </w:rPr>
              <w:t>Ms. V. Monges</w:t>
            </w: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60,366</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343,497</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403,863</w:t>
            </w:r>
          </w:p>
        </w:tc>
        <w:tc>
          <w:tcPr>
            <w:tcW w:w="140" w:type="dxa"/>
            <w:vAlign w:val="bottom"/>
            <w:tcBorders>
              <w:bottom w:val="single" w:sz="8" w:color="CFF4FF"/>
              <w:right w:val="single" w:sz="8" w:color="auto"/>
            </w:tcBorders>
            <w:shd w:val="clear" w:color="auto" w:fill="CFF4FF"/>
          </w:tcPr>
          <w:p>
            <w:pPr>
              <w:spacing w:after="0"/>
              <w:rPr>
                <w:sz w:val="15"/>
                <w:szCs w:val="15"/>
                <w:color w:val="auto"/>
              </w:rPr>
            </w:pPr>
          </w:p>
        </w:tc>
        <w:tc>
          <w:tcPr>
            <w:tcW w:w="1480" w:type="dxa"/>
            <w:vAlign w:val="bottom"/>
            <w:tcBorders>
              <w:top w:val="single" w:sz="8" w:color="auto"/>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258,835</w:t>
            </w:r>
          </w:p>
        </w:tc>
        <w:tc>
          <w:tcPr>
            <w:tcW w:w="10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8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Ms. E. Björk</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41,792</w:t>
            </w:r>
          </w:p>
        </w:tc>
        <w:tc>
          <w:tcPr>
            <w:tcW w:w="1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359,803</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401,595</w:t>
            </w:r>
          </w:p>
        </w:tc>
        <w:tc>
          <w:tcPr>
            <w:tcW w:w="140" w:type="dxa"/>
            <w:vAlign w:val="bottom"/>
            <w:tcBorders>
              <w:right w:val="single" w:sz="8" w:color="auto"/>
            </w:tcBorders>
          </w:tcPr>
          <w:p>
            <w:pPr>
              <w:spacing w:after="0"/>
              <w:rPr>
                <w:sz w:val="15"/>
                <w:szCs w:val="15"/>
                <w:color w:val="auto"/>
              </w:rPr>
            </w:pPr>
          </w:p>
        </w:tc>
        <w:tc>
          <w:tcPr>
            <w:tcW w:w="15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297,450</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280" w:type="dxa"/>
            <w:vAlign w:val="bottom"/>
            <w:tcBorders>
              <w:left w:val="single" w:sz="8" w:color="CFF0FC"/>
              <w:right w:val="single" w:sz="8" w:color="auto"/>
            </w:tcBorders>
            <w:shd w:val="clear" w:color="auto" w:fill="CFF0FC"/>
          </w:tcPr>
          <w:p>
            <w:pPr>
              <w:ind w:left="20"/>
              <w:spacing w:after="0" w:line="168" w:lineRule="exact"/>
              <w:rPr>
                <w:sz w:val="20"/>
                <w:szCs w:val="20"/>
                <w:color w:val="auto"/>
              </w:rPr>
            </w:pPr>
            <w:r>
              <w:rPr>
                <w:rFonts w:ascii="Arial" w:cs="Arial" w:eastAsia="Arial" w:hAnsi="Arial"/>
                <w:sz w:val="16"/>
                <w:szCs w:val="16"/>
                <w:color w:val="auto"/>
              </w:rPr>
              <w:t>Ms. A. de Jonge -</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restart"/>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vMerge w:val="restart"/>
            <w:shd w:val="clear" w:color="auto" w:fill="CFF0FC"/>
          </w:tcPr>
          <w:p>
            <w:pPr>
              <w:spacing w:after="0"/>
              <w:rPr>
                <w:sz w:val="14"/>
                <w:szCs w:val="14"/>
                <w:color w:val="auto"/>
              </w:rPr>
            </w:pPr>
          </w:p>
        </w:tc>
        <w:tc>
          <w:tcPr>
            <w:tcW w:w="124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(33,197)</w:t>
            </w:r>
          </w:p>
        </w:tc>
        <w:tc>
          <w:tcPr>
            <w:tcW w:w="0" w:type="dxa"/>
            <w:vAlign w:val="bottom"/>
          </w:tcPr>
          <w:p>
            <w:pPr>
              <w:spacing w:after="0"/>
              <w:rPr>
                <w:sz w:val="1"/>
                <w:szCs w:val="1"/>
                <w:color w:val="auto"/>
              </w:rPr>
            </w:pPr>
          </w:p>
        </w:tc>
      </w:tr>
      <w:tr>
        <w:trPr>
          <w:trHeight w:val="120"/>
        </w:trPr>
        <w:tc>
          <w:tcPr>
            <w:tcW w:w="2280" w:type="dxa"/>
            <w:vAlign w:val="bottom"/>
            <w:tcBorders>
              <w:left w:val="single" w:sz="8" w:color="CFF0FC"/>
              <w:right w:val="single" w:sz="8" w:color="auto"/>
            </w:tcBorders>
            <w:vMerge w:val="restart"/>
            <w:shd w:val="clear" w:color="auto" w:fill="CFF0FC"/>
          </w:tcPr>
          <w:p>
            <w:pPr>
              <w:ind w:left="20"/>
              <w:spacing w:after="0"/>
              <w:rPr>
                <w:sz w:val="20"/>
                <w:szCs w:val="20"/>
                <w:color w:val="auto"/>
              </w:rPr>
            </w:pPr>
            <w:r>
              <w:rPr>
                <w:rFonts w:ascii="Arial" w:cs="Arial" w:eastAsia="Arial" w:hAnsi="Arial"/>
                <w:sz w:val="16"/>
                <w:szCs w:val="16"/>
                <w:color w:val="auto"/>
              </w:rPr>
              <w:t>Schuermans(1)</w:t>
            </w:r>
          </w:p>
        </w:tc>
        <w:tc>
          <w:tcPr>
            <w:tcW w:w="1000" w:type="dxa"/>
            <w:vAlign w:val="bottom"/>
            <w:vMerge w:val="continue"/>
            <w:shd w:val="clear" w:color="auto" w:fill="CFF0FC"/>
          </w:tcPr>
          <w:p>
            <w:pPr>
              <w:spacing w:after="0"/>
              <w:rPr>
                <w:sz w:val="10"/>
                <w:szCs w:val="10"/>
                <w:color w:val="auto"/>
              </w:rPr>
            </w:pPr>
          </w:p>
        </w:tc>
        <w:tc>
          <w:tcPr>
            <w:tcW w:w="20" w:type="dxa"/>
            <w:vAlign w:val="bottom"/>
            <w:vMerge w:val="continue"/>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140" w:type="dxa"/>
            <w:vAlign w:val="bottom"/>
            <w:tcBorders>
              <w:right w:val="single" w:sz="8" w:color="auto"/>
            </w:tcBorders>
            <w:vMerge w:val="continue"/>
            <w:shd w:val="clear" w:color="auto" w:fill="CFF0FC"/>
          </w:tcPr>
          <w:p>
            <w:pPr>
              <w:spacing w:after="0"/>
              <w:rPr>
                <w:sz w:val="10"/>
                <w:szCs w:val="10"/>
                <w:color w:val="auto"/>
              </w:rPr>
            </w:pPr>
          </w:p>
        </w:tc>
        <w:tc>
          <w:tcPr>
            <w:tcW w:w="1240" w:type="dxa"/>
            <w:vAlign w:val="bottom"/>
            <w:tcBorders>
              <w:right w:val="single" w:sz="8" w:color="auto"/>
            </w:tcBorders>
            <w:gridSpan w:val="2"/>
            <w:vMerge w:val="continue"/>
            <w:shd w:val="clear" w:color="auto" w:fill="CFF0FC"/>
          </w:tcPr>
          <w:p>
            <w:pPr>
              <w:spacing w:after="0"/>
              <w:rPr>
                <w:sz w:val="10"/>
                <w:szCs w:val="10"/>
                <w:color w:val="auto"/>
              </w:rPr>
            </w:pPr>
          </w:p>
        </w:tc>
        <w:tc>
          <w:tcPr>
            <w:tcW w:w="1220" w:type="dxa"/>
            <w:vAlign w:val="bottom"/>
            <w:tcBorders>
              <w:right w:val="single" w:sz="8" w:color="auto"/>
            </w:tcBorders>
            <w:gridSpan w:val="2"/>
            <w:vMerge w:val="continue"/>
            <w:shd w:val="clear" w:color="auto" w:fill="CFF0FC"/>
          </w:tcPr>
          <w:p>
            <w:pPr>
              <w:spacing w:after="0"/>
              <w:rPr>
                <w:sz w:val="10"/>
                <w:szCs w:val="10"/>
                <w:color w:val="auto"/>
              </w:rPr>
            </w:pPr>
          </w:p>
        </w:tc>
        <w:tc>
          <w:tcPr>
            <w:tcW w:w="1320" w:type="dxa"/>
            <w:vAlign w:val="bottom"/>
            <w:tcBorders>
              <w:right w:val="single" w:sz="8" w:color="auto"/>
            </w:tcBorders>
            <w:gridSpan w:val="2"/>
            <w:vMerge w:val="continue"/>
            <w:shd w:val="clear" w:color="auto" w:fill="CFF0FC"/>
          </w:tcPr>
          <w:p>
            <w:pPr>
              <w:spacing w:after="0"/>
              <w:rPr>
                <w:sz w:val="10"/>
                <w:szCs w:val="10"/>
                <w:color w:val="auto"/>
              </w:rPr>
            </w:pPr>
          </w:p>
        </w:tc>
        <w:tc>
          <w:tcPr>
            <w:tcW w:w="1200" w:type="dxa"/>
            <w:vAlign w:val="bottom"/>
            <w:tcBorders>
              <w:right w:val="single" w:sz="8" w:color="auto"/>
            </w:tcBorders>
            <w:gridSpan w:val="2"/>
            <w:vMerge w:val="continue"/>
            <w:shd w:val="clear" w:color="auto" w:fill="CFF0FC"/>
          </w:tcPr>
          <w:p>
            <w:pPr>
              <w:spacing w:after="0"/>
              <w:rPr>
                <w:sz w:val="10"/>
                <w:szCs w:val="10"/>
                <w:color w:val="auto"/>
              </w:rPr>
            </w:pPr>
          </w:p>
        </w:tc>
        <w:tc>
          <w:tcPr>
            <w:tcW w:w="15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280" w:type="dxa"/>
            <w:vAlign w:val="bottom"/>
            <w:tcBorders>
              <w:left w:val="single" w:sz="8" w:color="CFF0FC"/>
              <w:bottom w:val="single" w:sz="8" w:color="auto"/>
              <w:right w:val="single" w:sz="8" w:color="auto"/>
            </w:tcBorders>
            <w:vMerge w:val="continue"/>
            <w:shd w:val="clear" w:color="auto" w:fill="CFF0FC"/>
          </w:tcPr>
          <w:p>
            <w:pPr>
              <w:spacing w:after="0"/>
              <w:rPr>
                <w:sz w:val="7"/>
                <w:szCs w:val="7"/>
                <w:color w:val="auto"/>
              </w:rPr>
            </w:pPr>
          </w:p>
        </w:tc>
        <w:tc>
          <w:tcPr>
            <w:tcW w:w="1000" w:type="dxa"/>
            <w:vAlign w:val="bottom"/>
            <w:tcBorders>
              <w:bottom w:val="single" w:sz="8" w:color="auto"/>
            </w:tcBorders>
            <w:shd w:val="clear" w:color="auto" w:fill="CFF0FC"/>
          </w:tcPr>
          <w:p>
            <w:pPr>
              <w:spacing w:after="0"/>
              <w:rPr>
                <w:sz w:val="7"/>
                <w:szCs w:val="7"/>
                <w:color w:val="auto"/>
              </w:rPr>
            </w:pPr>
          </w:p>
        </w:tc>
        <w:tc>
          <w:tcPr>
            <w:tcW w:w="2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right w:val="single" w:sz="8" w:color="auto"/>
            </w:tcBorders>
            <w:shd w:val="clear" w:color="auto" w:fill="CFF0FC"/>
          </w:tcPr>
          <w:p>
            <w:pPr>
              <w:spacing w:after="0"/>
              <w:rPr>
                <w:sz w:val="7"/>
                <w:szCs w:val="7"/>
                <w:color w:val="auto"/>
              </w:rPr>
            </w:pPr>
          </w:p>
        </w:tc>
        <w:tc>
          <w:tcPr>
            <w:tcW w:w="1120" w:type="dxa"/>
            <w:vAlign w:val="bottom"/>
            <w:tcBorders>
              <w:bottom w:val="single" w:sz="8" w:color="auto"/>
            </w:tcBorders>
            <w:shd w:val="clear" w:color="auto" w:fill="CFF0FC"/>
          </w:tcPr>
          <w:p>
            <w:pPr>
              <w:spacing w:after="0"/>
              <w:rPr>
                <w:sz w:val="7"/>
                <w:szCs w:val="7"/>
                <w:color w:val="auto"/>
              </w:rPr>
            </w:pPr>
          </w:p>
        </w:tc>
        <w:tc>
          <w:tcPr>
            <w:tcW w:w="140" w:type="dxa"/>
            <w:vAlign w:val="bottom"/>
            <w:tcBorders>
              <w:bottom w:val="single" w:sz="8" w:color="CFF0FC"/>
              <w:right w:val="single" w:sz="8" w:color="auto"/>
            </w:tcBorders>
            <w:shd w:val="clear" w:color="auto" w:fill="CFF0FC"/>
          </w:tcPr>
          <w:p>
            <w:pPr>
              <w:spacing w:after="0"/>
              <w:rPr>
                <w:sz w:val="7"/>
                <w:szCs w:val="7"/>
                <w:color w:val="auto"/>
              </w:rPr>
            </w:pPr>
          </w:p>
        </w:tc>
        <w:tc>
          <w:tcPr>
            <w:tcW w:w="1100" w:type="dxa"/>
            <w:vAlign w:val="bottom"/>
            <w:tcBorders>
              <w:bottom w:val="single" w:sz="8" w:color="auto"/>
            </w:tcBorders>
            <w:shd w:val="clear" w:color="auto" w:fill="CFF0FC"/>
          </w:tcPr>
          <w:p>
            <w:pPr>
              <w:spacing w:after="0"/>
              <w:rPr>
                <w:sz w:val="7"/>
                <w:szCs w:val="7"/>
                <w:color w:val="auto"/>
              </w:rPr>
            </w:pPr>
          </w:p>
        </w:tc>
        <w:tc>
          <w:tcPr>
            <w:tcW w:w="140" w:type="dxa"/>
            <w:vAlign w:val="bottom"/>
            <w:tcBorders>
              <w:bottom w:val="single" w:sz="8" w:color="CFF0FC"/>
              <w:right w:val="single" w:sz="8" w:color="auto"/>
            </w:tcBorders>
            <w:shd w:val="clear" w:color="auto" w:fill="CFF0FC"/>
          </w:tcPr>
          <w:p>
            <w:pPr>
              <w:spacing w:after="0"/>
              <w:rPr>
                <w:sz w:val="7"/>
                <w:szCs w:val="7"/>
                <w:color w:val="auto"/>
              </w:rPr>
            </w:pPr>
          </w:p>
        </w:tc>
        <w:tc>
          <w:tcPr>
            <w:tcW w:w="1100" w:type="dxa"/>
            <w:vAlign w:val="bottom"/>
            <w:tcBorders>
              <w:bottom w:val="single" w:sz="8" w:color="auto"/>
            </w:tcBorders>
            <w:shd w:val="clear" w:color="auto" w:fill="CFF0FC"/>
          </w:tcPr>
          <w:p>
            <w:pPr>
              <w:spacing w:after="0"/>
              <w:rPr>
                <w:sz w:val="7"/>
                <w:szCs w:val="7"/>
                <w:color w:val="auto"/>
              </w:rPr>
            </w:pPr>
          </w:p>
        </w:tc>
        <w:tc>
          <w:tcPr>
            <w:tcW w:w="120" w:type="dxa"/>
            <w:vAlign w:val="bottom"/>
            <w:tcBorders>
              <w:bottom w:val="single" w:sz="8" w:color="CFF0FC"/>
              <w:right w:val="single" w:sz="8" w:color="auto"/>
            </w:tcBorders>
            <w:shd w:val="clear" w:color="auto" w:fill="CFF0FC"/>
          </w:tcPr>
          <w:p>
            <w:pPr>
              <w:spacing w:after="0"/>
              <w:rPr>
                <w:sz w:val="7"/>
                <w:szCs w:val="7"/>
                <w:color w:val="auto"/>
              </w:rPr>
            </w:pPr>
          </w:p>
        </w:tc>
        <w:tc>
          <w:tcPr>
            <w:tcW w:w="1180" w:type="dxa"/>
            <w:vAlign w:val="bottom"/>
            <w:tcBorders>
              <w:bottom w:val="single" w:sz="8" w:color="auto"/>
            </w:tcBorders>
            <w:shd w:val="clear" w:color="auto" w:fill="CFF0FC"/>
          </w:tcPr>
          <w:p>
            <w:pPr>
              <w:spacing w:after="0"/>
              <w:rPr>
                <w:sz w:val="7"/>
                <w:szCs w:val="7"/>
                <w:color w:val="auto"/>
              </w:rPr>
            </w:pPr>
          </w:p>
        </w:tc>
        <w:tc>
          <w:tcPr>
            <w:tcW w:w="140" w:type="dxa"/>
            <w:vAlign w:val="bottom"/>
            <w:tcBorders>
              <w:bottom w:val="single" w:sz="8" w:color="CFF0FC"/>
              <w:right w:val="single" w:sz="8" w:color="auto"/>
            </w:tcBorders>
            <w:shd w:val="clear" w:color="auto" w:fill="CFF0FC"/>
          </w:tcPr>
          <w:p>
            <w:pPr>
              <w:spacing w:after="0"/>
              <w:rPr>
                <w:sz w:val="7"/>
                <w:szCs w:val="7"/>
                <w:color w:val="auto"/>
              </w:rPr>
            </w:pPr>
          </w:p>
        </w:tc>
        <w:tc>
          <w:tcPr>
            <w:tcW w:w="1060" w:type="dxa"/>
            <w:vAlign w:val="bottom"/>
            <w:tcBorders>
              <w:bottom w:val="single" w:sz="8" w:color="auto"/>
            </w:tcBorders>
            <w:shd w:val="clear" w:color="auto" w:fill="CFF0FC"/>
          </w:tcPr>
          <w:p>
            <w:pPr>
              <w:spacing w:after="0"/>
              <w:rPr>
                <w:sz w:val="7"/>
                <w:szCs w:val="7"/>
                <w:color w:val="auto"/>
              </w:rPr>
            </w:pPr>
          </w:p>
        </w:tc>
        <w:tc>
          <w:tcPr>
            <w:tcW w:w="140" w:type="dxa"/>
            <w:vAlign w:val="bottom"/>
            <w:tcBorders>
              <w:bottom w:val="single" w:sz="8" w:color="CFF0FC"/>
              <w:right w:val="single" w:sz="8" w:color="auto"/>
            </w:tcBorders>
            <w:shd w:val="clear" w:color="auto" w:fill="CFF0FC"/>
          </w:tcPr>
          <w:p>
            <w:pPr>
              <w:spacing w:after="0"/>
              <w:rPr>
                <w:sz w:val="7"/>
                <w:szCs w:val="7"/>
                <w:color w:val="auto"/>
              </w:rPr>
            </w:pPr>
          </w:p>
        </w:tc>
        <w:tc>
          <w:tcPr>
            <w:tcW w:w="148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-899795</wp:posOffset>
            </wp:positionV>
            <wp:extent cx="768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-899795</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-899795</wp:posOffset>
            </wp:positionV>
            <wp:extent cx="774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-899795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-899795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-899795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-642620</wp:posOffset>
            </wp:positionV>
            <wp:extent cx="768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-642620</wp:posOffset>
            </wp:positionV>
            <wp:extent cx="768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-642620</wp:posOffset>
            </wp:positionV>
            <wp:extent cx="774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-642620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-642620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-642620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-385445</wp:posOffset>
            </wp:positionV>
            <wp:extent cx="768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-385445</wp:posOffset>
            </wp:positionV>
            <wp:extent cx="768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-385445</wp:posOffset>
            </wp:positionV>
            <wp:extent cx="774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-385445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-385445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-385445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-8255</wp:posOffset>
            </wp:positionV>
            <wp:extent cx="768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-8255</wp:posOffset>
            </wp:positionV>
            <wp:extent cx="768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7747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(1) Not part of the Board of Directors per year end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Mr. Modig has received a bonus on the realization of targets set by the Group.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represents the impact in the result of the Company for the expenses granted to the members of the Board of Directors.</w:t>
      </w:r>
    </w:p>
    <w:p>
      <w:pPr>
        <w:spacing w:after="0" w:line="17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Key management of the Group is paid through the group companies, no costs related to Key management are included in the company financial statements. Further reference is made to note 20 of the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Employee benefits and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employees during the fiscal year 2024 or 2023.</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Company is responsible for settling share-based payment transactions with employees of its subsidiaries, and these are recognized as equity-settled share-based payment transactions since they are settled in shares of the Company, Total costs related to share-based payments for €16,208,533 (2023: €10,663,226) are included in “Share in results of participating interests” in the company financial statements, with a corresponding adjustment to equity. Reference is made to note 18 in the consolidated financial statements for disclosure on the share-based payments.</w:t>
      </w: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74" w:right="59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Independent Auditor’s fee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6"/>
                <w:szCs w:val="16"/>
                <w:color w:val="auto"/>
              </w:rPr>
            </w:pPr>
          </w:p>
        </w:tc>
      </w:tr>
      <w:tr>
        <w:trPr>
          <w:trHeight w:val="18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5"/>
                <w:szCs w:val="15"/>
                <w:color w:val="auto"/>
              </w:rPr>
            </w:pPr>
          </w:p>
        </w:tc>
      </w:tr>
      <w:tr>
        <w:trPr>
          <w:trHeight w:val="183"/>
        </w:trPr>
        <w:tc>
          <w:tcPr>
            <w:tcW w:w="7700" w:type="dxa"/>
            <w:vAlign w:val="bottom"/>
            <w:shd w:val="clear" w:color="auto" w:fill="CFF0FF"/>
          </w:tcPr>
          <w:p>
            <w:pPr>
              <w:spacing w:after="0" w:line="183" w:lineRule="exact"/>
              <w:rPr>
                <w:sz w:val="20"/>
                <w:szCs w:val="20"/>
                <w:color w:val="auto"/>
              </w:rPr>
            </w:pPr>
            <w:r>
              <w:rPr>
                <w:rFonts w:ascii="Arial" w:cs="Arial" w:eastAsia="Arial" w:hAnsi="Arial"/>
                <w:sz w:val="16"/>
                <w:szCs w:val="16"/>
                <w:color w:val="auto"/>
              </w:rPr>
              <w:t>Audit services</w:t>
            </w:r>
          </w:p>
        </w:tc>
        <w:tc>
          <w:tcPr>
            <w:tcW w:w="1820" w:type="dxa"/>
            <w:vAlign w:val="bottom"/>
            <w:gridSpan w:val="2"/>
            <w:shd w:val="clear" w:color="auto" w:fill="CFF0FF"/>
          </w:tcPr>
          <w:p>
            <w:pPr>
              <w:jc w:val="right"/>
              <w:ind w:right="220"/>
              <w:spacing w:after="0" w:line="183" w:lineRule="exact"/>
              <w:rPr>
                <w:sz w:val="20"/>
                <w:szCs w:val="20"/>
                <w:color w:val="auto"/>
              </w:rPr>
            </w:pPr>
            <w:r>
              <w:rPr>
                <w:rFonts w:ascii="Arial" w:cs="Arial" w:eastAsia="Arial" w:hAnsi="Arial"/>
                <w:sz w:val="16"/>
                <w:szCs w:val="16"/>
                <w:color w:val="auto"/>
              </w:rPr>
              <w:t>622,000</w:t>
            </w:r>
          </w:p>
        </w:tc>
        <w:tc>
          <w:tcPr>
            <w:tcW w:w="160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343,500</w:t>
            </w:r>
          </w:p>
        </w:tc>
        <w:tc>
          <w:tcPr>
            <w:tcW w:w="120" w:type="dxa"/>
            <w:vAlign w:val="bottom"/>
            <w:shd w:val="clear" w:color="auto" w:fill="CFF0FF"/>
          </w:tcPr>
          <w:p>
            <w:pPr>
              <w:spacing w:after="0"/>
              <w:rPr>
                <w:sz w:val="15"/>
                <w:szCs w:val="15"/>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Other assurance services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170,000</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541,247</w:t>
            </w:r>
          </w:p>
        </w:tc>
        <w:tc>
          <w:tcPr>
            <w:tcW w:w="120" w:type="dxa"/>
            <w:vAlign w:val="bottom"/>
          </w:tcPr>
          <w:p>
            <w:pPr>
              <w:spacing w:after="0"/>
              <w:rPr>
                <w:sz w:val="16"/>
                <w:szCs w:val="16"/>
                <w:color w:val="auto"/>
              </w:rPr>
            </w:pPr>
          </w:p>
        </w:tc>
      </w:tr>
      <w:tr>
        <w:trPr>
          <w:trHeight w:val="223"/>
        </w:trPr>
        <w:tc>
          <w:tcPr>
            <w:tcW w:w="7700" w:type="dxa"/>
            <w:vAlign w:val="bottom"/>
            <w:tcBorders>
              <w:bottom w:val="single" w:sz="8" w:color="CFF0FF"/>
            </w:tcBorders>
            <w:shd w:val="clear" w:color="auto" w:fill="CFF0FF"/>
          </w:tcPr>
          <w:p>
            <w:pPr>
              <w:spacing w:after="0"/>
              <w:rPr>
                <w:sz w:val="19"/>
                <w:szCs w:val="19"/>
                <w:color w:val="auto"/>
              </w:rPr>
            </w:pPr>
          </w:p>
        </w:tc>
        <w:tc>
          <w:tcPr>
            <w:tcW w:w="1600" w:type="dxa"/>
            <w:vAlign w:val="bottom"/>
            <w:tcBorders>
              <w:bottom w:val="single" w:sz="8" w:color="auto"/>
            </w:tcBorders>
            <w:shd w:val="clear" w:color="auto" w:fill="CFF0FF"/>
          </w:tcPr>
          <w:p>
            <w:pPr>
              <w:jc w:val="right"/>
              <w:spacing w:after="0" w:line="183" w:lineRule="exact"/>
              <w:rPr>
                <w:sz w:val="20"/>
                <w:szCs w:val="20"/>
                <w:color w:val="auto"/>
              </w:rPr>
            </w:pPr>
            <w:r>
              <w:rPr>
                <w:rFonts w:ascii="Arial" w:cs="Arial" w:eastAsia="Arial" w:hAnsi="Arial"/>
                <w:sz w:val="16"/>
                <w:szCs w:val="16"/>
                <w:color w:val="auto"/>
              </w:rPr>
              <w:t>792,000</w:t>
            </w:r>
          </w:p>
        </w:tc>
        <w:tc>
          <w:tcPr>
            <w:tcW w:w="220" w:type="dxa"/>
            <w:vAlign w:val="bottom"/>
            <w:tcBorders>
              <w:bottom w:val="single" w:sz="8" w:color="CFF0FF"/>
            </w:tcBorders>
            <w:shd w:val="clear" w:color="auto" w:fill="CFF0FF"/>
          </w:tcPr>
          <w:p>
            <w:pPr>
              <w:spacing w:after="0"/>
              <w:rPr>
                <w:sz w:val="19"/>
                <w:szCs w:val="19"/>
                <w:color w:val="auto"/>
              </w:rPr>
            </w:pPr>
          </w:p>
        </w:tc>
        <w:tc>
          <w:tcPr>
            <w:tcW w:w="1600" w:type="dxa"/>
            <w:vAlign w:val="bottom"/>
            <w:tcBorders>
              <w:bottom w:val="single" w:sz="8" w:color="auto"/>
            </w:tcBorders>
            <w:shd w:val="clear" w:color="auto" w:fill="CFF0FF"/>
          </w:tcPr>
          <w:p>
            <w:pPr>
              <w:jc w:val="right"/>
              <w:spacing w:after="0" w:line="183" w:lineRule="exact"/>
              <w:rPr>
                <w:sz w:val="20"/>
                <w:szCs w:val="20"/>
                <w:color w:val="auto"/>
              </w:rPr>
            </w:pPr>
            <w:r>
              <w:rPr>
                <w:rFonts w:ascii="Arial" w:cs="Arial" w:eastAsia="Arial" w:hAnsi="Arial"/>
                <w:sz w:val="16"/>
                <w:szCs w:val="16"/>
                <w:color w:val="auto"/>
              </w:rPr>
              <w:t>884,747</w:t>
            </w:r>
          </w:p>
        </w:tc>
        <w:tc>
          <w:tcPr>
            <w:tcW w:w="120" w:type="dxa"/>
            <w:vAlign w:val="bottom"/>
            <w:tcBorders>
              <w:bottom w:val="single" w:sz="8" w:color="CFF0FF"/>
            </w:tcBorders>
            <w:shd w:val="clear" w:color="auto" w:fill="CFF0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Other assurance services relate mainly to quarterly reviews of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Events after the reporting period</w:t>
      </w:r>
    </w:p>
    <w:p>
      <w:pPr>
        <w:spacing w:after="0" w:line="20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Company has evaluated subsequent events through May 30, 2025, which is the date the company financial statements were authorized for issuance, and did not identify any significant event after the reporting period that needs to be disclosed.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Leiden, May 30,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Pharvaris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D. Meeker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 Björk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V. Monges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R. Glassman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340296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495" w:lineRule="exact"/>
        <w:rPr>
          <w:sz w:val="20"/>
          <w:szCs w:val="20"/>
          <w:color w:val="auto"/>
        </w:rPr>
      </w:pPr>
    </w:p>
    <w:p>
      <w:pPr>
        <w:sectPr>
          <w:pgSz w:w="11900" w:h="16838" w:orient="portrait"/>
          <w:cols w:equalWidth="0" w:num="2">
            <w:col w:w="5160" w:space="720"/>
            <w:col w:w="4259"/>
          </w:cols>
          <w:pgMar w:left="320" w:top="774"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4" w:right="1440"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Independent auditor's report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independent auditor’s report is included in the next page.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appropriation provisions</w:t>
      </w:r>
    </w:p>
    <w:p>
      <w:pPr>
        <w:spacing w:after="0" w:line="2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Company's article 30 of the articles of association, any profits shown in the adopted statutory annual accounts of the Company shall be appropriated as follows, and in the following order of priority:</w:t>
      </w:r>
    </w:p>
    <w:p>
      <w:pPr>
        <w:spacing w:after="0" w:line="48" w:lineRule="exact"/>
        <w:rPr>
          <w:sz w:val="20"/>
          <w:szCs w:val="20"/>
          <w:color w:val="auto"/>
        </w:rPr>
      </w:pPr>
    </w:p>
    <w:p>
      <w:pPr>
        <w:ind w:left="2600" w:hanging="556"/>
        <w:spacing w:after="0"/>
        <w:tabs>
          <w:tab w:leader="none" w:pos="26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Board shall determine which part of the profits shall be added to the Company's reserves; and</w:t>
      </w:r>
    </w:p>
    <w:p>
      <w:pPr>
        <w:spacing w:after="0" w:line="302" w:lineRule="exact"/>
        <w:rPr>
          <w:rFonts w:ascii="Arial" w:cs="Arial" w:eastAsia="Arial" w:hAnsi="Arial"/>
          <w:sz w:val="16"/>
          <w:szCs w:val="16"/>
          <w:color w:val="auto"/>
        </w:rPr>
      </w:pPr>
    </w:p>
    <w:p>
      <w:pPr>
        <w:ind w:left="2560" w:hanging="516"/>
        <w:spacing w:after="0" w:line="286" w:lineRule="auto"/>
        <w:tabs>
          <w:tab w:leader="none" w:pos="2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subject to a proposal by the Board to that effect, the remaining profits shall be at the disposal of the General Meeting for distribution on the shares.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Shares carrying limited economic entitlement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currently no outstanding shares which carry a limited entitlement to the profits or reserves in the Company.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Branches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branch offices.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page to the Dutch Annual Report of Pharvaris N.V. for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age 1 of 11</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37"/>
          <w:szCs w:val="37"/>
          <w:color w:val="auto"/>
        </w:rPr>
        <w:t>Independent auditor’s report</w:t>
      </w:r>
    </w:p>
    <w:p>
      <w:pPr>
        <w:spacing w:after="0" w:line="29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To: the general meeting of Pharvaris N.V.</w:t>
      </w:r>
    </w:p>
    <w:p>
      <w:pPr>
        <w:spacing w:after="0" w:line="23" w:lineRule="exact"/>
        <w:rPr>
          <w:sz w:val="20"/>
          <w:szCs w:val="20"/>
          <w:color w:val="auto"/>
        </w:rPr>
      </w:pPr>
    </w:p>
    <w:p>
      <w:pPr>
        <w:ind w:left="760" w:right="2800"/>
        <w:spacing w:after="0" w:line="406" w:lineRule="auto"/>
        <w:rPr>
          <w:sz w:val="20"/>
          <w:szCs w:val="20"/>
          <w:color w:val="auto"/>
        </w:rPr>
      </w:pPr>
      <w:r>
        <w:rPr>
          <w:rFonts w:ascii="Arial" w:cs="Arial" w:eastAsia="Arial" w:hAnsi="Arial"/>
          <w:sz w:val="32"/>
          <w:szCs w:val="32"/>
          <w:color w:val="auto"/>
        </w:rPr>
        <w:t>Report on the audit of the financial statements 2024 Our opinion</w:t>
      </w:r>
    </w:p>
    <w:p>
      <w:pPr>
        <w:spacing w:after="0" w:line="33" w:lineRule="exact"/>
        <w:rPr>
          <w:sz w:val="20"/>
          <w:szCs w:val="20"/>
          <w:color w:val="auto"/>
        </w:rPr>
      </w:pPr>
    </w:p>
    <w:p>
      <w:pPr>
        <w:ind w:left="900" w:right="680"/>
        <w:spacing w:after="0" w:line="259" w:lineRule="auto"/>
        <w:rPr>
          <w:sz w:val="20"/>
          <w:szCs w:val="20"/>
          <w:color w:val="auto"/>
        </w:rPr>
      </w:pPr>
      <w:r>
        <w:rPr>
          <w:rFonts w:ascii="Arial" w:cs="Arial" w:eastAsia="Arial" w:hAnsi="Arial"/>
          <w:sz w:val="16"/>
          <w:szCs w:val="16"/>
          <w:color w:val="auto"/>
        </w:rPr>
        <w:t>In our opinion, the financial statements of Pharvaris N.V. (‘the Company’) give a true and fair view of the financial position of the Company and the Group (the Company together with its subsidiaries) as at 31 December 2024, and of its result and its cash flows for the year then ended in accordance with IFRS Accounting Standards as adopted by the European Union (‘EU’) and with Part 9 of Book 2 of the Dutch Civil Code.</w:t>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27"/>
          <w:szCs w:val="27"/>
          <w:b w:val="1"/>
          <w:bCs w:val="1"/>
          <w:color w:val="auto"/>
        </w:rPr>
        <w:t>What we have audited</w:t>
      </w:r>
    </w:p>
    <w:p>
      <w:pPr>
        <w:spacing w:after="0" w:line="366" w:lineRule="exact"/>
        <w:rPr>
          <w:sz w:val="20"/>
          <w:szCs w:val="20"/>
          <w:color w:val="auto"/>
        </w:rPr>
      </w:pPr>
    </w:p>
    <w:p>
      <w:pPr>
        <w:ind w:left="900" w:right="20"/>
        <w:spacing w:after="0" w:line="286" w:lineRule="auto"/>
        <w:rPr>
          <w:sz w:val="20"/>
          <w:szCs w:val="20"/>
          <w:color w:val="auto"/>
        </w:rPr>
      </w:pPr>
      <w:r>
        <w:rPr>
          <w:rFonts w:ascii="Arial" w:cs="Arial" w:eastAsia="Arial" w:hAnsi="Arial"/>
          <w:sz w:val="16"/>
          <w:szCs w:val="16"/>
          <w:color w:val="auto"/>
        </w:rPr>
        <w:t>We have audited the accompanying financial statements 2024 of Pharvaris N.V., Leiden. The financial statements comprise the consolidated financial statements of the Group and the company financial statements.</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consolidated financial statements comprise:</w:t>
      </w:r>
    </w:p>
    <w:p>
      <w:pPr>
        <w:spacing w:after="0" w:line="383" w:lineRule="exact"/>
        <w:rPr>
          <w:sz w:val="20"/>
          <w:szCs w:val="20"/>
          <w:color w:val="auto"/>
        </w:rPr>
      </w:pPr>
    </w:p>
    <w:p>
      <w:pPr>
        <w:ind w:left="1020" w:hanging="503"/>
        <w:spacing w:after="0"/>
        <w:tabs>
          <w:tab w:leader="none" w:pos="102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the consolidated statement of financial position as at 31 December 2024;</w:t>
      </w:r>
    </w:p>
    <w:p>
      <w:pPr>
        <w:spacing w:after="0" w:line="125"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the following statements for 2024: the consolidated statement of loss and comprehensive loss, the consolidated statement of changes in shareholders' equity, and the consolidated statement of cash flows;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the notes to the consolidated financial statements, including material accounting policy information and other explanatory information.</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 financial statements comprise:</w:t>
      </w:r>
    </w:p>
    <w:p>
      <w:pPr>
        <w:spacing w:after="0" w:line="383" w:lineRule="exact"/>
        <w:rPr>
          <w:sz w:val="20"/>
          <w:szCs w:val="20"/>
          <w:color w:val="auto"/>
        </w:rPr>
      </w:pPr>
    </w:p>
    <w:p>
      <w:pPr>
        <w:ind w:left="1020" w:hanging="503"/>
        <w:spacing w:after="0"/>
        <w:tabs>
          <w:tab w:leader="none" w:pos="1020"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the statement of financial position as at 31 December 2024;</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the statement of profit or loss for the year then ended;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the notes to the company financial statements, comprising a summary of the accounting policies applied and other explanatory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0" w:right="660"/>
        <w:spacing w:after="0" w:line="266" w:lineRule="auto"/>
        <w:rPr>
          <w:sz w:val="20"/>
          <w:szCs w:val="20"/>
          <w:color w:val="auto"/>
        </w:rPr>
      </w:pPr>
      <w:r>
        <w:rPr>
          <w:rFonts w:ascii="Arial" w:cs="Arial" w:eastAsia="Arial" w:hAnsi="Arial"/>
          <w:sz w:val="16"/>
          <w:szCs w:val="16"/>
          <w:color w:val="auto"/>
        </w:rPr>
        <w:t>The financial reporting framework applied in the preparation of the financial statements is IFRS Accounting Standards as adopted by the EU and the relevant provisions of Part 9 of Book 2 of the Dutch Civil Code for consolidated financial statements and Part 9 of Book 2 of the Dutch Civil Code for the company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32"/>
          <w:szCs w:val="32"/>
          <w:color w:val="auto"/>
        </w:rPr>
        <w:t>The basis for our opinion</w:t>
      </w:r>
    </w:p>
    <w:p>
      <w:pPr>
        <w:spacing w:after="0" w:line="348" w:lineRule="exact"/>
        <w:rPr>
          <w:sz w:val="20"/>
          <w:szCs w:val="20"/>
          <w:color w:val="auto"/>
        </w:rPr>
      </w:pPr>
    </w:p>
    <w:p>
      <w:pPr>
        <w:ind w:left="600" w:right="860"/>
        <w:spacing w:after="0" w:line="286" w:lineRule="auto"/>
        <w:rPr>
          <w:sz w:val="20"/>
          <w:szCs w:val="20"/>
          <w:color w:val="auto"/>
        </w:rPr>
      </w:pPr>
      <w:r>
        <w:rPr>
          <w:rFonts w:ascii="Arial" w:cs="Arial" w:eastAsia="Arial" w:hAnsi="Arial"/>
          <w:sz w:val="16"/>
          <w:szCs w:val="16"/>
          <w:color w:val="auto"/>
        </w:rPr>
        <w:t>We conducted our audit in accordance with Dutch law, including the Dutch Standards on Auditing. We have further described our responsibilities under those standards in the section ‘Our responsibilities for the audit of the financial statements’ of our report.</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believe that the audit evidence we have obtained is sufficient and appropriate to provide a basis for our opinion.</w:t>
      </w:r>
    </w:p>
    <w:p>
      <w:pPr>
        <w:spacing w:after="0" w:line="343" w:lineRule="exact"/>
        <w:rPr>
          <w:sz w:val="20"/>
          <w:szCs w:val="20"/>
          <w:color w:val="auto"/>
        </w:rPr>
      </w:pPr>
    </w:p>
    <w:p>
      <w:pPr>
        <w:ind w:left="460"/>
        <w:spacing w:after="0"/>
        <w:rPr>
          <w:sz w:val="20"/>
          <w:szCs w:val="20"/>
          <w:color w:val="auto"/>
        </w:rPr>
      </w:pPr>
      <w:r>
        <w:rPr>
          <w:rFonts w:ascii="Arial" w:cs="Arial" w:eastAsia="Arial" w:hAnsi="Arial"/>
          <w:sz w:val="27"/>
          <w:szCs w:val="27"/>
          <w:color w:val="auto"/>
        </w:rPr>
        <w:t>Independence</w:t>
      </w:r>
    </w:p>
    <w:p>
      <w:pPr>
        <w:spacing w:after="0" w:line="364" w:lineRule="exact"/>
        <w:rPr>
          <w:sz w:val="20"/>
          <w:szCs w:val="20"/>
          <w:color w:val="auto"/>
        </w:rPr>
      </w:pPr>
    </w:p>
    <w:p>
      <w:pPr>
        <w:ind w:left="600" w:right="760"/>
        <w:spacing w:after="0" w:line="259" w:lineRule="auto"/>
        <w:rPr>
          <w:sz w:val="20"/>
          <w:szCs w:val="20"/>
          <w:color w:val="auto"/>
        </w:rPr>
      </w:pPr>
      <w:r>
        <w:rPr>
          <w:rFonts w:ascii="Arial" w:cs="Arial" w:eastAsia="Arial" w:hAnsi="Arial"/>
          <w:sz w:val="16"/>
          <w:szCs w:val="16"/>
          <w:color w:val="auto"/>
        </w:rPr>
        <w:t>We are independent of Pharvaris N.V. in accordance with the ‘Wet toezicht accountantsorganisaties’ (Wta, Audit firms supervision act), the ‘Verordening inzake de onafhankelijkheid van accountants bij assuranceopdrachten’ (ViO, Code of Ethics for Professional Accountants, a regulation with respect to independence) and other relevant independence regulations in the Netherlands. Furthermore, we have complied with the ‘Verordening gedrags- en beroepsregels accountants’ (VGBA, Dutch Code of Ethics).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32"/>
          <w:szCs w:val="32"/>
          <w:color w:val="auto"/>
        </w:rPr>
        <w:t>Our audit approach</w:t>
      </w:r>
    </w:p>
    <w:p>
      <w:pPr>
        <w:spacing w:after="0" w:line="348" w:lineRule="exact"/>
        <w:rPr>
          <w:sz w:val="20"/>
          <w:szCs w:val="20"/>
          <w:color w:val="auto"/>
        </w:rPr>
      </w:pPr>
    </w:p>
    <w:p>
      <w:pPr>
        <w:ind w:left="600" w:right="840"/>
        <w:spacing w:after="0" w:line="256" w:lineRule="auto"/>
        <w:rPr>
          <w:sz w:val="20"/>
          <w:szCs w:val="20"/>
          <w:color w:val="auto"/>
        </w:rPr>
      </w:pPr>
      <w:r>
        <w:rPr>
          <w:rFonts w:ascii="Arial" w:cs="Arial" w:eastAsia="Arial" w:hAnsi="Arial"/>
          <w:sz w:val="16"/>
          <w:szCs w:val="16"/>
          <w:color w:val="auto"/>
        </w:rPr>
        <w:t>We designed our audit procedures with respect to the key audit matters, fraud and going concern, and the matters resulting from that, in the context of our audit of the financial statements as a whole and in forming our opinion thereon. The information in support of our opinion, such as our findings and observations related to individual key audit matters, the audit approach fraud risk and the audit approach going concern was addressed in this context, and we do not provide separate opinions or conclusions on these matters.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27"/>
          <w:szCs w:val="27"/>
          <w:color w:val="auto"/>
        </w:rPr>
        <w:t>Overview and context</w:t>
      </w:r>
    </w:p>
    <w:p>
      <w:pPr>
        <w:spacing w:after="0" w:line="351" w:lineRule="exact"/>
        <w:rPr>
          <w:sz w:val="20"/>
          <w:szCs w:val="20"/>
          <w:color w:val="auto"/>
        </w:rPr>
      </w:pPr>
    </w:p>
    <w:p>
      <w:pPr>
        <w:ind w:left="600" w:right="660"/>
        <w:spacing w:after="0" w:line="259" w:lineRule="auto"/>
        <w:rPr>
          <w:sz w:val="20"/>
          <w:szCs w:val="20"/>
          <w:color w:val="auto"/>
        </w:rPr>
      </w:pPr>
      <w:r>
        <w:rPr>
          <w:rFonts w:ascii="Arial" w:cs="Arial" w:eastAsia="Arial" w:hAnsi="Arial"/>
          <w:sz w:val="16"/>
          <w:szCs w:val="16"/>
          <w:color w:val="auto"/>
        </w:rPr>
        <w:t>Pharvaris N.V. is a is a clinical-stage biopharmaceutical company, currently focussing on the development and commercialisation of angioedema and other bradykinin-mediated diseases. Pharvaris N.V. was incorporated on 30 September 2015 and is headquartered in Leiden, the Netherlands. It is the parent company of a group of entities, whose financial information is also included in the consolidated financial statements.</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part of designing our audit, we determined materiality and assessed the risks of material misstatement in the financial statements. In particular, we considered where management made important judgements, for example, in respect of significant accounting estimates that involved making assumptions and considering future events that are inherently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20" w:top="1440" w:right="59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00" w:right="1100"/>
        <w:spacing w:after="0" w:line="259" w:lineRule="auto"/>
        <w:rPr>
          <w:sz w:val="20"/>
          <w:szCs w:val="20"/>
          <w:color w:val="auto"/>
        </w:rPr>
      </w:pPr>
      <w:r>
        <w:rPr>
          <w:rFonts w:ascii="Arial" w:cs="Arial" w:eastAsia="Arial" w:hAnsi="Arial"/>
          <w:sz w:val="16"/>
          <w:szCs w:val="16"/>
          <w:color w:val="auto"/>
        </w:rPr>
        <w:t>In note 2.19 of the consolidated financial statements, the Company describes the areas of judgement in applying accounting policies and the key sources of estimation uncertainty. As a result of significant auditor attention required for Research and Development Clinical and Manufacturing Accruals, we considered this to be a key audit matter as set out in the section ‘Key audit matters’ of this report.</w:t>
      </w:r>
    </w:p>
    <w:p>
      <w:pPr>
        <w:spacing w:after="0" w:line="124" w:lineRule="exact"/>
        <w:rPr>
          <w:sz w:val="20"/>
          <w:szCs w:val="20"/>
          <w:color w:val="auto"/>
        </w:rPr>
      </w:pPr>
    </w:p>
    <w:p>
      <w:pPr>
        <w:ind w:left="900" w:right="1220"/>
        <w:spacing w:after="0" w:line="286" w:lineRule="auto"/>
        <w:rPr>
          <w:sz w:val="20"/>
          <w:szCs w:val="20"/>
          <w:color w:val="auto"/>
        </w:rPr>
      </w:pPr>
      <w:r>
        <w:rPr>
          <w:rFonts w:ascii="Arial" w:cs="Arial" w:eastAsia="Arial" w:hAnsi="Arial"/>
          <w:sz w:val="16"/>
          <w:szCs w:val="16"/>
          <w:color w:val="auto"/>
        </w:rPr>
        <w:t>Other areas of focus, that were not considered as key audit matters, were the accounting and disclosure related to share-based payments and the accounting for deferred taxes.</w:t>
      </w:r>
    </w:p>
    <w:p>
      <w:pPr>
        <w:spacing w:after="0" w:line="102" w:lineRule="exact"/>
        <w:rPr>
          <w:sz w:val="20"/>
          <w:szCs w:val="20"/>
          <w:color w:val="auto"/>
        </w:rPr>
      </w:pPr>
    </w:p>
    <w:p>
      <w:pPr>
        <w:ind w:left="900" w:right="1540"/>
        <w:spacing w:after="0" w:line="286" w:lineRule="auto"/>
        <w:rPr>
          <w:sz w:val="20"/>
          <w:szCs w:val="20"/>
          <w:color w:val="auto"/>
        </w:rPr>
      </w:pPr>
      <w:r>
        <w:rPr>
          <w:rFonts w:ascii="Arial" w:cs="Arial" w:eastAsia="Arial" w:hAnsi="Arial"/>
          <w:sz w:val="16"/>
          <w:szCs w:val="16"/>
          <w:color w:val="auto"/>
        </w:rPr>
        <w:t>As in all our audits, we also addressed the risk of management override of controls, including evaluating whether there was evidence of bias by management that may represent a risk of material misstatement due to fraud.</w:t>
      </w:r>
    </w:p>
    <w:p>
      <w:pPr>
        <w:spacing w:after="0" w:line="102" w:lineRule="exact"/>
        <w:rPr>
          <w:sz w:val="20"/>
          <w:szCs w:val="20"/>
          <w:color w:val="auto"/>
        </w:rPr>
      </w:pPr>
    </w:p>
    <w:p>
      <w:pPr>
        <w:ind w:left="900" w:right="1080"/>
        <w:spacing w:after="0" w:line="286" w:lineRule="auto"/>
        <w:rPr>
          <w:sz w:val="20"/>
          <w:szCs w:val="20"/>
          <w:color w:val="auto"/>
        </w:rPr>
      </w:pPr>
      <w:r>
        <w:rPr>
          <w:rFonts w:ascii="Arial" w:cs="Arial" w:eastAsia="Arial" w:hAnsi="Arial"/>
          <w:sz w:val="16"/>
          <w:szCs w:val="16"/>
          <w:color w:val="auto"/>
        </w:rPr>
        <w:t>We ensured that the audit team included the appropriate skills and competences which are needed for the audit of a clinical stage biopharmaceutical company. We therefore included experts and specialists in the area of share-based payments in our team.</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outline of our audit approach was as follows:</w:t>
      </w:r>
    </w:p>
    <w:p>
      <w:pPr>
        <w:spacing w:after="0" w:line="285"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Materiality</w:t>
      </w:r>
    </w:p>
    <w:p>
      <w:pPr>
        <w:spacing w:after="0" w:line="202" w:lineRule="exact"/>
        <w:rPr>
          <w:sz w:val="20"/>
          <w:szCs w:val="20"/>
          <w:color w:val="auto"/>
        </w:rPr>
      </w:pPr>
    </w:p>
    <w:p>
      <w:pPr>
        <w:ind w:left="1780" w:hanging="436"/>
        <w:spacing w:after="0"/>
        <w:tabs>
          <w:tab w:leader="none" w:pos="1780" w:val="left"/>
        </w:tabs>
        <w:numPr>
          <w:ilvl w:val="0"/>
          <w:numId w:val="99"/>
        </w:numPr>
        <w:rPr>
          <w:rFonts w:ascii="Times New Roman" w:cs="Times New Roman" w:eastAsia="Times New Roman" w:hAnsi="Times New Roman"/>
          <w:sz w:val="13"/>
          <w:szCs w:val="13"/>
          <w:color w:val="auto"/>
        </w:rPr>
      </w:pPr>
      <w:r>
        <w:rPr>
          <w:rFonts w:ascii="Arial" w:cs="Arial" w:eastAsia="Arial" w:hAnsi="Arial"/>
          <w:sz w:val="13"/>
          <w:szCs w:val="13"/>
          <w:color w:val="auto"/>
        </w:rPr>
        <w:t>Overall materiality: €6,500,000.</w:t>
      </w:r>
    </w:p>
    <w:p>
      <w:pPr>
        <w:spacing w:after="0" w:line="200" w:lineRule="exact"/>
        <w:rPr>
          <w:sz w:val="20"/>
          <w:szCs w:val="20"/>
          <w:color w:val="auto"/>
        </w:rPr>
      </w:pPr>
    </w:p>
    <w:p>
      <w:pPr>
        <w:spacing w:after="0" w:line="257"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Audit scope</w:t>
      </w:r>
    </w:p>
    <w:p>
      <w:pPr>
        <w:spacing w:after="0" w:line="202" w:lineRule="exact"/>
        <w:rPr>
          <w:sz w:val="20"/>
          <w:szCs w:val="20"/>
          <w:color w:val="auto"/>
        </w:rPr>
      </w:pPr>
    </w:p>
    <w:p>
      <w:pPr>
        <w:ind w:left="1780" w:right="720" w:hanging="436"/>
        <w:spacing w:after="0" w:line="242" w:lineRule="auto"/>
        <w:tabs>
          <w:tab w:leader="none" w:pos="1780" w:val="left"/>
        </w:tabs>
        <w:numPr>
          <w:ilvl w:val="0"/>
          <w:numId w:val="100"/>
        </w:numPr>
        <w:rPr>
          <w:rFonts w:ascii="Times New Roman" w:cs="Times New Roman" w:eastAsia="Times New Roman" w:hAnsi="Times New Roman"/>
          <w:sz w:val="13"/>
          <w:szCs w:val="13"/>
          <w:color w:val="auto"/>
        </w:rPr>
      </w:pPr>
      <w:r>
        <w:rPr>
          <w:rFonts w:ascii="Arial" w:cs="Arial" w:eastAsia="Arial" w:hAnsi="Arial"/>
          <w:sz w:val="13"/>
          <w:szCs w:val="13"/>
          <w:color w:val="auto"/>
        </w:rPr>
        <w:t>We performed the audit procedures for the audit of the consolidated and company financial statements as the financial reporting and accounting functions for all entities in the Group are located, operated, and managed centrally in Leiden.</w:t>
      </w:r>
    </w:p>
    <w:p>
      <w:pPr>
        <w:spacing w:after="0" w:line="75" w:lineRule="exact"/>
        <w:rPr>
          <w:rFonts w:ascii="Times New Roman" w:cs="Times New Roman" w:eastAsia="Times New Roman" w:hAnsi="Times New Roman"/>
          <w:sz w:val="13"/>
          <w:szCs w:val="13"/>
          <w:color w:val="auto"/>
        </w:rPr>
      </w:pPr>
    </w:p>
    <w:p>
      <w:pPr>
        <w:ind w:left="1780" w:hanging="436"/>
        <w:spacing w:after="0"/>
        <w:tabs>
          <w:tab w:leader="none" w:pos="1780" w:val="left"/>
        </w:tabs>
        <w:numPr>
          <w:ilvl w:val="0"/>
          <w:numId w:val="100"/>
        </w:numPr>
        <w:rPr>
          <w:rFonts w:ascii="Times New Roman" w:cs="Times New Roman" w:eastAsia="Times New Roman" w:hAnsi="Times New Roman"/>
          <w:sz w:val="13"/>
          <w:szCs w:val="13"/>
          <w:color w:val="auto"/>
        </w:rPr>
      </w:pPr>
      <w:r>
        <w:rPr>
          <w:rFonts w:ascii="Arial" w:cs="Arial" w:eastAsia="Arial" w:hAnsi="Arial"/>
          <w:sz w:val="13"/>
          <w:szCs w:val="13"/>
          <w:color w:val="auto"/>
        </w:rPr>
        <w:t>Audit coverage: 100% of total assets and 100% of total expenses and 100% of loss before tax.</w:t>
      </w:r>
    </w:p>
    <w:p>
      <w:pPr>
        <w:spacing w:after="0" w:line="200" w:lineRule="exact"/>
        <w:rPr>
          <w:sz w:val="20"/>
          <w:szCs w:val="20"/>
          <w:color w:val="auto"/>
        </w:rPr>
      </w:pPr>
    </w:p>
    <w:p>
      <w:pPr>
        <w:spacing w:after="0" w:line="311"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Key audit matters</w:t>
      </w:r>
    </w:p>
    <w:p>
      <w:pPr>
        <w:spacing w:after="0" w:line="202" w:lineRule="exact"/>
        <w:rPr>
          <w:sz w:val="20"/>
          <w:szCs w:val="20"/>
          <w:color w:val="auto"/>
        </w:rPr>
      </w:pPr>
    </w:p>
    <w:p>
      <w:pPr>
        <w:ind w:left="1780" w:hanging="436"/>
        <w:spacing w:after="0"/>
        <w:tabs>
          <w:tab w:leader="none" w:pos="1780" w:val="left"/>
        </w:tabs>
        <w:numPr>
          <w:ilvl w:val="0"/>
          <w:numId w:val="101"/>
        </w:numPr>
        <w:rPr>
          <w:rFonts w:ascii="Times New Roman" w:cs="Times New Roman" w:eastAsia="Times New Roman" w:hAnsi="Times New Roman"/>
          <w:sz w:val="13"/>
          <w:szCs w:val="13"/>
          <w:color w:val="auto"/>
        </w:rPr>
      </w:pPr>
      <w:r>
        <w:rPr>
          <w:rFonts w:ascii="Arial" w:cs="Arial" w:eastAsia="Arial" w:hAnsi="Arial"/>
          <w:sz w:val="13"/>
          <w:szCs w:val="13"/>
          <w:color w:val="auto"/>
        </w:rPr>
        <w:t>Research and Development Clinical and Manufacturing Accruals.</w:t>
      </w:r>
    </w:p>
    <w:p>
      <w:pPr>
        <w:spacing w:after="0" w:line="354" w:lineRule="exact"/>
        <w:rPr>
          <w:sz w:val="20"/>
          <w:szCs w:val="20"/>
          <w:color w:val="auto"/>
        </w:rPr>
      </w:pPr>
    </w:p>
    <w:p>
      <w:pPr>
        <w:ind w:left="760"/>
        <w:spacing w:after="0"/>
        <w:rPr>
          <w:sz w:val="20"/>
          <w:szCs w:val="20"/>
          <w:color w:val="auto"/>
        </w:rPr>
      </w:pPr>
      <w:r>
        <w:rPr>
          <w:rFonts w:ascii="Arial" w:cs="Arial" w:eastAsia="Arial" w:hAnsi="Arial"/>
          <w:sz w:val="27"/>
          <w:szCs w:val="27"/>
          <w:color w:val="auto"/>
        </w:rPr>
        <w:t>Materiality</w:t>
      </w:r>
    </w:p>
    <w:p>
      <w:pPr>
        <w:spacing w:after="0" w:line="364" w:lineRule="exact"/>
        <w:rPr>
          <w:sz w:val="20"/>
          <w:szCs w:val="20"/>
          <w:color w:val="auto"/>
        </w:rPr>
      </w:pPr>
    </w:p>
    <w:p>
      <w:pPr>
        <w:ind w:left="900" w:right="980"/>
        <w:spacing w:after="0" w:line="286" w:lineRule="auto"/>
        <w:rPr>
          <w:sz w:val="20"/>
          <w:szCs w:val="20"/>
          <w:color w:val="auto"/>
        </w:rPr>
      </w:pPr>
      <w:r>
        <w:rPr>
          <w:rFonts w:ascii="Arial" w:cs="Arial" w:eastAsia="Arial" w:hAnsi="Arial"/>
          <w:sz w:val="16"/>
          <w:szCs w:val="16"/>
          <w:color w:val="auto"/>
        </w:rPr>
        <w:t>The scope of our audit was influenced by the application of materiality, which is further explained in the section ‘Our responsibilities for the audit of the financial statements’.</w:t>
      </w:r>
    </w:p>
    <w:p>
      <w:pPr>
        <w:spacing w:after="0" w:line="75" w:lineRule="exact"/>
        <w:rPr>
          <w:sz w:val="20"/>
          <w:szCs w:val="20"/>
          <w:color w:val="auto"/>
        </w:rPr>
      </w:pPr>
    </w:p>
    <w:p>
      <w:pPr>
        <w:ind w:left="300" w:right="20"/>
        <w:spacing w:after="0" w:line="259" w:lineRule="auto"/>
        <w:rPr>
          <w:sz w:val="20"/>
          <w:szCs w:val="20"/>
          <w:color w:val="auto"/>
        </w:rPr>
      </w:pPr>
      <w:r>
        <w:rPr>
          <w:rFonts w:ascii="Arial" w:cs="Arial" w:eastAsia="Arial" w:hAnsi="Arial"/>
          <w:sz w:val="16"/>
          <w:szCs w:val="16"/>
          <w:color w:val="auto"/>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nature, timing and extent of our audit procedures on the individual financial statement line items and disclosures and to evaluate the effect of identified misstatements, both individually and in aggregate, on the financial statements as a whole and on our opinion.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ind w:left="920"/>
              <w:spacing w:after="0"/>
              <w:rPr>
                <w:sz w:val="20"/>
                <w:szCs w:val="20"/>
                <w:color w:val="auto"/>
              </w:rPr>
            </w:pPr>
            <w:r>
              <w:rPr>
                <w:rFonts w:ascii="Arial" w:cs="Arial" w:eastAsia="Arial" w:hAnsi="Arial"/>
                <w:sz w:val="13"/>
                <w:szCs w:val="13"/>
                <w:b w:val="1"/>
                <w:bCs w:val="1"/>
                <w:i w:val="1"/>
                <w:iCs w:val="1"/>
                <w:color w:val="auto"/>
              </w:rPr>
              <w:t>Overall materiality</w:t>
            </w:r>
          </w:p>
        </w:tc>
        <w:tc>
          <w:tcPr>
            <w:tcW w:w="8220" w:type="dxa"/>
            <w:vAlign w:val="bottom"/>
          </w:tcPr>
          <w:p>
            <w:pPr>
              <w:ind w:left="1020"/>
              <w:spacing w:after="0"/>
              <w:rPr>
                <w:sz w:val="20"/>
                <w:szCs w:val="20"/>
                <w:color w:val="auto"/>
              </w:rPr>
            </w:pPr>
            <w:r>
              <w:rPr>
                <w:rFonts w:ascii="Arial" w:cs="Arial" w:eastAsia="Arial" w:hAnsi="Arial"/>
                <w:sz w:val="13"/>
                <w:szCs w:val="13"/>
                <w:color w:val="auto"/>
              </w:rPr>
              <w:t>€6,500,000 (2023: €4,900,000).</w:t>
            </w:r>
          </w:p>
        </w:tc>
      </w:tr>
      <w:tr>
        <w:trPr>
          <w:trHeight w:val="1473"/>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-899795</wp:posOffset>
            </wp:positionV>
            <wp:extent cx="612902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1511935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799465</wp:posOffset>
            </wp:positionH>
            <wp:positionV relativeFrom="page">
              <wp:posOffset>1511935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816610</wp:posOffset>
            </wp:positionH>
            <wp:positionV relativeFrom="page">
              <wp:posOffset>1511935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833755</wp:posOffset>
            </wp:positionH>
            <wp:positionV relativeFrom="page">
              <wp:posOffset>1511935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850900</wp:posOffset>
            </wp:positionH>
            <wp:positionV relativeFrom="page">
              <wp:posOffset>1511935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868045</wp:posOffset>
            </wp:positionH>
            <wp:positionV relativeFrom="page">
              <wp:posOffset>1511935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885190</wp:posOffset>
            </wp:positionH>
            <wp:positionV relativeFrom="page">
              <wp:posOffset>1511935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902335</wp:posOffset>
            </wp:positionH>
            <wp:positionV relativeFrom="page">
              <wp:posOffset>1511935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1511935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936625</wp:posOffset>
            </wp:positionH>
            <wp:positionV relativeFrom="page">
              <wp:posOffset>1511935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953770</wp:posOffset>
            </wp:positionH>
            <wp:positionV relativeFrom="page">
              <wp:posOffset>1511935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970915</wp:posOffset>
            </wp:positionH>
            <wp:positionV relativeFrom="page">
              <wp:posOffset>1511935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988060</wp:posOffset>
            </wp:positionH>
            <wp:positionV relativeFrom="page">
              <wp:posOffset>1511935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1005205</wp:posOffset>
            </wp:positionH>
            <wp:positionV relativeFrom="page">
              <wp:posOffset>1511935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1022350</wp:posOffset>
            </wp:positionH>
            <wp:positionV relativeFrom="page">
              <wp:posOffset>1511935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1039495</wp:posOffset>
            </wp:positionH>
            <wp:positionV relativeFrom="page">
              <wp:posOffset>1511935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1056640</wp:posOffset>
            </wp:positionH>
            <wp:positionV relativeFrom="page">
              <wp:posOffset>1511935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1073785</wp:posOffset>
            </wp:positionH>
            <wp:positionV relativeFrom="page">
              <wp:posOffset>1511935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1090930</wp:posOffset>
            </wp:positionH>
            <wp:positionV relativeFrom="page">
              <wp:posOffset>1511935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1108075</wp:posOffset>
            </wp:positionH>
            <wp:positionV relativeFrom="page">
              <wp:posOffset>1511935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1125220</wp:posOffset>
            </wp:positionH>
            <wp:positionV relativeFrom="page">
              <wp:posOffset>1511935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1142365</wp:posOffset>
            </wp:positionH>
            <wp:positionV relativeFrom="page">
              <wp:posOffset>1511935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1159510</wp:posOffset>
            </wp:positionH>
            <wp:positionV relativeFrom="page">
              <wp:posOffset>1511935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1176655</wp:posOffset>
            </wp:positionH>
            <wp:positionV relativeFrom="page">
              <wp:posOffset>1511935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1193800</wp:posOffset>
            </wp:positionH>
            <wp:positionV relativeFrom="page">
              <wp:posOffset>1511935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1210945</wp:posOffset>
            </wp:positionH>
            <wp:positionV relativeFrom="page">
              <wp:posOffset>1511935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1228090</wp:posOffset>
            </wp:positionH>
            <wp:positionV relativeFrom="page">
              <wp:posOffset>1511935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1245235</wp:posOffset>
            </wp:positionH>
            <wp:positionV relativeFrom="page">
              <wp:posOffset>1511935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1262380</wp:posOffset>
            </wp:positionH>
            <wp:positionV relativeFrom="page">
              <wp:posOffset>1511935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1279525</wp:posOffset>
            </wp:positionH>
            <wp:positionV relativeFrom="page">
              <wp:posOffset>1511935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1296670</wp:posOffset>
            </wp:positionH>
            <wp:positionV relativeFrom="page">
              <wp:posOffset>1511935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1313815</wp:posOffset>
            </wp:positionH>
            <wp:positionV relativeFrom="page">
              <wp:posOffset>1511935</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1330960</wp:posOffset>
            </wp:positionH>
            <wp:positionV relativeFrom="page">
              <wp:posOffset>1511935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1348105</wp:posOffset>
            </wp:positionH>
            <wp:positionV relativeFrom="page">
              <wp:posOffset>1511935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1365250</wp:posOffset>
            </wp:positionH>
            <wp:positionV relativeFrom="page">
              <wp:posOffset>1511935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1382395</wp:posOffset>
            </wp:positionH>
            <wp:positionV relativeFrom="page">
              <wp:posOffset>1511935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1399540</wp:posOffset>
            </wp:positionH>
            <wp:positionV relativeFrom="page">
              <wp:posOffset>1511935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1416685</wp:posOffset>
            </wp:positionH>
            <wp:positionV relativeFrom="page">
              <wp:posOffset>1511935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1433830</wp:posOffset>
            </wp:positionH>
            <wp:positionV relativeFrom="page">
              <wp:posOffset>1511935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1450975</wp:posOffset>
            </wp:positionH>
            <wp:positionV relativeFrom="page">
              <wp:posOffset>1511935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1468120</wp:posOffset>
            </wp:positionH>
            <wp:positionV relativeFrom="page">
              <wp:posOffset>1511935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1485265</wp:posOffset>
            </wp:positionH>
            <wp:positionV relativeFrom="page">
              <wp:posOffset>1511935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1502410</wp:posOffset>
            </wp:positionH>
            <wp:positionV relativeFrom="page">
              <wp:posOffset>1511935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1519555</wp:posOffset>
            </wp:positionH>
            <wp:positionV relativeFrom="page">
              <wp:posOffset>1511935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1536700</wp:posOffset>
            </wp:positionH>
            <wp:positionV relativeFrom="page">
              <wp:posOffset>1511935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1553845</wp:posOffset>
            </wp:positionH>
            <wp:positionV relativeFrom="page">
              <wp:posOffset>1511935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1570990</wp:posOffset>
            </wp:positionH>
            <wp:positionV relativeFrom="page">
              <wp:posOffset>1511935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1588135</wp:posOffset>
            </wp:positionH>
            <wp:positionV relativeFrom="page">
              <wp:posOffset>1511935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1605280</wp:posOffset>
            </wp:positionH>
            <wp:positionV relativeFrom="page">
              <wp:posOffset>1511935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1622425</wp:posOffset>
            </wp:positionH>
            <wp:positionV relativeFrom="page">
              <wp:posOffset>1511935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1639570</wp:posOffset>
            </wp:positionH>
            <wp:positionV relativeFrom="page">
              <wp:posOffset>1511935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1656715</wp:posOffset>
            </wp:positionH>
            <wp:positionV relativeFrom="page">
              <wp:posOffset>1511935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1673860</wp:posOffset>
            </wp:positionH>
            <wp:positionV relativeFrom="page">
              <wp:posOffset>1511935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1691005</wp:posOffset>
            </wp:positionH>
            <wp:positionV relativeFrom="page">
              <wp:posOffset>1511935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1708150</wp:posOffset>
            </wp:positionH>
            <wp:positionV relativeFrom="page">
              <wp:posOffset>1511935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1511935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1742440</wp:posOffset>
            </wp:positionH>
            <wp:positionV relativeFrom="page">
              <wp:posOffset>1511935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1759585</wp:posOffset>
            </wp:positionH>
            <wp:positionV relativeFrom="page">
              <wp:posOffset>1511935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1776730</wp:posOffset>
            </wp:positionH>
            <wp:positionV relativeFrom="page">
              <wp:posOffset>1511935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1793875</wp:posOffset>
            </wp:positionH>
            <wp:positionV relativeFrom="page">
              <wp:posOffset>1511935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1811020</wp:posOffset>
            </wp:positionH>
            <wp:positionV relativeFrom="page">
              <wp:posOffset>1511935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1828165</wp:posOffset>
            </wp:positionH>
            <wp:positionV relativeFrom="page">
              <wp:posOffset>1511935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1845310</wp:posOffset>
            </wp:positionH>
            <wp:positionV relativeFrom="page">
              <wp:posOffset>1511935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1862455</wp:posOffset>
            </wp:positionH>
            <wp:positionV relativeFrom="page">
              <wp:posOffset>1511935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1879600</wp:posOffset>
            </wp:positionH>
            <wp:positionV relativeFrom="page">
              <wp:posOffset>1511935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1896745</wp:posOffset>
            </wp:positionH>
            <wp:positionV relativeFrom="page">
              <wp:posOffset>1511935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1913890</wp:posOffset>
            </wp:positionH>
            <wp:positionV relativeFrom="page">
              <wp:posOffset>1511935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1931035</wp:posOffset>
            </wp:positionH>
            <wp:positionV relativeFrom="page">
              <wp:posOffset>1511935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1948180</wp:posOffset>
            </wp:positionH>
            <wp:positionV relativeFrom="page">
              <wp:posOffset>1511935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1965325</wp:posOffset>
            </wp:positionH>
            <wp:positionV relativeFrom="page">
              <wp:posOffset>1511935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1982470</wp:posOffset>
            </wp:positionH>
            <wp:positionV relativeFrom="page">
              <wp:posOffset>1511935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1999615</wp:posOffset>
            </wp:positionH>
            <wp:positionV relativeFrom="page">
              <wp:posOffset>1511935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2016760</wp:posOffset>
            </wp:positionH>
            <wp:positionV relativeFrom="page">
              <wp:posOffset>1511935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2033905</wp:posOffset>
            </wp:positionH>
            <wp:positionV relativeFrom="page">
              <wp:posOffset>1511935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2051050</wp:posOffset>
            </wp:positionH>
            <wp:positionV relativeFrom="page">
              <wp:posOffset>1511935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2068195</wp:posOffset>
            </wp:positionH>
            <wp:positionV relativeFrom="page">
              <wp:posOffset>1511935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2085340</wp:posOffset>
            </wp:positionH>
            <wp:positionV relativeFrom="page">
              <wp:posOffset>1511935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2102485</wp:posOffset>
            </wp:positionH>
            <wp:positionV relativeFrom="page">
              <wp:posOffset>1511935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2119630</wp:posOffset>
            </wp:positionH>
            <wp:positionV relativeFrom="page">
              <wp:posOffset>1511935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2136775</wp:posOffset>
            </wp:positionH>
            <wp:positionV relativeFrom="page">
              <wp:posOffset>1511935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2153920</wp:posOffset>
            </wp:positionH>
            <wp:positionV relativeFrom="page">
              <wp:posOffset>1511935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2171065</wp:posOffset>
            </wp:positionH>
            <wp:positionV relativeFrom="page">
              <wp:posOffset>1511935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2188210</wp:posOffset>
            </wp:positionH>
            <wp:positionV relativeFrom="page">
              <wp:posOffset>1511935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2205355</wp:posOffset>
            </wp:positionH>
            <wp:positionV relativeFrom="page">
              <wp:posOffset>1511935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2222500</wp:posOffset>
            </wp:positionH>
            <wp:positionV relativeFrom="page">
              <wp:posOffset>1511935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2239645</wp:posOffset>
            </wp:positionH>
            <wp:positionV relativeFrom="page">
              <wp:posOffset>1511935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2256790</wp:posOffset>
            </wp:positionH>
            <wp:positionV relativeFrom="page">
              <wp:posOffset>1511935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2273935</wp:posOffset>
            </wp:positionH>
            <wp:positionV relativeFrom="page">
              <wp:posOffset>1511935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2291080</wp:posOffset>
            </wp:positionH>
            <wp:positionV relativeFrom="page">
              <wp:posOffset>1511935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2308225</wp:posOffset>
            </wp:positionH>
            <wp:positionV relativeFrom="page">
              <wp:posOffset>1511935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2325370</wp:posOffset>
            </wp:positionH>
            <wp:positionV relativeFrom="page">
              <wp:posOffset>1511935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2342515</wp:posOffset>
            </wp:positionH>
            <wp:positionV relativeFrom="page">
              <wp:posOffset>1511935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2359660</wp:posOffset>
            </wp:positionH>
            <wp:positionV relativeFrom="page">
              <wp:posOffset>1511935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2376805</wp:posOffset>
            </wp:positionH>
            <wp:positionV relativeFrom="page">
              <wp:posOffset>1511935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2393950</wp:posOffset>
            </wp:positionH>
            <wp:positionV relativeFrom="page">
              <wp:posOffset>1511935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2411095</wp:posOffset>
            </wp:positionH>
            <wp:positionV relativeFrom="page">
              <wp:posOffset>1511935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Basis for determining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196850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196850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196850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wp:posOffset>
            </wp:positionH>
            <wp:positionV relativeFrom="paragraph">
              <wp:posOffset>196850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196850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196850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196850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196850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196850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196850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wp:posOffset>
            </wp:positionH>
            <wp:positionV relativeFrom="paragraph">
              <wp:posOffset>196850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196850</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196850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196850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196850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196850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196850</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196850</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196850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196850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196850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196850</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196850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196850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196850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196850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196850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196850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196850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196850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196850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196850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wp:posOffset>
            </wp:positionH>
            <wp:positionV relativeFrom="paragraph">
              <wp:posOffset>196850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wp:posOffset>
            </wp:positionH>
            <wp:positionV relativeFrom="paragraph">
              <wp:posOffset>196850</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196850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wp:posOffset>
            </wp:positionH>
            <wp:positionV relativeFrom="paragraph">
              <wp:posOffset>196850</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196850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196850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748030</wp:posOffset>
            </wp:positionH>
            <wp:positionV relativeFrom="paragraph">
              <wp:posOffset>196850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196850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196850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799465</wp:posOffset>
            </wp:positionH>
            <wp:positionV relativeFrom="paragraph">
              <wp:posOffset>196850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196850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196850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850900</wp:posOffset>
            </wp:positionH>
            <wp:positionV relativeFrom="paragraph">
              <wp:posOffset>196850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196850</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196850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196850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919480</wp:posOffset>
            </wp:positionH>
            <wp:positionV relativeFrom="paragraph">
              <wp:posOffset>196850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196850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196850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196850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196850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1005205</wp:posOffset>
            </wp:positionH>
            <wp:positionV relativeFrom="paragraph">
              <wp:posOffset>196850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196850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196850</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1056640</wp:posOffset>
            </wp:positionH>
            <wp:positionV relativeFrom="paragraph">
              <wp:posOffset>196850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196850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1090930</wp:posOffset>
            </wp:positionH>
            <wp:positionV relativeFrom="paragraph">
              <wp:posOffset>196850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196850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196850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196850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196850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196850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196850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196850</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196850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196850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1262380</wp:posOffset>
            </wp:positionH>
            <wp:positionV relativeFrom="paragraph">
              <wp:posOffset>196850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1279525</wp:posOffset>
            </wp:positionH>
            <wp:positionV relativeFrom="paragraph">
              <wp:posOffset>196850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1296670</wp:posOffset>
            </wp:positionH>
            <wp:positionV relativeFrom="paragraph">
              <wp:posOffset>196850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1313815</wp:posOffset>
            </wp:positionH>
            <wp:positionV relativeFrom="paragraph">
              <wp:posOffset>196850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196850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196850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1365250</wp:posOffset>
            </wp:positionH>
            <wp:positionV relativeFrom="paragraph">
              <wp:posOffset>196850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196850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196850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196850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196850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196850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1468120</wp:posOffset>
            </wp:positionH>
            <wp:positionV relativeFrom="paragraph">
              <wp:posOffset>196850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196850</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1502410</wp:posOffset>
            </wp:positionH>
            <wp:positionV relativeFrom="paragraph">
              <wp:posOffset>196850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196850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196850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196850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196850</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1588135</wp:posOffset>
            </wp:positionH>
            <wp:positionV relativeFrom="paragraph">
              <wp:posOffset>196850</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196850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196850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1639570</wp:posOffset>
            </wp:positionH>
            <wp:positionV relativeFrom="paragraph">
              <wp:posOffset>196850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196850</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196850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196850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196850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196850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We used our professional judgement to determine overall materiality. As a basis for our judgement, we used 5% of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-248920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-248920</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-248920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-248920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-248920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-248920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-248920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93345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93345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93345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93345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93345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93345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93345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-248920</wp:posOffset>
            </wp:positionV>
            <wp:extent cx="435483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93345</wp:posOffset>
            </wp:positionV>
            <wp:extent cx="435483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720"/>
            <w:col w:w="6360"/>
          </w:cols>
          <w:pgMar w:left="1080" w:top="1440" w:right="1079" w:bottom="1440" w:gutter="0" w:footer="0" w:header="0"/>
        </w:sectPr>
      </w:pPr>
    </w:p>
    <w:p>
      <w:pPr>
        <w:spacing w:after="0" w:line="39"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Rationale for benchmark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471170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471170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471170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wp:posOffset>
            </wp:positionH>
            <wp:positionV relativeFrom="paragraph">
              <wp:posOffset>471170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471170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471170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471170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471170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471170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471170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wp:posOffset>
            </wp:positionH>
            <wp:positionV relativeFrom="paragraph">
              <wp:posOffset>471170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471170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471170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471170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471170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471170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471170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471170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471170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471170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471170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471170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471170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471170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471170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471170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471170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471170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471170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471170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471170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471170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wp:posOffset>
            </wp:positionH>
            <wp:positionV relativeFrom="paragraph">
              <wp:posOffset>471170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wp:posOffset>
            </wp:positionH>
            <wp:positionV relativeFrom="paragraph">
              <wp:posOffset>471170</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471170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wp:posOffset>
            </wp:positionH>
            <wp:positionV relativeFrom="paragraph">
              <wp:posOffset>471170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471170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471170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748030</wp:posOffset>
            </wp:positionH>
            <wp:positionV relativeFrom="paragraph">
              <wp:posOffset>471170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471170</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471170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799465</wp:posOffset>
            </wp:positionH>
            <wp:positionV relativeFrom="paragraph">
              <wp:posOffset>471170</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471170</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471170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850900</wp:posOffset>
            </wp:positionH>
            <wp:positionV relativeFrom="paragraph">
              <wp:posOffset>471170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471170</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471170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471170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919480</wp:posOffset>
            </wp:positionH>
            <wp:positionV relativeFrom="paragraph">
              <wp:posOffset>471170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471170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471170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471170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471170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1005205</wp:posOffset>
            </wp:positionH>
            <wp:positionV relativeFrom="paragraph">
              <wp:posOffset>471170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471170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471170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1056640</wp:posOffset>
            </wp:positionH>
            <wp:positionV relativeFrom="paragraph">
              <wp:posOffset>471170</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471170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1090930</wp:posOffset>
            </wp:positionH>
            <wp:positionV relativeFrom="paragraph">
              <wp:posOffset>471170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471170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471170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471170</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471170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471170</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471170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471170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471170</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471170</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1262380</wp:posOffset>
            </wp:positionH>
            <wp:positionV relativeFrom="paragraph">
              <wp:posOffset>471170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1279525</wp:posOffset>
            </wp:positionH>
            <wp:positionV relativeFrom="paragraph">
              <wp:posOffset>471170</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1296670</wp:posOffset>
            </wp:positionH>
            <wp:positionV relativeFrom="paragraph">
              <wp:posOffset>471170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1313815</wp:posOffset>
            </wp:positionH>
            <wp:positionV relativeFrom="paragraph">
              <wp:posOffset>471170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471170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471170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1365250</wp:posOffset>
            </wp:positionH>
            <wp:positionV relativeFrom="paragraph">
              <wp:posOffset>471170</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471170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471170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471170</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471170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471170</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1468120</wp:posOffset>
            </wp:positionH>
            <wp:positionV relativeFrom="paragraph">
              <wp:posOffset>471170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471170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1502410</wp:posOffset>
            </wp:positionH>
            <wp:positionV relativeFrom="paragraph">
              <wp:posOffset>471170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471170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471170</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471170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471170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1588135</wp:posOffset>
            </wp:positionH>
            <wp:positionV relativeFrom="paragraph">
              <wp:posOffset>471170</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471170</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471170</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1639570</wp:posOffset>
            </wp:positionH>
            <wp:positionV relativeFrom="paragraph">
              <wp:posOffset>471170</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471170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471170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471170</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471170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471170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00"/>
        <w:spacing w:after="0" w:line="233" w:lineRule="auto"/>
        <w:rPr>
          <w:sz w:val="20"/>
          <w:szCs w:val="20"/>
          <w:color w:val="auto"/>
        </w:rPr>
      </w:pPr>
      <w:r>
        <w:rPr>
          <w:rFonts w:ascii="Arial" w:cs="Arial" w:eastAsia="Arial" w:hAnsi="Arial"/>
          <w:sz w:val="13"/>
          <w:szCs w:val="13"/>
          <w:color w:val="auto"/>
        </w:rPr>
        <w:t>We used 'loss before tax' as the primary benchmark, a generally accepted auditing practice, based on our analysis of the common information needs of the users of the financial statements. On this basis, we believe that loss before tax is the most relevant metric for the financial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283845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283845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283845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283845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283845</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283845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283845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283845</wp:posOffset>
            </wp:positionV>
            <wp:extent cx="435483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720"/>
            <w:col w:w="6360"/>
          </w:cols>
          <w:pgMar w:left="1080" w:top="1440" w:right="107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also take misstatements and/or possible misstatements into account that, in our judgement, are material for qualitative reasons.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agreed with management that we would report to them any misstatement identified during our audit above €325,000 (2023:</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€245,000) as well as misstatements below that amount that, in our view, warranted reporting for qualitative reasons.</w:t>
      </w:r>
    </w:p>
    <w:p>
      <w:pPr>
        <w:spacing w:after="0" w:line="343" w:lineRule="exact"/>
        <w:rPr>
          <w:sz w:val="20"/>
          <w:szCs w:val="20"/>
          <w:color w:val="auto"/>
        </w:rPr>
      </w:pPr>
    </w:p>
    <w:p>
      <w:pPr>
        <w:spacing w:after="0"/>
        <w:rPr>
          <w:sz w:val="20"/>
          <w:szCs w:val="20"/>
          <w:color w:val="auto"/>
        </w:rPr>
      </w:pPr>
      <w:r>
        <w:rPr>
          <w:rFonts w:ascii="Arial" w:cs="Arial" w:eastAsia="Arial" w:hAnsi="Arial"/>
          <w:sz w:val="27"/>
          <w:szCs w:val="27"/>
          <w:color w:val="auto"/>
        </w:rPr>
        <w:t>The scope of our group audit</w:t>
      </w:r>
    </w:p>
    <w:p>
      <w:pPr>
        <w:spacing w:after="0" w:line="364" w:lineRule="exact"/>
        <w:rPr>
          <w:sz w:val="20"/>
          <w:szCs w:val="20"/>
          <w:color w:val="auto"/>
        </w:rPr>
      </w:pPr>
    </w:p>
    <w:p>
      <w:pPr>
        <w:ind w:left="140" w:right="420"/>
        <w:spacing w:after="0" w:line="286" w:lineRule="auto"/>
        <w:rPr>
          <w:sz w:val="20"/>
          <w:szCs w:val="20"/>
          <w:color w:val="auto"/>
        </w:rPr>
      </w:pPr>
      <w:r>
        <w:rPr>
          <w:rFonts w:ascii="Arial" w:cs="Arial" w:eastAsia="Arial" w:hAnsi="Arial"/>
          <w:sz w:val="16"/>
          <w:szCs w:val="16"/>
          <w:color w:val="auto"/>
        </w:rPr>
        <w:t>Pharvaris N.V. is the parent company of a group of entities. The financial information of this group is included in the consolidated financial statements of Pharvaris N.V.</w:t>
      </w:r>
    </w:p>
    <w:p>
      <w:pPr>
        <w:spacing w:after="0" w:line="102" w:lineRule="exact"/>
        <w:rPr>
          <w:sz w:val="20"/>
          <w:szCs w:val="20"/>
          <w:color w:val="auto"/>
        </w:rPr>
      </w:pPr>
    </w:p>
    <w:p>
      <w:pPr>
        <w:ind w:left="140" w:right="320"/>
        <w:spacing w:after="0" w:line="259" w:lineRule="auto"/>
        <w:rPr>
          <w:sz w:val="20"/>
          <w:szCs w:val="20"/>
          <w:color w:val="auto"/>
        </w:rPr>
      </w:pPr>
      <w:r>
        <w:rPr>
          <w:rFonts w:ascii="Arial" w:cs="Arial" w:eastAsia="Arial" w:hAnsi="Arial"/>
          <w:sz w:val="16"/>
          <w:szCs w:val="16"/>
          <w:color w:val="auto"/>
        </w:rPr>
        <w:t>We are responsible for the identification and assessment of the risks of material misstatement of the financial statements of the group, including those with respect to the consolidation process. Based on our risk assessment, we tailored the scope of our audit to ensure that we, in aggregate, performed sufficient work on the financial statements to enable us to provide an opinion on the financial statements as a whole.</w:t>
      </w:r>
    </w:p>
    <w:p>
      <w:pPr>
        <w:spacing w:after="0" w:line="124" w:lineRule="exact"/>
        <w:rPr>
          <w:sz w:val="20"/>
          <w:szCs w:val="20"/>
          <w:color w:val="auto"/>
        </w:rPr>
      </w:pPr>
    </w:p>
    <w:p>
      <w:pPr>
        <w:ind w:left="140" w:right="340"/>
        <w:spacing w:after="0" w:line="254" w:lineRule="auto"/>
        <w:rPr>
          <w:sz w:val="20"/>
          <w:szCs w:val="20"/>
          <w:color w:val="auto"/>
        </w:rPr>
      </w:pPr>
      <w:r>
        <w:rPr>
          <w:rFonts w:ascii="Arial" w:cs="Arial" w:eastAsia="Arial" w:hAnsi="Arial"/>
          <w:sz w:val="16"/>
          <w:szCs w:val="16"/>
          <w:color w:val="auto"/>
        </w:rPr>
        <w:t>We tailored the scope of our audit to ensure that we, in aggregate, provide sufficient coverage of the financial statements for us to be able to give an opinion on the financial statements as a whole, taking into account the management structure of the Group, the nature of operations of its components, the accounting processes and controls, and the markets in which the components of the Group operate. In establishing the overall group audit strategy and plan, we determined that we, as the group engagement team, will perform all the audit procedures for the audit of the Group and company financial statements as the financial reporting and accounting functions for all entities in the Group are located, operated, and managed centrally in Leiden.</w:t>
      </w:r>
    </w:p>
    <w:p>
      <w:pPr>
        <w:spacing w:after="0" w:line="12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total, in performing these procedures, we achieved the following coverage on the financial line items:</w:t>
      </w:r>
    </w:p>
    <w:p>
      <w:pPr>
        <w:spacing w:after="0" w:line="28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40" w:type="dxa"/>
            <w:vAlign w:val="bottom"/>
          </w:tcPr>
          <w:p>
            <w:pPr>
              <w:spacing w:after="0"/>
              <w:rPr>
                <w:sz w:val="20"/>
                <w:szCs w:val="20"/>
                <w:color w:val="auto"/>
              </w:rPr>
            </w:pPr>
            <w:r>
              <w:rPr>
                <w:rFonts w:ascii="Arial" w:cs="Arial" w:eastAsia="Arial" w:hAnsi="Arial"/>
                <w:sz w:val="13"/>
                <w:szCs w:val="13"/>
                <w:b w:val="1"/>
                <w:bCs w:val="1"/>
                <w:i w:val="1"/>
                <w:iCs w:val="1"/>
                <w:color w:val="auto"/>
              </w:rPr>
              <w:t>Total assets</w:t>
            </w:r>
          </w:p>
        </w:tc>
        <w:tc>
          <w:tcPr>
            <w:tcW w:w="13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338"/>
        </w:trPr>
        <w:tc>
          <w:tcPr>
            <w:tcW w:w="2040" w:type="dxa"/>
            <w:vAlign w:val="bottom"/>
          </w:tcPr>
          <w:p>
            <w:pPr>
              <w:spacing w:after="0"/>
              <w:rPr>
                <w:sz w:val="20"/>
                <w:szCs w:val="20"/>
                <w:color w:val="auto"/>
              </w:rPr>
            </w:pPr>
            <w:r>
              <w:rPr>
                <w:rFonts w:ascii="Arial" w:cs="Arial" w:eastAsia="Arial" w:hAnsi="Arial"/>
                <w:sz w:val="13"/>
                <w:szCs w:val="13"/>
                <w:b w:val="1"/>
                <w:bCs w:val="1"/>
                <w:i w:val="1"/>
                <w:iCs w:val="1"/>
                <w:color w:val="auto"/>
              </w:rPr>
              <w:t>Profit before tax</w:t>
            </w:r>
          </w:p>
        </w:tc>
        <w:tc>
          <w:tcPr>
            <w:tcW w:w="1380" w:type="dxa"/>
            <w:vAlign w:val="bottom"/>
          </w:tcPr>
          <w:p>
            <w:pPr>
              <w:jc w:val="right"/>
              <w:spacing w:after="0"/>
              <w:rPr>
                <w:sz w:val="20"/>
                <w:szCs w:val="20"/>
                <w:color w:val="auto"/>
              </w:rPr>
            </w:pPr>
            <w:r>
              <w:rPr>
                <w:rFonts w:ascii="Arial" w:cs="Arial" w:eastAsia="Arial" w:hAnsi="Arial"/>
                <w:sz w:val="13"/>
                <w:szCs w:val="13"/>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-165735</wp:posOffset>
            </wp:positionV>
            <wp:extent cx="612902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30" w:lineRule="exact"/>
        <w:rPr>
          <w:sz w:val="20"/>
          <w:szCs w:val="20"/>
          <w:color w:val="auto"/>
        </w:rPr>
      </w:pPr>
    </w:p>
    <w:p>
      <w:pPr>
        <w:ind w:left="140" w:right="200"/>
        <w:spacing w:after="0" w:line="286" w:lineRule="auto"/>
        <w:rPr>
          <w:sz w:val="20"/>
          <w:szCs w:val="20"/>
          <w:color w:val="auto"/>
        </w:rPr>
      </w:pPr>
      <w:r>
        <w:rPr>
          <w:rFonts w:ascii="Arial" w:cs="Arial" w:eastAsia="Arial" w:hAnsi="Arial"/>
          <w:sz w:val="16"/>
          <w:szCs w:val="16"/>
          <w:color w:val="auto"/>
        </w:rPr>
        <w:t>By performing the procedures outlined above, we have been able to obtain sufficient and appropriate audit evidence on the Group’s financial information, to provide a basis for our opinion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875030</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080" w:top="1440" w:right="1079" w:bottom="1440" w:gutter="0" w:footer="0" w:header="0"/>
          <w:type w:val="continuous"/>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7"/>
          <w:szCs w:val="27"/>
          <w:color w:val="auto"/>
        </w:rPr>
        <w:t>Audit approach fraud risks</w:t>
      </w:r>
    </w:p>
    <w:p>
      <w:pPr>
        <w:spacing w:after="0" w:line="200" w:lineRule="exact"/>
        <w:rPr>
          <w:sz w:val="20"/>
          <w:szCs w:val="20"/>
          <w:color w:val="auto"/>
        </w:rPr>
      </w:pPr>
    </w:p>
    <w:p>
      <w:pPr>
        <w:spacing w:after="0" w:line="272" w:lineRule="exact"/>
        <w:rPr>
          <w:sz w:val="20"/>
          <w:szCs w:val="20"/>
          <w:color w:val="auto"/>
        </w:rPr>
      </w:pPr>
    </w:p>
    <w:p>
      <w:pPr>
        <w:ind w:left="140" w:right="240"/>
        <w:spacing w:after="0" w:line="256" w:lineRule="auto"/>
        <w:rPr>
          <w:sz w:val="20"/>
          <w:szCs w:val="20"/>
          <w:color w:val="auto"/>
        </w:rPr>
      </w:pPr>
      <w:r>
        <w:rPr>
          <w:rFonts w:ascii="Arial" w:cs="Arial" w:eastAsia="Arial" w:hAnsi="Arial"/>
          <w:sz w:val="16"/>
          <w:szCs w:val="16"/>
          <w:color w:val="auto"/>
        </w:rPr>
        <w:t>We identified and assessed the risks of material misstatements of the financial statements due to fraud. During our audit we obtained an understanding of Pharvaris N.V. and its environment and the components of the internal control system. This included management’s risk assessment process, management’s process for responding to the risks of fraud and monitoring the internal control system and how the board of directors exercised oversight, as well as the outcomes. We note that management has not formalised its fraud risk assessment.</w:t>
      </w:r>
    </w:p>
    <w:p>
      <w:pPr>
        <w:spacing w:after="0" w:line="126" w:lineRule="exact"/>
        <w:rPr>
          <w:sz w:val="20"/>
          <w:szCs w:val="20"/>
          <w:color w:val="auto"/>
        </w:rPr>
      </w:pPr>
    </w:p>
    <w:p>
      <w:pPr>
        <w:ind w:left="140" w:right="300"/>
        <w:spacing w:after="0" w:line="266" w:lineRule="auto"/>
        <w:rPr>
          <w:sz w:val="20"/>
          <w:szCs w:val="20"/>
          <w:color w:val="auto"/>
        </w:rPr>
      </w:pPr>
      <w:r>
        <w:rPr>
          <w:rFonts w:ascii="Arial" w:cs="Arial" w:eastAsia="Arial" w:hAnsi="Arial"/>
          <w:sz w:val="16"/>
          <w:szCs w:val="16"/>
          <w:color w:val="auto"/>
        </w:rPr>
        <w:t>We evaluated the design and tested the operating effectiveness relevant aspects of the internal control system with respect to the risks of material misstatements due to fraud and in particular the fraud risk assessment, as well as the code of conduct and whistleblower procedures.</w:t>
      </w:r>
    </w:p>
    <w:p>
      <w:pPr>
        <w:spacing w:after="0" w:line="117" w:lineRule="exact"/>
        <w:rPr>
          <w:sz w:val="20"/>
          <w:szCs w:val="20"/>
          <w:color w:val="auto"/>
        </w:rPr>
      </w:pPr>
    </w:p>
    <w:p>
      <w:pPr>
        <w:jc w:val="both"/>
        <w:ind w:left="140" w:right="240"/>
        <w:spacing w:after="0" w:line="266" w:lineRule="auto"/>
        <w:rPr>
          <w:sz w:val="20"/>
          <w:szCs w:val="20"/>
          <w:color w:val="auto"/>
        </w:rPr>
      </w:pPr>
      <w:r>
        <w:rPr>
          <w:rFonts w:ascii="Arial" w:cs="Arial" w:eastAsia="Arial" w:hAnsi="Arial"/>
          <w:sz w:val="16"/>
          <w:szCs w:val="16"/>
          <w:color w:val="auto"/>
        </w:rPr>
        <w:t>We asked members of the management team as well as the human resources department, legal and compliance department and the board of directors whether they are aware of any actual or suspected fraud. This did not result in signals of actual or suspected fraud that may lead to a material misstatement.</w:t>
      </w:r>
    </w:p>
    <w:p>
      <w:pPr>
        <w:spacing w:after="0" w:line="131" w:lineRule="exact"/>
        <w:rPr>
          <w:sz w:val="20"/>
          <w:szCs w:val="20"/>
          <w:color w:val="auto"/>
        </w:rPr>
      </w:pPr>
    </w:p>
    <w:p>
      <w:pPr>
        <w:ind w:left="140" w:right="920"/>
        <w:spacing w:after="0" w:line="266" w:lineRule="auto"/>
        <w:rPr>
          <w:sz w:val="20"/>
          <w:szCs w:val="20"/>
          <w:color w:val="auto"/>
        </w:rPr>
      </w:pPr>
      <w:r>
        <w:rPr>
          <w:rFonts w:ascii="Arial" w:cs="Arial" w:eastAsia="Arial" w:hAnsi="Arial"/>
          <w:sz w:val="16"/>
          <w:szCs w:val="16"/>
          <w:color w:val="auto"/>
        </w:rPr>
        <w:t>As part of our process of identifying fraud risks, we evaluated fraud risk factors with respect to financial reporting fraud, misappropriation of assets and bribery and corruption. We evaluated whether these factors indicate that a risk of material misstatement due to fraud is present.</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identified the following fraud risks and performed the following specific procedures:</w:t>
      </w:r>
    </w:p>
    <w:p>
      <w:pPr>
        <w:spacing w:after="0" w:line="285" w:lineRule="exact"/>
        <w:rPr>
          <w:sz w:val="20"/>
          <w:szCs w:val="20"/>
          <w:color w:val="auto"/>
        </w:rPr>
      </w:pPr>
    </w:p>
    <w:p>
      <w:pPr>
        <w:ind w:left="160"/>
        <w:spacing w:after="0"/>
        <w:tabs>
          <w:tab w:leader="none" w:pos="3540" w:val="left"/>
        </w:tabs>
        <w:rPr>
          <w:sz w:val="20"/>
          <w:szCs w:val="20"/>
          <w:color w:val="auto"/>
        </w:rPr>
      </w:pPr>
      <w:r>
        <w:rPr>
          <w:rFonts w:ascii="Arial" w:cs="Arial" w:eastAsia="Arial" w:hAnsi="Arial"/>
          <w:sz w:val="13"/>
          <w:szCs w:val="13"/>
          <w:b w:val="1"/>
          <w:bCs w:val="1"/>
          <w:color w:val="auto"/>
        </w:rPr>
        <w:t>Identified fraud risks</w:t>
      </w:r>
      <w:r>
        <w:rPr>
          <w:sz w:val="20"/>
          <w:szCs w:val="20"/>
          <w:color w:val="auto"/>
        </w:rPr>
        <w:tab/>
      </w:r>
      <w:r>
        <w:rPr>
          <w:rFonts w:ascii="Arial" w:cs="Arial" w:eastAsia="Arial" w:hAnsi="Arial"/>
          <w:sz w:val="12"/>
          <w:szCs w:val="12"/>
          <w:b w:val="1"/>
          <w:bCs w:val="1"/>
          <w:color w:val="auto"/>
        </w:rPr>
        <w:t>Our audit work and observations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70485</wp:posOffset>
            </wp:positionV>
            <wp:extent cx="3977640" cy="21342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977640" cy="2134235"/>
                    </a:xfrm>
                    <a:prstGeom prst="rect">
                      <a:avLst/>
                    </a:prstGeom>
                    <a:noFill/>
                  </pic:spPr>
                </pic:pic>
              </a:graphicData>
            </a:graphic>
          </wp:anchor>
        </w:drawing>
      </w:r>
    </w:p>
    <w:p>
      <w:pPr>
        <w:sectPr>
          <w:pgSz w:w="11900" w:h="16838" w:orient="portrait"/>
          <w:cols w:equalWidth="0" w:num="1">
            <w:col w:w="9700"/>
          </w:cols>
          <w:pgMar w:left="1080" w:top="1440" w:right="1119" w:bottom="1440" w:gutter="0" w:footer="0" w:header="0"/>
        </w:sectPr>
      </w:pPr>
    </w:p>
    <w:p>
      <w:pPr>
        <w:spacing w:after="0" w:line="18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Risk of management override of controls</w:t>
      </w:r>
    </w:p>
    <w:p>
      <w:pPr>
        <w:spacing w:after="0" w:line="161" w:lineRule="exact"/>
        <w:rPr>
          <w:sz w:val="20"/>
          <w:szCs w:val="20"/>
          <w:color w:val="auto"/>
        </w:rPr>
      </w:pPr>
    </w:p>
    <w:p>
      <w:pPr>
        <w:ind w:left="160"/>
        <w:spacing w:after="0" w:line="226" w:lineRule="auto"/>
        <w:rPr>
          <w:sz w:val="20"/>
          <w:szCs w:val="20"/>
          <w:color w:val="auto"/>
        </w:rPr>
      </w:pPr>
      <w:r>
        <w:rPr>
          <w:rFonts w:ascii="Arial" w:cs="Arial" w:eastAsia="Arial" w:hAnsi="Arial"/>
          <w:sz w:val="13"/>
          <w:szCs w:val="13"/>
          <w:color w:val="auto"/>
        </w:rPr>
        <w:t>Management is in a unique position to perpetrate fraud because of management’s ability to manipulate accounting records and prepare fraudulent financial statements by overriding controls that otherwise appear to be operating effectively.</w:t>
      </w:r>
    </w:p>
    <w:p>
      <w:pPr>
        <w:spacing w:after="0" w:line="106" w:lineRule="exact"/>
        <w:rPr>
          <w:sz w:val="20"/>
          <w:szCs w:val="20"/>
          <w:color w:val="auto"/>
        </w:rPr>
      </w:pPr>
    </w:p>
    <w:p>
      <w:pPr>
        <w:ind w:left="160" w:right="120"/>
        <w:spacing w:after="0" w:line="222" w:lineRule="auto"/>
        <w:rPr>
          <w:sz w:val="20"/>
          <w:szCs w:val="20"/>
          <w:color w:val="auto"/>
        </w:rPr>
      </w:pPr>
      <w:r>
        <w:rPr>
          <w:rFonts w:ascii="Arial" w:cs="Arial" w:eastAsia="Arial" w:hAnsi="Arial"/>
          <w:sz w:val="13"/>
          <w:szCs w:val="13"/>
          <w:color w:val="auto"/>
        </w:rPr>
        <w:t>We paid attention to the risk of management override of controls including risks of potential misstatements due to fraud based on an analysis of potential interests of management in areas where management would most likely override controls, i.e., accounting for significant unusual transactions, recording of critical accounting estimates, booking of manual journal entries, or via incomplete/inaccurate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663575</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663575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663575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663575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663575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663575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663575</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663575</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663575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663575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663575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663575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663575</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663575</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663575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345440</wp:posOffset>
            </wp:positionH>
            <wp:positionV relativeFrom="paragraph">
              <wp:posOffset>663575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663575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663575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396875</wp:posOffset>
            </wp:positionH>
            <wp:positionV relativeFrom="paragraph">
              <wp:posOffset>663575</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663575</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663575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663575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663575</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663575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663575</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663575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663575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663575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663575</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663575</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663575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663575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663575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663575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663575</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663575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663575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663575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663575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663575</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774065</wp:posOffset>
            </wp:positionH>
            <wp:positionV relativeFrom="paragraph">
              <wp:posOffset>663575</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663575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663575</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663575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663575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663575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663575</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663575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663575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928370</wp:posOffset>
            </wp:positionH>
            <wp:positionV relativeFrom="paragraph">
              <wp:posOffset>663575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945515</wp:posOffset>
            </wp:positionH>
            <wp:positionV relativeFrom="paragraph">
              <wp:posOffset>663575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663575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663575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663575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1014095</wp:posOffset>
            </wp:positionH>
            <wp:positionV relativeFrom="paragraph">
              <wp:posOffset>663575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663575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663575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1065530</wp:posOffset>
            </wp:positionH>
            <wp:positionV relativeFrom="paragraph">
              <wp:posOffset>663575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1082675</wp:posOffset>
            </wp:positionH>
            <wp:positionV relativeFrom="paragraph">
              <wp:posOffset>663575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663575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663575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663575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663575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1168400</wp:posOffset>
            </wp:positionH>
            <wp:positionV relativeFrom="paragraph">
              <wp:posOffset>663575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663575</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663575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663575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663575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663575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663575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663575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663575</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663575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663575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663575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663575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663575</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1408430</wp:posOffset>
            </wp:positionH>
            <wp:positionV relativeFrom="paragraph">
              <wp:posOffset>663575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1425575</wp:posOffset>
            </wp:positionH>
            <wp:positionV relativeFrom="paragraph">
              <wp:posOffset>663575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1442720</wp:posOffset>
            </wp:positionH>
            <wp:positionV relativeFrom="paragraph">
              <wp:posOffset>663575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1459865</wp:posOffset>
            </wp:positionH>
            <wp:positionV relativeFrom="paragraph">
              <wp:posOffset>663575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663575</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663575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663575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663575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663575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663575</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663575</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663575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663575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663575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663575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663575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663575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663575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663575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663575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663575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663575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663575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663575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663575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663575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663575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663575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663575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663575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663575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663575</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663575</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663575</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663575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663575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663575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663575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663575</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663575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663575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663575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663575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663575</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663575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663575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663575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663575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Risk of unauthorised/fraudulent payments</w:t>
      </w:r>
    </w:p>
    <w:p>
      <w:pPr>
        <w:spacing w:after="0" w:line="161" w:lineRule="exact"/>
        <w:rPr>
          <w:sz w:val="20"/>
          <w:szCs w:val="20"/>
          <w:color w:val="auto"/>
        </w:rPr>
      </w:pPr>
    </w:p>
    <w:p>
      <w:pPr>
        <w:ind w:left="160" w:right="100"/>
        <w:spacing w:after="0" w:line="229" w:lineRule="auto"/>
        <w:rPr>
          <w:sz w:val="20"/>
          <w:szCs w:val="20"/>
          <w:color w:val="auto"/>
        </w:rPr>
      </w:pPr>
      <w:r>
        <w:rPr>
          <w:rFonts w:ascii="Arial" w:cs="Arial" w:eastAsia="Arial" w:hAnsi="Arial"/>
          <w:sz w:val="13"/>
          <w:szCs w:val="13"/>
          <w:color w:val="auto"/>
        </w:rPr>
        <w:t>Due to the existence of material weaknesses identified in prior year’s audit, which has been remediated as of 31 December 2024, we identified the risk of unauthorised/fraudulent payments as a fraud risk.</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We evaluated the design and tested the operating effectiveness of the internal controls within the process of generating and processing journal entries and making estimates.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We selected journal entries based on risk criteria and conducted specific audit procedures for these entries.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These procedures include, among others, inspection of the entries to source documentation.</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also performed specific audit procedures related to important estimates of management as disclosed in Note 2.19 to the financial statements. We specifically paid attention to the inherent risk of bias of management in estimates and existence of any significant transactions outside the normal course of business.</w:t>
      </w:r>
    </w:p>
    <w:p>
      <w:pPr>
        <w:spacing w:after="0" w:line="93" w:lineRule="exact"/>
        <w:rPr>
          <w:sz w:val="20"/>
          <w:szCs w:val="20"/>
          <w:color w:val="auto"/>
        </w:rPr>
      </w:pPr>
    </w:p>
    <w:p>
      <w:pPr>
        <w:ind w:right="500"/>
        <w:spacing w:after="0" w:line="243" w:lineRule="auto"/>
        <w:rPr>
          <w:sz w:val="20"/>
          <w:szCs w:val="20"/>
          <w:color w:val="auto"/>
        </w:rPr>
      </w:pPr>
      <w:r>
        <w:rPr>
          <w:rFonts w:ascii="Arial" w:cs="Arial" w:eastAsia="Arial" w:hAnsi="Arial"/>
          <w:sz w:val="13"/>
          <w:szCs w:val="13"/>
          <w:color w:val="auto"/>
        </w:rPr>
        <w:t>Our audit procedures did not lead to specific indications of fraud or suspicions of fraud with respect to management override of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1045210</wp:posOffset>
            </wp:positionV>
            <wp:extent cx="3985895" cy="150050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3985895" cy="150050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1045210</wp:posOffset>
            </wp:positionV>
            <wp:extent cx="3985895" cy="150050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398589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00"/>
        <w:spacing w:after="0" w:line="243" w:lineRule="auto"/>
        <w:rPr>
          <w:sz w:val="20"/>
          <w:szCs w:val="20"/>
          <w:color w:val="auto"/>
        </w:rPr>
      </w:pPr>
      <w:r>
        <w:rPr>
          <w:rFonts w:ascii="Arial" w:cs="Arial" w:eastAsia="Arial" w:hAnsi="Arial"/>
          <w:sz w:val="13"/>
          <w:szCs w:val="13"/>
          <w:color w:val="auto"/>
        </w:rPr>
        <w:t>We evaluated the design and tested the operating effectiveness of the controls within the purchase and payables business process.</w:t>
      </w:r>
    </w:p>
    <w:p>
      <w:pPr>
        <w:spacing w:after="0" w:line="89"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We performed testing of payments on a sample basis throughout the year to ensure validity and authorisation of the payments.</w:t>
      </w:r>
    </w:p>
    <w:p>
      <w:pPr>
        <w:spacing w:after="0" w:line="89"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We verified the existence of vendors and appropriateness of payments to these vendors by tracing the vendor information to vendor invoices, external sources, contracts, prior year knowledge etc.</w:t>
      </w:r>
    </w:p>
    <w:p>
      <w:pPr>
        <w:spacing w:after="0" w:line="102" w:lineRule="exact"/>
        <w:rPr>
          <w:sz w:val="20"/>
          <w:szCs w:val="20"/>
          <w:color w:val="auto"/>
        </w:rPr>
      </w:pPr>
    </w:p>
    <w:p>
      <w:pPr>
        <w:ind w:right="420"/>
        <w:spacing w:after="0" w:line="243" w:lineRule="auto"/>
        <w:rPr>
          <w:sz w:val="20"/>
          <w:szCs w:val="20"/>
          <w:color w:val="auto"/>
        </w:rPr>
      </w:pPr>
      <w:r>
        <w:rPr>
          <w:rFonts w:ascii="Arial" w:cs="Arial" w:eastAsia="Arial" w:hAnsi="Arial"/>
          <w:sz w:val="13"/>
          <w:szCs w:val="13"/>
          <w:color w:val="auto"/>
        </w:rPr>
        <w:t>We evaluated the business rationale for the selected payment transactions and ensured that they were incurred in the normal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1358265</wp:posOffset>
            </wp:positionV>
            <wp:extent cx="7157720" cy="425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440" w:space="120"/>
            <w:col w:w="6140"/>
          </w:cols>
          <w:pgMar w:left="1080" w:top="1440" w:right="1119" w:bottom="1440" w:gutter="0" w:footer="0" w:header="0"/>
          <w:type w:val="continuous"/>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20"/>
        <w:spacing w:after="0"/>
        <w:tabs>
          <w:tab w:leader="none" w:pos="4000" w:val="left"/>
        </w:tabs>
        <w:rPr>
          <w:sz w:val="20"/>
          <w:szCs w:val="20"/>
          <w:color w:val="auto"/>
        </w:rPr>
      </w:pPr>
      <w:r>
        <w:rPr>
          <w:rFonts w:ascii="Arial" w:cs="Arial" w:eastAsia="Arial" w:hAnsi="Arial"/>
          <w:sz w:val="13"/>
          <w:szCs w:val="13"/>
          <w:b w:val="1"/>
          <w:bCs w:val="1"/>
          <w:color w:val="auto"/>
        </w:rPr>
        <w:t>Identified fraud risks</w:t>
      </w:r>
      <w:r>
        <w:rPr>
          <w:sz w:val="20"/>
          <w:szCs w:val="20"/>
          <w:color w:val="auto"/>
        </w:rPr>
        <w:tab/>
      </w:r>
      <w:r>
        <w:rPr>
          <w:rFonts w:ascii="Arial" w:cs="Arial" w:eastAsia="Arial" w:hAnsi="Arial"/>
          <w:sz w:val="12"/>
          <w:szCs w:val="12"/>
          <w:b w:val="1"/>
          <w:bCs w:val="1"/>
          <w:color w:val="auto"/>
        </w:rPr>
        <w:t>Our audit work and observations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70485</wp:posOffset>
            </wp:positionV>
            <wp:extent cx="3977640" cy="3517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977640" cy="351790"/>
                    </a:xfrm>
                    <a:prstGeom prst="rect">
                      <a:avLst/>
                    </a:prstGeom>
                    <a:noFill/>
                  </pic:spPr>
                </pic:pic>
              </a:graphicData>
            </a:graphic>
          </wp:anchor>
        </w:drawing>
      </w:r>
    </w:p>
    <w:p>
      <w:pPr>
        <w:spacing w:after="0" w:line="168" w:lineRule="exact"/>
        <w:rPr>
          <w:sz w:val="20"/>
          <w:szCs w:val="20"/>
          <w:color w:val="auto"/>
        </w:rPr>
      </w:pPr>
    </w:p>
    <w:p>
      <w:pPr>
        <w:ind w:left="4020" w:right="1100"/>
        <w:spacing w:after="0" w:line="243" w:lineRule="auto"/>
        <w:rPr>
          <w:sz w:val="20"/>
          <w:szCs w:val="20"/>
          <w:color w:val="auto"/>
        </w:rPr>
      </w:pPr>
      <w:r>
        <w:rPr>
          <w:rFonts w:ascii="Arial" w:cs="Arial" w:eastAsia="Arial" w:hAnsi="Arial"/>
          <w:sz w:val="13"/>
          <w:szCs w:val="13"/>
          <w:color w:val="auto"/>
        </w:rPr>
        <w:t>Our audit procedures did not lead to specific indications of fraud or suspicions of fraud with respect to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102235</wp:posOffset>
            </wp:positionV>
            <wp:extent cx="215138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316" w:lineRule="exact"/>
        <w:rPr>
          <w:sz w:val="20"/>
          <w:szCs w:val="20"/>
          <w:color w:val="auto"/>
        </w:rPr>
      </w:pPr>
    </w:p>
    <w:p>
      <w:pPr>
        <w:ind w:left="600" w:right="840"/>
        <w:spacing w:after="0" w:line="266" w:lineRule="auto"/>
        <w:rPr>
          <w:sz w:val="20"/>
          <w:szCs w:val="20"/>
          <w:color w:val="auto"/>
        </w:rPr>
      </w:pPr>
      <w:r>
        <w:rPr>
          <w:rFonts w:ascii="Arial" w:cs="Arial" w:eastAsia="Arial" w:hAnsi="Arial"/>
          <w:sz w:val="16"/>
          <w:szCs w:val="16"/>
          <w:color w:val="auto"/>
        </w:rPr>
        <w:t>We incorporated an element of unpredictability in our audit. We have also reviewed lawyer’s letters. During the audit, we remained alert to indications of fraud. Furthermore, we considered the outcome of our other audit procedures and evaluated whether any findings were indicative of fraud or non-compliance with laws and regulations.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27"/>
          <w:szCs w:val="27"/>
          <w:color w:val="auto"/>
        </w:rPr>
        <w:t>Audit approach going concern</w:t>
      </w:r>
    </w:p>
    <w:p>
      <w:pPr>
        <w:spacing w:after="0" w:line="364" w:lineRule="exact"/>
        <w:rPr>
          <w:sz w:val="20"/>
          <w:szCs w:val="20"/>
          <w:color w:val="auto"/>
        </w:rPr>
      </w:pPr>
    </w:p>
    <w:p>
      <w:pPr>
        <w:ind w:left="600" w:right="940"/>
        <w:spacing w:after="0" w:line="286" w:lineRule="auto"/>
        <w:rPr>
          <w:sz w:val="20"/>
          <w:szCs w:val="20"/>
          <w:color w:val="auto"/>
        </w:rPr>
      </w:pPr>
      <w:r>
        <w:rPr>
          <w:rFonts w:ascii="Arial" w:cs="Arial" w:eastAsia="Arial" w:hAnsi="Arial"/>
          <w:sz w:val="16"/>
          <w:szCs w:val="16"/>
          <w:color w:val="auto"/>
        </w:rPr>
        <w:t>Management prepared the financial statements on the assumption that the entity is a going concern and that it will continue all its operations for at least 12 months from the date of preparation of the financial statements.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procedures to evaluate management’s going-concern assessment included, amongst others:</w:t>
      </w:r>
    </w:p>
    <w:p>
      <w:pPr>
        <w:spacing w:after="0" w:line="383" w:lineRule="exact"/>
        <w:rPr>
          <w:sz w:val="20"/>
          <w:szCs w:val="20"/>
          <w:color w:val="auto"/>
        </w:rPr>
      </w:pPr>
    </w:p>
    <w:p>
      <w:pPr>
        <w:ind w:left="720" w:right="60" w:hanging="503"/>
        <w:spacing w:after="0" w:line="285" w:lineRule="auto"/>
        <w:tabs>
          <w:tab w:leader="none" w:pos="72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considering whether management identified events or conditions that may cast significant doubt on the entity’s ability to continue as a going concern (hereafter: going-concern risks);</w:t>
      </w:r>
    </w:p>
    <w:p>
      <w:pPr>
        <w:spacing w:after="0" w:line="48" w:lineRule="exact"/>
        <w:rPr>
          <w:rFonts w:ascii="Times New Roman" w:cs="Times New Roman" w:eastAsia="Times New Roman" w:hAnsi="Times New Roman"/>
          <w:sz w:val="16"/>
          <w:szCs w:val="16"/>
          <w:color w:val="auto"/>
        </w:rPr>
      </w:pPr>
    </w:p>
    <w:p>
      <w:pPr>
        <w:ind w:left="720" w:hanging="503"/>
        <w:spacing w:after="0" w:line="266" w:lineRule="auto"/>
        <w:tabs>
          <w:tab w:leader="none" w:pos="72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considering whether the management’s going-concern assessment includes all relevant information of which we are aware as a result of our audit by review of the minutes of meetings of the board of directors and inquiring with the management regarding the most important assumptions underlying their going-concern assessment;</w:t>
      </w:r>
    </w:p>
    <w:p>
      <w:pPr>
        <w:spacing w:after="0" w:line="62" w:lineRule="exact"/>
        <w:rPr>
          <w:rFonts w:ascii="Times New Roman" w:cs="Times New Roman" w:eastAsia="Times New Roman" w:hAnsi="Times New Roman"/>
          <w:sz w:val="16"/>
          <w:szCs w:val="16"/>
          <w:color w:val="auto"/>
        </w:rPr>
      </w:pPr>
    </w:p>
    <w:p>
      <w:pPr>
        <w:ind w:left="720" w:right="320" w:hanging="503"/>
        <w:spacing w:after="0" w:line="285" w:lineRule="auto"/>
        <w:tabs>
          <w:tab w:leader="none" w:pos="72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evaluating the management’s current budget including cash flows for at least twelve months from the date of preparation of the financial statements taken into account current developments and all relevant information of which we were aware as a result of our audit;</w:t>
      </w:r>
    </w:p>
    <w:p>
      <w:pPr>
        <w:spacing w:after="0" w:line="48" w:lineRule="exact"/>
        <w:rPr>
          <w:rFonts w:ascii="Times New Roman" w:cs="Times New Roman" w:eastAsia="Times New Roman" w:hAnsi="Times New Roman"/>
          <w:sz w:val="16"/>
          <w:szCs w:val="16"/>
          <w:color w:val="auto"/>
        </w:rPr>
      </w:pPr>
    </w:p>
    <w:p>
      <w:pPr>
        <w:ind w:left="720" w:hanging="503"/>
        <w:spacing w:after="0"/>
        <w:tabs>
          <w:tab w:leader="none" w:pos="72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obtaining independent external confirmations for the cash balance as at 31 December 2024; and;</w:t>
      </w:r>
    </w:p>
    <w:p>
      <w:pPr>
        <w:spacing w:after="0" w:line="125" w:lineRule="exact"/>
        <w:rPr>
          <w:rFonts w:ascii="Times New Roman" w:cs="Times New Roman" w:eastAsia="Times New Roman" w:hAnsi="Times New Roman"/>
          <w:sz w:val="16"/>
          <w:szCs w:val="16"/>
          <w:color w:val="auto"/>
        </w:rPr>
      </w:pPr>
    </w:p>
    <w:p>
      <w:pPr>
        <w:ind w:left="720" w:hanging="503"/>
        <w:spacing w:after="0"/>
        <w:tabs>
          <w:tab w:leader="none" w:pos="72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performing inquiries of management as to its knowledge of going-concern risks beyond the period of management’s assessment.</w:t>
      </w:r>
    </w:p>
    <w:p>
      <w:pPr>
        <w:spacing w:after="0" w:line="193" w:lineRule="exact"/>
        <w:rPr>
          <w:sz w:val="20"/>
          <w:szCs w:val="20"/>
          <w:color w:val="auto"/>
        </w:rPr>
      </w:pPr>
    </w:p>
    <w:p>
      <w:pPr>
        <w:ind w:left="600" w:right="1060"/>
        <w:spacing w:after="0" w:line="286" w:lineRule="auto"/>
        <w:rPr>
          <w:sz w:val="20"/>
          <w:szCs w:val="20"/>
          <w:color w:val="auto"/>
        </w:rPr>
      </w:pPr>
      <w:r>
        <w:rPr>
          <w:rFonts w:ascii="Arial" w:cs="Arial" w:eastAsia="Arial" w:hAnsi="Arial"/>
          <w:sz w:val="16"/>
          <w:szCs w:val="16"/>
          <w:color w:val="auto"/>
        </w:rPr>
        <w:t>Our procedures did not result in outcomes contrary to management’s assumptions and judgments used in the application of the going-concern assumption.</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27"/>
          <w:szCs w:val="27"/>
          <w:color w:val="auto"/>
        </w:rPr>
        <w:t>Key audit matters</w:t>
      </w:r>
    </w:p>
    <w:p>
      <w:pPr>
        <w:spacing w:after="0" w:line="351" w:lineRule="exact"/>
        <w:rPr>
          <w:sz w:val="20"/>
          <w:szCs w:val="20"/>
          <w:color w:val="auto"/>
        </w:rPr>
      </w:pPr>
    </w:p>
    <w:p>
      <w:pPr>
        <w:ind w:left="600" w:right="960"/>
        <w:spacing w:after="0" w:line="259" w:lineRule="auto"/>
        <w:rPr>
          <w:sz w:val="20"/>
          <w:szCs w:val="20"/>
          <w:color w:val="auto"/>
        </w:rPr>
      </w:pPr>
      <w:r>
        <w:rPr>
          <w:rFonts w:ascii="Arial" w:cs="Arial" w:eastAsia="Arial" w:hAnsi="Arial"/>
          <w:sz w:val="16"/>
          <w:szCs w:val="16"/>
          <w:color w:val="auto"/>
        </w:rPr>
        <w:t>Key audit matters are those matters that, in our professional judgement, were of most significance in the audit of the financial statements. We have communicated the key audit matters to board of directors, audit committee andmanagement. The key audit matters are not a comprehensive reflection of all matters identified by our audit and that we discussed. In this section, we described the key audit matters and included a summary of the audit procedures we performed on those matters.</w:t>
      </w:r>
    </w:p>
    <w:p>
      <w:pPr>
        <w:spacing w:after="0" w:line="11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 xml:space="preserve">Considering the nature of the Group’s business activities as well as the industry in which it operates, we consider the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Clinical and Manufacturing Accruals </w:t>
      </w:r>
      <w:r>
        <w:rPr>
          <w:rFonts w:ascii="Arial" w:cs="Arial" w:eastAsia="Arial" w:hAnsi="Arial"/>
          <w:sz w:val="16"/>
          <w:szCs w:val="16"/>
          <w:color w:val="auto"/>
        </w:rPr>
        <w:t>as a key audit matter for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695325</wp:posOffset>
            </wp:positionV>
            <wp:extent cx="7157720" cy="425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620" w:top="1440" w:right="51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spacing w:after="0"/>
        <w:tabs>
          <w:tab w:leader="none" w:pos="5440" w:val="left"/>
        </w:tabs>
        <w:rPr>
          <w:sz w:val="20"/>
          <w:szCs w:val="20"/>
          <w:color w:val="auto"/>
        </w:rPr>
      </w:pPr>
      <w:r>
        <w:rPr>
          <w:rFonts w:ascii="Arial" w:cs="Arial" w:eastAsia="Arial" w:hAnsi="Arial"/>
          <w:sz w:val="13"/>
          <w:szCs w:val="13"/>
          <w:b w:val="1"/>
          <w:bCs w:val="1"/>
          <w:color w:val="auto"/>
        </w:rPr>
        <w:t>Key audit matter</w:t>
      </w:r>
      <w:r>
        <w:rPr>
          <w:sz w:val="20"/>
          <w:szCs w:val="20"/>
          <w:color w:val="auto"/>
        </w:rPr>
        <w:tab/>
      </w:r>
      <w:r>
        <w:rPr>
          <w:rFonts w:ascii="Arial" w:cs="Arial" w:eastAsia="Arial" w:hAnsi="Arial"/>
          <w:sz w:val="12"/>
          <w:szCs w:val="12"/>
          <w:b w:val="1"/>
          <w:bCs w:val="1"/>
          <w:color w:val="auto"/>
        </w:rPr>
        <w:t>Our audit work and observations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70485</wp:posOffset>
            </wp:positionV>
            <wp:extent cx="3060065" cy="318897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3060065" cy="3188970"/>
                    </a:xfrm>
                    <a:prstGeom prst="rect">
                      <a:avLst/>
                    </a:prstGeom>
                    <a:noFill/>
                  </pic:spPr>
                </pic:pic>
              </a:graphicData>
            </a:graphic>
          </wp:anchor>
        </w:drawing>
      </w:r>
    </w:p>
    <w:p>
      <w:pPr>
        <w:sectPr>
          <w:pgSz w:w="11900" w:h="16838" w:orient="portrait"/>
          <w:cols w:equalWidth="0" w:num="1">
            <w:col w:w="10920"/>
          </w:cols>
          <w:pgMar w:left="620" w:top="1440" w:right="359" w:bottom="1440" w:gutter="0" w:footer="0" w:header="0"/>
        </w:sectPr>
      </w:pPr>
    </w:p>
    <w:p>
      <w:pPr>
        <w:spacing w:after="0" w:line="18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Research and Development Clinical and Manufacturing Accruals</w:t>
      </w:r>
    </w:p>
    <w:p>
      <w:pPr>
        <w:spacing w:after="0" w:line="175" w:lineRule="exact"/>
        <w:rPr>
          <w:sz w:val="20"/>
          <w:szCs w:val="20"/>
          <w:color w:val="auto"/>
        </w:rPr>
      </w:pPr>
    </w:p>
    <w:p>
      <w:pPr>
        <w:ind w:left="640"/>
        <w:spacing w:after="0" w:line="222" w:lineRule="auto"/>
        <w:rPr>
          <w:sz w:val="20"/>
          <w:szCs w:val="20"/>
          <w:color w:val="auto"/>
        </w:rPr>
      </w:pPr>
      <w:r>
        <w:rPr>
          <w:rFonts w:ascii="Arial" w:cs="Arial" w:eastAsia="Arial" w:hAnsi="Arial"/>
          <w:sz w:val="13"/>
          <w:szCs w:val="13"/>
          <w:color w:val="auto"/>
        </w:rPr>
        <w:t>As described in Notes 2.16 and 16 to the consolidated financial statements, the Company estimates the level of services performed by vendors and the associated cost incurred for the research and development services performed. The Company has recorded €5.2 million and €1.8 million for clinical accrued liabilities and manufacturing accrued liabilities respectively for the estimated research and development costs incurred but not yet billed or paid as of 31 December 2024. These accruals relate to obligations under contracts with clinical research organizations (‘CROs’), manufacturers, vendors and consultants.</w:t>
      </w:r>
    </w:p>
    <w:p>
      <w:pPr>
        <w:spacing w:after="0" w:line="95" w:lineRule="exact"/>
        <w:rPr>
          <w:sz w:val="20"/>
          <w:szCs w:val="20"/>
          <w:color w:val="auto"/>
        </w:rPr>
      </w:pPr>
    </w:p>
    <w:p>
      <w:pPr>
        <w:jc w:val="both"/>
        <w:ind w:left="640" w:right="120"/>
        <w:spacing w:after="0" w:line="223" w:lineRule="auto"/>
        <w:rPr>
          <w:sz w:val="20"/>
          <w:szCs w:val="20"/>
          <w:color w:val="auto"/>
        </w:rPr>
      </w:pPr>
      <w:r>
        <w:rPr>
          <w:rFonts w:ascii="Arial" w:cs="Arial" w:eastAsia="Arial" w:hAnsi="Arial"/>
          <w:sz w:val="13"/>
          <w:szCs w:val="13"/>
          <w:color w:val="auto"/>
        </w:rPr>
        <w:t>We identified the determination of aforementioned accruals as a key audit matter due to the application of significant management judgment over the determination of these accruals and services provided as of year-end.</w:t>
      </w:r>
    </w:p>
    <w:p>
      <w:pPr>
        <w:ind w:left="640" w:right="140"/>
        <w:spacing w:after="0" w:line="231" w:lineRule="auto"/>
        <w:rPr>
          <w:sz w:val="20"/>
          <w:szCs w:val="20"/>
          <w:color w:val="auto"/>
        </w:rPr>
      </w:pPr>
      <w:r>
        <w:rPr>
          <w:rFonts w:ascii="Arial" w:cs="Arial" w:eastAsia="Arial" w:hAnsi="Arial"/>
          <w:sz w:val="13"/>
          <w:szCs w:val="13"/>
          <w:color w:val="auto"/>
        </w:rPr>
        <w:t>Accordingly, the existence of significant management judgement warrants specific audit focus and attention on this area.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procedures we performed to address this key audit matter included:</w:t>
      </w:r>
    </w:p>
    <w:p>
      <w:pPr>
        <w:spacing w:after="0" w:line="171" w:lineRule="exact"/>
        <w:rPr>
          <w:sz w:val="20"/>
          <w:szCs w:val="20"/>
          <w:color w:val="auto"/>
        </w:rPr>
      </w:pPr>
    </w:p>
    <w:p>
      <w:pPr>
        <w:ind w:left="180" w:hanging="176"/>
        <w:spacing w:after="0"/>
        <w:tabs>
          <w:tab w:leader="none" w:pos="180" w:val="left"/>
        </w:tabs>
        <w:numPr>
          <w:ilvl w:val="0"/>
          <w:numId w:val="103"/>
        </w:numPr>
        <w:rPr>
          <w:rFonts w:ascii="Times New Roman" w:cs="Times New Roman" w:eastAsia="Times New Roman" w:hAnsi="Times New Roman"/>
          <w:sz w:val="13"/>
          <w:szCs w:val="13"/>
          <w:color w:val="626B72"/>
        </w:rPr>
      </w:pPr>
      <w:r>
        <w:rPr>
          <w:rFonts w:ascii="Arial" w:cs="Arial" w:eastAsia="Arial" w:hAnsi="Arial"/>
          <w:sz w:val="13"/>
          <w:szCs w:val="13"/>
          <w:color w:val="auto"/>
        </w:rPr>
        <w:t>Testing the design and operating effectiveness of the controls relating to</w:t>
      </w:r>
    </w:p>
    <w:p>
      <w:pPr>
        <w:spacing w:after="0"/>
        <w:rPr>
          <w:rFonts w:ascii="Times New Roman" w:cs="Times New Roman" w:eastAsia="Times New Roman" w:hAnsi="Times New Roman"/>
          <w:sz w:val="13"/>
          <w:szCs w:val="13"/>
          <w:color w:val="626B72"/>
        </w:rPr>
      </w:pPr>
      <w:r>
        <w:rPr>
          <w:rFonts w:ascii="Arial" w:cs="Arial" w:eastAsia="Arial" w:hAnsi="Arial"/>
          <w:sz w:val="13"/>
          <w:szCs w:val="13"/>
          <w:color w:val="auto"/>
        </w:rPr>
        <w:t>management’s research and development clinical and manufacturing accruals.</w:t>
      </w:r>
    </w:p>
    <w:p>
      <w:pPr>
        <w:spacing w:after="0" w:line="95" w:lineRule="exact"/>
        <w:rPr>
          <w:rFonts w:ascii="Times New Roman" w:cs="Times New Roman" w:eastAsia="Times New Roman" w:hAnsi="Times New Roman"/>
          <w:sz w:val="13"/>
          <w:szCs w:val="13"/>
          <w:color w:val="626B72"/>
        </w:rPr>
      </w:pPr>
    </w:p>
    <w:p>
      <w:pPr>
        <w:jc w:val="both"/>
        <w:ind w:right="900" w:firstLine="4"/>
        <w:spacing w:after="0" w:line="244" w:lineRule="auto"/>
        <w:tabs>
          <w:tab w:leader="none" w:pos="185" w:val="left"/>
        </w:tabs>
        <w:numPr>
          <w:ilvl w:val="0"/>
          <w:numId w:val="103"/>
        </w:numPr>
        <w:rPr>
          <w:rFonts w:ascii="Times New Roman" w:cs="Times New Roman" w:eastAsia="Times New Roman" w:hAnsi="Times New Roman"/>
          <w:sz w:val="12"/>
          <w:szCs w:val="12"/>
          <w:color w:val="626B72"/>
        </w:rPr>
      </w:pPr>
      <w:r>
        <w:rPr>
          <w:rFonts w:ascii="Arial" w:cs="Arial" w:eastAsia="Arial" w:hAnsi="Arial"/>
          <w:sz w:val="12"/>
          <w:szCs w:val="12"/>
          <w:color w:val="auto"/>
        </w:rPr>
        <w:t>We obtained audit evidence regarding the research and development accruals and performed substantive testing procedures on the balance as at 31 December</w:t>
      </w:r>
    </w:p>
    <w:p>
      <w:pPr>
        <w:spacing w:after="0"/>
        <w:rPr>
          <w:rFonts w:ascii="Times New Roman" w:cs="Times New Roman" w:eastAsia="Times New Roman" w:hAnsi="Times New Roman"/>
          <w:sz w:val="12"/>
          <w:szCs w:val="12"/>
          <w:color w:val="626B72"/>
        </w:rPr>
      </w:pPr>
      <w:r>
        <w:rPr>
          <w:rFonts w:ascii="Arial" w:cs="Arial" w:eastAsia="Arial" w:hAnsi="Arial"/>
          <w:sz w:val="13"/>
          <w:szCs w:val="13"/>
          <w:color w:val="auto"/>
        </w:rPr>
        <w:t>2024. These procedures included:</w:t>
      </w:r>
    </w:p>
    <w:p>
      <w:pPr>
        <w:spacing w:after="0" w:line="95" w:lineRule="exact"/>
        <w:rPr>
          <w:sz w:val="20"/>
          <w:szCs w:val="20"/>
          <w:color w:val="auto"/>
        </w:rPr>
      </w:pPr>
    </w:p>
    <w:p>
      <w:pPr>
        <w:ind w:right="760" w:firstLine="4"/>
        <w:spacing w:after="0" w:line="222" w:lineRule="auto"/>
        <w:tabs>
          <w:tab w:leader="none" w:pos="183" w:val="left"/>
        </w:tabs>
        <w:numPr>
          <w:ilvl w:val="0"/>
          <w:numId w:val="104"/>
        </w:numPr>
        <w:rPr>
          <w:rFonts w:ascii="Arial" w:cs="Arial" w:eastAsia="Arial" w:hAnsi="Arial"/>
          <w:sz w:val="13"/>
          <w:szCs w:val="13"/>
          <w:color w:val="626B72"/>
        </w:rPr>
      </w:pPr>
      <w:r>
        <w:rPr>
          <w:rFonts w:ascii="Arial" w:cs="Arial" w:eastAsia="Arial" w:hAnsi="Arial"/>
          <w:sz w:val="13"/>
          <w:szCs w:val="13"/>
          <w:color w:val="auto"/>
        </w:rPr>
        <w:t>reviewing the Company’s contractual agreements with respective clinical research organizations and any related changes to them; (ii) testing management’s process for developing the research and development clinical and manufacturing accrual estimate; (iii) evaluating the appropriateness of management’s process for developing the estimate; (iv) testing the completeness and accuracy of underlying data used in the process; (v) evaluating the accuracy of the estimated costs incurred for the services which have not been invoiced; and (vi) testing classification of research and development expenses.</w:t>
      </w:r>
    </w:p>
    <w:p>
      <w:pPr>
        <w:spacing w:after="0" w:line="95" w:lineRule="exact"/>
        <w:rPr>
          <w:sz w:val="20"/>
          <w:szCs w:val="20"/>
          <w:color w:val="auto"/>
        </w:rPr>
      </w:pPr>
    </w:p>
    <w:p>
      <w:pPr>
        <w:jc w:val="both"/>
        <w:ind w:right="1480" w:firstLine="4"/>
        <w:spacing w:after="0" w:line="233" w:lineRule="auto"/>
        <w:tabs>
          <w:tab w:leader="none" w:pos="176" w:val="left"/>
        </w:tabs>
        <w:numPr>
          <w:ilvl w:val="0"/>
          <w:numId w:val="105"/>
        </w:numPr>
        <w:rPr>
          <w:rFonts w:ascii="Times New Roman" w:cs="Times New Roman" w:eastAsia="Times New Roman" w:hAnsi="Times New Roman"/>
          <w:sz w:val="13"/>
          <w:szCs w:val="13"/>
          <w:color w:val="626B72"/>
        </w:rPr>
      </w:pPr>
      <w:r>
        <w:rPr>
          <w:rFonts w:ascii="Arial" w:cs="Arial" w:eastAsia="Arial" w:hAnsi="Arial"/>
          <w:sz w:val="13"/>
          <w:szCs w:val="13"/>
          <w:color w:val="auto"/>
        </w:rPr>
        <w:t>We reviewed the disclosures in note 16 to the consolidated financial statements and deemed the disclosures in line with the requirements of applicable financial reporting framework.</w:t>
      </w:r>
    </w:p>
    <w:p>
      <w:pPr>
        <w:spacing w:after="0" w:line="104" w:lineRule="exact"/>
        <w:rPr>
          <w:sz w:val="20"/>
          <w:szCs w:val="20"/>
          <w:color w:val="auto"/>
        </w:rPr>
      </w:pPr>
    </w:p>
    <w:p>
      <w:pPr>
        <w:ind w:right="920"/>
        <w:spacing w:after="0" w:line="243" w:lineRule="auto"/>
        <w:rPr>
          <w:sz w:val="20"/>
          <w:szCs w:val="20"/>
          <w:color w:val="auto"/>
        </w:rPr>
      </w:pPr>
      <w:r>
        <w:rPr>
          <w:rFonts w:ascii="Arial" w:cs="Arial" w:eastAsia="Arial" w:hAnsi="Arial"/>
          <w:sz w:val="13"/>
          <w:szCs w:val="13"/>
          <w:color w:val="auto"/>
        </w:rPr>
        <w:t>We did not have any material findings based on the audit work performed and the audit evidence obtained.</w:t>
      </w:r>
    </w:p>
    <w:p>
      <w:pPr>
        <w:spacing w:after="0" w:line="200" w:lineRule="exact"/>
        <w:rPr>
          <w:sz w:val="20"/>
          <w:szCs w:val="20"/>
          <w:color w:val="auto"/>
        </w:rPr>
      </w:pPr>
    </w:p>
    <w:p>
      <w:pPr>
        <w:sectPr>
          <w:pgSz w:w="11900" w:h="16838" w:orient="portrait"/>
          <w:cols w:equalWidth="0" w:num="2">
            <w:col w:w="5380" w:space="80"/>
            <w:col w:w="5460"/>
          </w:cols>
          <w:pgMar w:left="6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0"/>
        <w:spacing w:after="0"/>
        <w:rPr>
          <w:sz w:val="20"/>
          <w:szCs w:val="20"/>
          <w:color w:val="auto"/>
        </w:rPr>
      </w:pPr>
      <w:r>
        <w:rPr>
          <w:rFonts w:ascii="Arial" w:cs="Arial" w:eastAsia="Arial" w:hAnsi="Arial"/>
          <w:sz w:val="32"/>
          <w:szCs w:val="32"/>
          <w:color w:val="auto"/>
        </w:rPr>
        <w:t>Report on the other information included in the annual report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0" w:right="900"/>
        <w:spacing w:after="0" w:line="286" w:lineRule="auto"/>
        <w:rPr>
          <w:sz w:val="20"/>
          <w:szCs w:val="20"/>
          <w:color w:val="auto"/>
        </w:rPr>
      </w:pPr>
      <w:r>
        <w:rPr>
          <w:rFonts w:ascii="Arial" w:cs="Arial" w:eastAsia="Arial" w:hAnsi="Arial"/>
          <w:sz w:val="16"/>
          <w:szCs w:val="16"/>
          <w:color w:val="auto"/>
        </w:rPr>
        <w:t>The annual report contains other information. This includes all information in the annual report in addition to the financial statements and our auditor’s report thereon.</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Based on the procedures performed as set out below, we conclude that the other information:</w:t>
      </w:r>
    </w:p>
    <w:p>
      <w:pPr>
        <w:spacing w:after="0" w:line="383" w:lineRule="exact"/>
        <w:rPr>
          <w:sz w:val="20"/>
          <w:szCs w:val="20"/>
          <w:color w:val="auto"/>
        </w:rPr>
      </w:pPr>
    </w:p>
    <w:p>
      <w:pPr>
        <w:ind w:left="720" w:hanging="503"/>
        <w:spacing w:after="0"/>
        <w:tabs>
          <w:tab w:leader="none" w:pos="720" w:val="left"/>
        </w:tabs>
        <w:numPr>
          <w:ilvl w:val="0"/>
          <w:numId w:val="106"/>
        </w:numPr>
        <w:rPr>
          <w:rFonts w:ascii="Times New Roman" w:cs="Times New Roman" w:eastAsia="Times New Roman" w:hAnsi="Times New Roman"/>
          <w:sz w:val="16"/>
          <w:szCs w:val="16"/>
          <w:color w:val="auto"/>
        </w:rPr>
      </w:pPr>
      <w:r>
        <w:rPr>
          <w:rFonts w:ascii="Arial" w:cs="Arial" w:eastAsia="Arial" w:hAnsi="Arial"/>
          <w:sz w:val="16"/>
          <w:szCs w:val="16"/>
          <w:color w:val="auto"/>
        </w:rPr>
        <w:t>is consistent with the financial statements and does not contain material misstatements; and</w:t>
      </w:r>
    </w:p>
    <w:p>
      <w:pPr>
        <w:spacing w:after="0" w:line="125" w:lineRule="exact"/>
        <w:rPr>
          <w:rFonts w:ascii="Times New Roman" w:cs="Times New Roman" w:eastAsia="Times New Roman" w:hAnsi="Times New Roman"/>
          <w:sz w:val="16"/>
          <w:szCs w:val="16"/>
          <w:color w:val="auto"/>
        </w:rPr>
      </w:pPr>
    </w:p>
    <w:p>
      <w:pPr>
        <w:ind w:left="720" w:hanging="503"/>
        <w:spacing w:after="0" w:line="285" w:lineRule="auto"/>
        <w:tabs>
          <w:tab w:leader="none" w:pos="720" w:val="left"/>
        </w:tabs>
        <w:numPr>
          <w:ilvl w:val="0"/>
          <w:numId w:val="106"/>
        </w:numPr>
        <w:rPr>
          <w:rFonts w:ascii="Times New Roman" w:cs="Times New Roman" w:eastAsia="Times New Roman" w:hAnsi="Times New Roman"/>
          <w:sz w:val="16"/>
          <w:szCs w:val="16"/>
          <w:color w:val="auto"/>
        </w:rPr>
      </w:pPr>
      <w:r>
        <w:rPr>
          <w:rFonts w:ascii="Arial" w:cs="Arial" w:eastAsia="Arial" w:hAnsi="Arial"/>
          <w:sz w:val="16"/>
          <w:szCs w:val="16"/>
          <w:color w:val="auto"/>
        </w:rPr>
        <w:t>contains all the information regarding the report of board of directors and the other information that is required by Part 9 of Book 2 of the Dutch Civil Code.</w:t>
      </w:r>
    </w:p>
    <w:p>
      <w:pPr>
        <w:spacing w:after="0" w:line="116" w:lineRule="exact"/>
        <w:rPr>
          <w:sz w:val="20"/>
          <w:szCs w:val="20"/>
          <w:color w:val="auto"/>
        </w:rPr>
      </w:pPr>
    </w:p>
    <w:p>
      <w:pPr>
        <w:ind w:left="600" w:right="1660"/>
        <w:spacing w:after="0" w:line="286" w:lineRule="auto"/>
        <w:rPr>
          <w:sz w:val="20"/>
          <w:szCs w:val="20"/>
          <w:color w:val="auto"/>
        </w:rPr>
      </w:pPr>
      <w:r>
        <w:rPr>
          <w:rFonts w:ascii="Arial" w:cs="Arial" w:eastAsia="Arial" w:hAnsi="Arial"/>
          <w:sz w:val="16"/>
          <w:szCs w:val="16"/>
          <w:color w:val="auto"/>
        </w:rPr>
        <w:t>We have read the other information. Based on our knowledge and the understanding obtained in our audit of the financial statements or otherwise, we have considered whether the other information contains material misstatements.</w:t>
      </w:r>
    </w:p>
    <w:p>
      <w:pPr>
        <w:spacing w:after="0" w:line="200" w:lineRule="exact"/>
        <w:rPr>
          <w:sz w:val="20"/>
          <w:szCs w:val="20"/>
          <w:color w:val="auto"/>
        </w:rPr>
      </w:pPr>
    </w:p>
    <w:p>
      <w:pPr>
        <w:spacing w:after="0" w:line="23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By performing our procedures, we comply with the requirements of Part 9 of Book 2 of the Dutch Civil Code and the Dutch Standard 720. The scope of such procedures was substantially less than the scope of those procedures performed in our audit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695325</wp:posOffset>
            </wp:positionV>
            <wp:extent cx="7157720" cy="425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20" w:top="1440" w:right="359" w:bottom="1440" w:gutter="0" w:footer="0" w:header="0"/>
          <w:type w:val="continuous"/>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3" w:right="1260"/>
        <w:spacing w:after="0" w:line="258" w:lineRule="auto"/>
        <w:rPr>
          <w:sz w:val="20"/>
          <w:szCs w:val="20"/>
          <w:color w:val="auto"/>
        </w:rPr>
      </w:pPr>
      <w:r>
        <w:rPr>
          <w:rFonts w:ascii="Arial" w:cs="Arial" w:eastAsia="Arial" w:hAnsi="Arial"/>
          <w:sz w:val="16"/>
          <w:szCs w:val="16"/>
          <w:color w:val="auto"/>
        </w:rPr>
        <w:t>Management is responsible for the preparation of the other information, including the report of board of directors and the other information in accordance with Part 9 of Book 2 of the Dutch Civil Code.</w:t>
      </w:r>
    </w:p>
    <w:p>
      <w:pPr>
        <w:ind w:left="243" w:right="3240"/>
        <w:spacing w:after="0" w:line="406" w:lineRule="auto"/>
        <w:rPr>
          <w:sz w:val="20"/>
          <w:szCs w:val="20"/>
          <w:color w:val="auto"/>
        </w:rPr>
      </w:pPr>
      <w:r>
        <w:rPr>
          <w:rFonts w:ascii="Arial" w:cs="Arial" w:eastAsia="Arial" w:hAnsi="Arial"/>
          <w:sz w:val="32"/>
          <w:szCs w:val="32"/>
          <w:color w:val="auto"/>
        </w:rPr>
        <w:t>Report on other legal and regulatory requirements Our appointment</w:t>
      </w:r>
    </w:p>
    <w:p>
      <w:pPr>
        <w:spacing w:after="0" w:line="33" w:lineRule="exact"/>
        <w:rPr>
          <w:sz w:val="20"/>
          <w:szCs w:val="20"/>
          <w:color w:val="auto"/>
        </w:rPr>
      </w:pPr>
    </w:p>
    <w:p>
      <w:pPr>
        <w:ind w:left="383" w:right="1120"/>
        <w:spacing w:after="0" w:line="266" w:lineRule="auto"/>
        <w:rPr>
          <w:sz w:val="20"/>
          <w:szCs w:val="20"/>
          <w:color w:val="auto"/>
        </w:rPr>
      </w:pPr>
      <w:r>
        <w:rPr>
          <w:rFonts w:ascii="Arial" w:cs="Arial" w:eastAsia="Arial" w:hAnsi="Arial"/>
          <w:sz w:val="16"/>
          <w:szCs w:val="16"/>
          <w:color w:val="auto"/>
        </w:rPr>
        <w:t>We were appointed as auditors of Pharvaris N.V. This followed the passing of a resolution by the shareholders at the annual general meeting held on 2 June 2020. Our appointment has been renewed annually by shareholders and now represents a total period of uninterrupted engagement of 5 years.</w:t>
      </w:r>
    </w:p>
    <w:p>
      <w:pPr>
        <w:spacing w:after="0" w:line="144" w:lineRule="exact"/>
        <w:rPr>
          <w:sz w:val="20"/>
          <w:szCs w:val="20"/>
          <w:color w:val="auto"/>
        </w:rPr>
      </w:pPr>
    </w:p>
    <w:p>
      <w:pPr>
        <w:ind w:left="243"/>
        <w:spacing w:after="0"/>
        <w:rPr>
          <w:sz w:val="20"/>
          <w:szCs w:val="20"/>
          <w:color w:val="auto"/>
        </w:rPr>
      </w:pPr>
      <w:r>
        <w:rPr>
          <w:rFonts w:ascii="Arial" w:cs="Arial" w:eastAsia="Arial" w:hAnsi="Arial"/>
          <w:sz w:val="32"/>
          <w:szCs w:val="32"/>
          <w:color w:val="auto"/>
        </w:rPr>
        <w:t>Responsibilities for the financial statements and the audit</w:t>
      </w:r>
    </w:p>
    <w:p>
      <w:pPr>
        <w:spacing w:after="0" w:line="388" w:lineRule="exact"/>
        <w:rPr>
          <w:sz w:val="20"/>
          <w:szCs w:val="20"/>
          <w:color w:val="auto"/>
        </w:rPr>
      </w:pPr>
    </w:p>
    <w:p>
      <w:pPr>
        <w:ind w:left="243"/>
        <w:spacing w:after="0"/>
        <w:rPr>
          <w:sz w:val="20"/>
          <w:szCs w:val="20"/>
          <w:color w:val="auto"/>
        </w:rPr>
      </w:pPr>
      <w:r>
        <w:rPr>
          <w:rFonts w:ascii="Arial" w:cs="Arial" w:eastAsia="Arial" w:hAnsi="Arial"/>
          <w:sz w:val="32"/>
          <w:szCs w:val="32"/>
          <w:color w:val="auto"/>
        </w:rPr>
        <w:t>Responsibilities of management</w:t>
      </w:r>
    </w:p>
    <w:p>
      <w:pPr>
        <w:spacing w:after="0" w:line="335" w:lineRule="exact"/>
        <w:rPr>
          <w:sz w:val="20"/>
          <w:szCs w:val="20"/>
          <w:color w:val="auto"/>
        </w:rPr>
      </w:pPr>
    </w:p>
    <w:p>
      <w:pPr>
        <w:ind w:left="383"/>
        <w:spacing w:after="0"/>
        <w:rPr>
          <w:sz w:val="20"/>
          <w:szCs w:val="20"/>
          <w:color w:val="auto"/>
        </w:rPr>
      </w:pPr>
      <w:r>
        <w:rPr>
          <w:rFonts w:ascii="Arial" w:cs="Arial" w:eastAsia="Arial" w:hAnsi="Arial"/>
          <w:sz w:val="16"/>
          <w:szCs w:val="16"/>
          <w:color w:val="auto"/>
        </w:rPr>
        <w:t>Management is responsible for:</w:t>
      </w:r>
    </w:p>
    <w:p>
      <w:pPr>
        <w:spacing w:after="0" w:line="383" w:lineRule="exact"/>
        <w:rPr>
          <w:sz w:val="20"/>
          <w:szCs w:val="20"/>
          <w:color w:val="auto"/>
        </w:rPr>
      </w:pPr>
    </w:p>
    <w:p>
      <w:pPr>
        <w:ind w:left="503" w:right="240" w:hanging="503"/>
        <w:spacing w:after="0" w:line="285" w:lineRule="auto"/>
        <w:tabs>
          <w:tab w:leader="none" w:pos="503"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the preparation and fair presentation of the financial statements in accordance with IFRS Accounting Standards as adopted by the EU and Part 9 of Book 2 of the Dutch Civil Code; and for</w:t>
      </w:r>
    </w:p>
    <w:p>
      <w:pPr>
        <w:spacing w:after="0" w:line="48" w:lineRule="exact"/>
        <w:rPr>
          <w:rFonts w:ascii="Times New Roman" w:cs="Times New Roman" w:eastAsia="Times New Roman" w:hAnsi="Times New Roman"/>
          <w:sz w:val="16"/>
          <w:szCs w:val="16"/>
          <w:color w:val="auto"/>
        </w:rPr>
      </w:pPr>
    </w:p>
    <w:p>
      <w:pPr>
        <w:ind w:left="503" w:hanging="503"/>
        <w:spacing w:after="0" w:line="285" w:lineRule="auto"/>
        <w:tabs>
          <w:tab w:leader="none" w:pos="503"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such internal control as management determines is necessary to enable the preparation of the financial statements that are free from material misstatement, whether due to fraud or error.</w:t>
      </w:r>
    </w:p>
    <w:p>
      <w:pPr>
        <w:spacing w:after="0" w:line="129" w:lineRule="exact"/>
        <w:rPr>
          <w:sz w:val="20"/>
          <w:szCs w:val="20"/>
          <w:color w:val="auto"/>
        </w:rPr>
      </w:pPr>
    </w:p>
    <w:p>
      <w:pPr>
        <w:ind w:left="383" w:right="1020"/>
        <w:spacing w:after="0" w:line="256" w:lineRule="auto"/>
        <w:rPr>
          <w:sz w:val="20"/>
          <w:szCs w:val="20"/>
          <w:color w:val="auto"/>
        </w:rPr>
      </w:pPr>
      <w:r>
        <w:rPr>
          <w:rFonts w:ascii="Arial" w:cs="Arial" w:eastAsia="Arial" w:hAnsi="Arial"/>
          <w:sz w:val="16"/>
          <w:szCs w:val="16"/>
          <w:color w:val="auto"/>
        </w:rPr>
        <w:t>In preparing the financial statements, management is responsible for assessing the Company’s ability to continue as a going concern. Based on the financial reporting frameworks mentioned, management should prepare the financial statements using the going-concern basis of accounting unless management either intends to liquidate the Company or to cease operations or has no realistic alternative but to do so. Management should disclose in the financial statements any event and circumstances that may cast significant doubt on the Company’s ability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710565</wp:posOffset>
            </wp:positionV>
            <wp:extent cx="7157720" cy="425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440" w:right="41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color w:val="auto"/>
        </w:rPr>
        <w:t>Our responsibilities for the audit of the financial statements</w:t>
      </w:r>
    </w:p>
    <w:p>
      <w:pPr>
        <w:spacing w:after="0" w:line="348" w:lineRule="exact"/>
        <w:rPr>
          <w:sz w:val="20"/>
          <w:szCs w:val="20"/>
          <w:color w:val="auto"/>
        </w:rPr>
      </w:pPr>
    </w:p>
    <w:p>
      <w:pPr>
        <w:ind w:left="140"/>
        <w:spacing w:after="0" w:line="253" w:lineRule="auto"/>
        <w:rPr>
          <w:sz w:val="20"/>
          <w:szCs w:val="20"/>
          <w:color w:val="auto"/>
        </w:rPr>
      </w:pPr>
      <w:r>
        <w:rPr>
          <w:rFonts w:ascii="Arial" w:cs="Arial" w:eastAsia="Arial" w:hAnsi="Arial"/>
          <w:sz w:val="16"/>
          <w:szCs w:val="16"/>
          <w:color w:val="auto"/>
        </w:rPr>
        <w:t>Our responsibility is to plan and perform an audit engagement in a manner that allows us to obtain sufficient and appropriate audit evidence to provide a basis for our opinion. Our objectives are to obtain reasonable assurance about whether the financial statements as a whole are free from material misstatement, whether due to fraud or error and to issue an auditor’s report that includes our opinion. Reasonable assurance is a high but not absolute level of assurance, and is not a guarantee that an audit conducted in accordance with the Dutch Standards on Auditing will always detect a material misstatement when it exists. Misstatements may arise due to fraud or error. They are considered material if, individually or in the aggregate, they could reasonably be expected to influence the economic decisions of users taken on the basis of the financial statements.</w:t>
      </w:r>
    </w:p>
    <w:p>
      <w:pPr>
        <w:spacing w:after="0" w:line="141"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Materiality affects the nature, timing and extent of our audit procedures and the evaluation of the effect of identified misstatements on our opinion.</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 more detailed description of our responsibilities is set out in the appendix to our report.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Amsterdam, 30 May 2025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Accountants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 Voorthuijsen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1208405</wp:posOffset>
            </wp:positionV>
            <wp:extent cx="7157720" cy="425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080" w:top="1440" w:right="1399"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1060"/>
        <w:spacing w:after="0" w:line="286" w:lineRule="auto"/>
        <w:rPr>
          <w:sz w:val="20"/>
          <w:szCs w:val="20"/>
          <w:color w:val="auto"/>
        </w:rPr>
      </w:pPr>
      <w:r>
        <w:rPr>
          <w:rFonts w:ascii="Arial" w:cs="Arial" w:eastAsia="Arial" w:hAnsi="Arial"/>
          <w:sz w:val="32"/>
          <w:szCs w:val="32"/>
          <w:color w:val="auto"/>
        </w:rPr>
        <w:t>Appendix to our auditor’s report on the financial statements 2024 of Pharvaris N.V.</w:t>
      </w:r>
    </w:p>
    <w:p>
      <w:pPr>
        <w:spacing w:after="0" w:line="217" w:lineRule="exact"/>
        <w:rPr>
          <w:sz w:val="20"/>
          <w:szCs w:val="20"/>
          <w:color w:val="auto"/>
        </w:rPr>
      </w:pPr>
    </w:p>
    <w:p>
      <w:pPr>
        <w:ind w:left="660" w:right="980"/>
        <w:spacing w:after="0" w:line="286" w:lineRule="auto"/>
        <w:rPr>
          <w:sz w:val="20"/>
          <w:szCs w:val="20"/>
          <w:color w:val="auto"/>
        </w:rPr>
      </w:pPr>
      <w:r>
        <w:rPr>
          <w:rFonts w:ascii="Arial" w:cs="Arial" w:eastAsia="Arial" w:hAnsi="Arial"/>
          <w:sz w:val="16"/>
          <w:szCs w:val="16"/>
          <w:color w:val="auto"/>
        </w:rPr>
        <w:t>In addition to what is included in our auditor’s report, we have further set out in this appendix our responsibilities for the audit of the financial statements and explained what an audit involves.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32"/>
          <w:szCs w:val="32"/>
          <w:color w:val="auto"/>
        </w:rPr>
        <w:t>The auditor’s responsibilities for the audit of the financial statements</w:t>
      </w:r>
    </w:p>
    <w:p>
      <w:pPr>
        <w:spacing w:after="0" w:line="308" w:lineRule="exact"/>
        <w:rPr>
          <w:sz w:val="20"/>
          <w:szCs w:val="20"/>
          <w:color w:val="auto"/>
        </w:rPr>
      </w:pPr>
    </w:p>
    <w:p>
      <w:pPr>
        <w:ind w:left="660" w:right="1100"/>
        <w:spacing w:after="0" w:line="266" w:lineRule="auto"/>
        <w:rPr>
          <w:sz w:val="20"/>
          <w:szCs w:val="20"/>
          <w:color w:val="auto"/>
        </w:rPr>
      </w:pPr>
      <w:r>
        <w:rPr>
          <w:rFonts w:ascii="Arial" w:cs="Arial" w:eastAsia="Arial" w:hAnsi="Arial"/>
          <w:sz w:val="16"/>
          <w:szCs w:val="16"/>
          <w:color w:val="auto"/>
        </w:rPr>
        <w:t>We have exercised professional judgement and have maintained professional scepticism throughout the audit in accordance with Dutch Standards on Auditing, ethical requirements and independence requirements. Our audit consisted, among other things of the following:</w:t>
      </w:r>
    </w:p>
    <w:p>
      <w:pPr>
        <w:spacing w:after="0" w:line="63" w:lineRule="exact"/>
        <w:rPr>
          <w:sz w:val="20"/>
          <w:szCs w:val="20"/>
          <w:color w:val="auto"/>
        </w:rPr>
      </w:pPr>
    </w:p>
    <w:p>
      <w:pPr>
        <w:ind w:left="780" w:right="20" w:hanging="503"/>
        <w:spacing w:after="0" w:line="259" w:lineRule="auto"/>
        <w:tabs>
          <w:tab w:leader="none" w:pos="78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Identifying and assessing the risks of material misstatement of the financial statements, whether due to fraud or error, designing and performing audit procedures responsive to those risks, and obtaining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intentional override of internal control.</w:t>
      </w:r>
    </w:p>
    <w:p>
      <w:pPr>
        <w:spacing w:after="0" w:line="69" w:lineRule="exact"/>
        <w:rPr>
          <w:rFonts w:ascii="Times New Roman" w:cs="Times New Roman" w:eastAsia="Times New Roman" w:hAnsi="Times New Roman"/>
          <w:sz w:val="16"/>
          <w:szCs w:val="16"/>
          <w:color w:val="auto"/>
        </w:rPr>
      </w:pPr>
    </w:p>
    <w:p>
      <w:pPr>
        <w:ind w:left="780" w:right="1000" w:hanging="503"/>
        <w:spacing w:after="0" w:line="285" w:lineRule="auto"/>
        <w:tabs>
          <w:tab w:leader="none" w:pos="78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Obtaining an understanding of internal control relevant to the audit in order to design audit procedures that are appropriate in the circumstances, but not for the purpose of expressing an opinion on the effectiveness of the Company’s internal control.</w:t>
      </w:r>
    </w:p>
    <w:p>
      <w:pPr>
        <w:spacing w:after="0" w:line="48" w:lineRule="exact"/>
        <w:rPr>
          <w:rFonts w:ascii="Times New Roman" w:cs="Times New Roman" w:eastAsia="Times New Roman" w:hAnsi="Times New Roman"/>
          <w:sz w:val="16"/>
          <w:szCs w:val="16"/>
          <w:color w:val="auto"/>
        </w:rPr>
      </w:pPr>
    </w:p>
    <w:p>
      <w:pPr>
        <w:ind w:left="780" w:right="80" w:hanging="503"/>
        <w:spacing w:after="0" w:line="285" w:lineRule="auto"/>
        <w:tabs>
          <w:tab w:leader="none" w:pos="78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Evaluating the appropriateness of accounting policies used and the reasonableness of accounting estimates and related disclosures made by management.</w:t>
      </w:r>
    </w:p>
    <w:p>
      <w:pPr>
        <w:spacing w:after="0" w:line="48" w:lineRule="exact"/>
        <w:rPr>
          <w:rFonts w:ascii="Times New Roman" w:cs="Times New Roman" w:eastAsia="Times New Roman" w:hAnsi="Times New Roman"/>
          <w:sz w:val="16"/>
          <w:szCs w:val="16"/>
          <w:color w:val="auto"/>
        </w:rPr>
      </w:pPr>
    </w:p>
    <w:p>
      <w:pPr>
        <w:ind w:left="780" w:hanging="503"/>
        <w:spacing w:after="0" w:line="254" w:lineRule="auto"/>
        <w:tabs>
          <w:tab w:leader="none" w:pos="78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Concluding on the appropriateness of management’s use of the going-concern basis of accounting, and based on the audit evidence obtained, concluding whether a material uncertainty exists related to events and/or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and are made in the context of our opinion on the financial statements as a whole. However, future events or conditions may cause the Company to cease to continue as a going concern.</w:t>
      </w:r>
    </w:p>
    <w:p>
      <w:pPr>
        <w:spacing w:after="0" w:line="72" w:lineRule="exact"/>
        <w:rPr>
          <w:rFonts w:ascii="Times New Roman" w:cs="Times New Roman" w:eastAsia="Times New Roman" w:hAnsi="Times New Roman"/>
          <w:sz w:val="16"/>
          <w:szCs w:val="16"/>
          <w:color w:val="auto"/>
        </w:rPr>
      </w:pPr>
    </w:p>
    <w:p>
      <w:pPr>
        <w:ind w:left="780" w:right="280" w:hanging="503"/>
        <w:spacing w:after="0" w:line="285" w:lineRule="auto"/>
        <w:tabs>
          <w:tab w:leader="none" w:pos="78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Evaluating the overall presentation, structure and content of the financial statements, including the disclosures, and evaluating whether the financial statements represent the underlying transactions and events in a manner that achieves fair presentation.</w:t>
      </w:r>
    </w:p>
    <w:p>
      <w:pPr>
        <w:spacing w:after="0" w:line="7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communicate with management regarding, among other matters, the planned scope and timing of the audit and significant audit findings, including any significant deficiencies in internal control that we identify during our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703580</wp:posOffset>
            </wp:positionV>
            <wp:extent cx="7157720" cy="425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60" w:top="1440" w:right="35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FFFFFF"/>
        </w:rPr>
        <w:t>P</w:t>
      </w:r>
    </w:p>
    <w:p>
      <w:pPr>
        <w:spacing w:after="0" w:line="327" w:lineRule="exact"/>
        <w:rPr>
          <w:sz w:val="20"/>
          <w:szCs w:val="20"/>
          <w:color w:val="auto"/>
        </w:rPr>
      </w:pPr>
    </w:p>
    <w:p>
      <w:pPr>
        <w:ind w:left="640"/>
        <w:spacing w:after="0" w:line="266" w:lineRule="auto"/>
        <w:rPr>
          <w:sz w:val="20"/>
          <w:szCs w:val="20"/>
          <w:color w:val="auto"/>
        </w:rPr>
      </w:pPr>
      <w:r>
        <w:rPr>
          <w:rFonts w:ascii="Arial" w:cs="Arial" w:eastAsia="Arial" w:hAnsi="Arial"/>
          <w:sz w:val="16"/>
          <w:szCs w:val="16"/>
          <w:color w:val="auto"/>
        </w:rPr>
        <w:t>We provide management with a statement that we have complied with relevant ethical requirements regarding independence, and to communicate with them all relationships and other matters that may reasonably be thought to bear on our independence, and where applicable, related actions taken to eliminate threats or safeguards applied.</w:t>
      </w:r>
    </w:p>
    <w:p>
      <w:pPr>
        <w:spacing w:after="0" w:line="131" w:lineRule="exact"/>
        <w:rPr>
          <w:sz w:val="20"/>
          <w:szCs w:val="20"/>
          <w:color w:val="auto"/>
        </w:rPr>
      </w:pPr>
    </w:p>
    <w:p>
      <w:pPr>
        <w:ind w:left="640" w:right="100"/>
        <w:spacing w:after="0" w:line="256" w:lineRule="auto"/>
        <w:rPr>
          <w:sz w:val="20"/>
          <w:szCs w:val="20"/>
          <w:color w:val="auto"/>
        </w:rPr>
      </w:pPr>
      <w:r>
        <w:rPr>
          <w:rFonts w:ascii="Arial" w:cs="Arial" w:eastAsia="Arial" w:hAnsi="Arial"/>
          <w:sz w:val="16"/>
          <w:szCs w:val="16"/>
          <w:color w:val="auto"/>
        </w:rPr>
        <w:t>From the matters communicated with the management,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710565</wp:posOffset>
            </wp:positionV>
            <wp:extent cx="7157720" cy="425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580" w:top="1440" w:right="1379" w:bottom="1440" w:gutter="0" w:footer="0" w:header="0"/>
        </w:sectPr>
      </w:pPr>
    </w:p>
    <w:bookmarkStart w:id="173" w:name="page174"/>
    <w:bookmarkEnd w:id="1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1."/>
      <w:numFmt w:val="decimal"/>
      <w:start w:val="3"/>
    </w:lvl>
  </w:abstractNum>
  <w:abstractNum w:abstractNumId="2">
    <w:nsid w:val="649BB77C"/>
    <w:multiLevelType w:val="hybridMultilevel"/>
    <w:lvl w:ilvl="0">
      <w:lvlJc w:val="left"/>
      <w:lvlText w:val="%1."/>
      <w:numFmt w:val="decimal"/>
      <w:start w:val="4"/>
    </w:lvl>
  </w:abstractNum>
  <w:abstractNum w:abstractNumId="3">
    <w:nsid w:val="275AC794"/>
    <w:multiLevelType w:val="hybridMultilevel"/>
    <w:lvl w:ilvl="0">
      <w:lvlJc w:val="left"/>
      <w:lvlText w:val="%1."/>
      <w:numFmt w:val="decimal"/>
      <w:start w:val="5"/>
    </w:lvl>
  </w:abstractNum>
  <w:abstractNum w:abstractNumId="4">
    <w:nsid w:val="39386575"/>
    <w:multiLevelType w:val="hybridMultilevel"/>
    <w:lvl w:ilvl="0">
      <w:lvlJc w:val="left"/>
      <w:lvlText w:val="%1."/>
      <w:numFmt w:val="decimal"/>
      <w:start w:val="6"/>
    </w:lvl>
  </w:abstractNum>
  <w:abstractNum w:abstractNumId="5">
    <w:nsid w:val="1CF10FD8"/>
    <w:multiLevelType w:val="hybridMultilevel"/>
    <w:lvl w:ilvl="0">
      <w:lvlJc w:val="left"/>
      <w:lvlText w:val="%1."/>
      <w:numFmt w:val="decimal"/>
      <w:start w:val="7"/>
    </w:lvl>
  </w:abstractNum>
  <w:abstractNum w:abstractNumId="6">
    <w:nsid w:val="180115BE"/>
    <w:multiLevelType w:val="hybridMultilevel"/>
    <w:lvl w:ilvl="0">
      <w:lvlJc w:val="left"/>
      <w:lvlText w:val="%1."/>
      <w:numFmt w:val="decimal"/>
      <w:start w:val="8"/>
    </w:lvl>
  </w:abstractNum>
  <w:abstractNum w:abstractNumId="7">
    <w:nsid w:val="235BA861"/>
    <w:multiLevelType w:val="hybridMultilevel"/>
    <w:lvl w:ilvl="0">
      <w:lvlJc w:val="left"/>
      <w:lvlText w:val="%1."/>
      <w:numFmt w:val="decimal"/>
      <w:start w:val="9"/>
    </w:lvl>
  </w:abstractNum>
  <w:abstractNum w:abstractNumId="8">
    <w:nsid w:val="47398C89"/>
    <w:multiLevelType w:val="hybridMultilevel"/>
    <w:lvl w:ilvl="0">
      <w:lvlJc w:val="left"/>
      <w:lvlText w:val="%1."/>
      <w:numFmt w:val="decimal"/>
      <w:start w:val="1"/>
    </w:lvl>
    <w:lvl w:ilvl="1">
      <w:lvlJc w:val="left"/>
      <w:lvlText w:val="%2."/>
      <w:numFmt w:val="lowerLetter"/>
      <w:start w:val="1"/>
    </w:lvl>
  </w:abstractNum>
  <w:abstractNum w:abstractNumId="9">
    <w:nsid w:val="354FE9F9"/>
    <w:multiLevelType w:val="hybridMultilevel"/>
    <w:lvl w:ilvl="0">
      <w:lvlJc w:val="left"/>
      <w:lvlText w:val="%1."/>
      <w:numFmt w:val="decimal"/>
      <w:start w:val="4"/>
    </w:lvl>
  </w:abstractNum>
  <w:abstractNum w:abstractNumId="10">
    <w:nsid w:val="15B5AF5C"/>
    <w:multiLevelType w:val="hybridMultilevel"/>
    <w:lvl w:ilvl="0">
      <w:lvlJc w:val="left"/>
      <w:lvlText w:val="(%1)"/>
      <w:numFmt w:val="lowerRoman"/>
      <w:start w:val="1"/>
    </w:lvl>
  </w:abstractNum>
  <w:abstractNum w:abstractNumId="11">
    <w:nsid w:val="741226BB"/>
    <w:multiLevelType w:val="hybridMultilevel"/>
    <w:lvl w:ilvl="0">
      <w:lvlJc w:val="left"/>
      <w:lvlText w:val="9"/>
      <w:numFmt w:val="bullet"/>
      <w:start w:val="1"/>
    </w:lvl>
  </w:abstractNum>
  <w:abstractNum w:abstractNumId="12">
    <w:nsid w:val="D34B6A8"/>
    <w:multiLevelType w:val="hybridMultilevel"/>
    <w:lvl w:ilvl="0">
      <w:lvlJc w:val="left"/>
      <w:lvlText w:val="(%1)"/>
      <w:numFmt w:val="lowerRoman"/>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1)"/>
      <w:numFmt w:val="decimal"/>
      <w:start w:val="3"/>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1."/>
      <w:numFmt w:val="upperLetter"/>
      <w:start w:val="2"/>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1."/>
      <w:numFmt w:val="upperLetter"/>
      <w:start w:val="3"/>
    </w:lvl>
  </w:abstractNum>
  <w:abstractNum w:abstractNumId="42">
    <w:nsid w:val="51D9C564"/>
    <w:multiLevelType w:val="hybridMultilevel"/>
    <w:lvl w:ilvl="0">
      <w:lvlJc w:val="left"/>
      <w:lvlText w:val="%1."/>
      <w:numFmt w:val="upperLetter"/>
      <w:start w:val="4"/>
    </w:lvl>
  </w:abstractNum>
  <w:abstractNum w:abstractNumId="43">
    <w:nsid w:val="613EFDC5"/>
    <w:multiLevelType w:val="hybridMultilevel"/>
    <w:lvl w:ilvl="0">
      <w:lvlJc w:val="left"/>
      <w:lvlText w:val="%1."/>
      <w:numFmt w:val="upperLetter"/>
      <w:start w:val="5"/>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1)"/>
      <w:numFmt w:val="lowerRoman"/>
      <w:start w:val="4"/>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1"/>
      <w:numFmt w:val="decimal"/>
      <w:start w:val="1"/>
    </w:lvl>
    <w:lvl w:ilvl="1">
      <w:lvlJc w:val="left"/>
      <w:lvlText w:val="%2)"/>
      <w:numFmt w:val="lowerLetter"/>
      <w:start w:val="1"/>
    </w:lvl>
  </w:abstractNum>
  <w:abstractNum w:abstractNumId="72">
    <w:nsid w:val="2DF6D648"/>
    <w:multiLevelType w:val="hybridMultilevel"/>
    <w:lvl w:ilvl="0">
      <w:lvlJc w:val="left"/>
      <w:lvlText w:val="%1."/>
      <w:numFmt w:val="decimal"/>
      <w:start w:val="5"/>
    </w:lvl>
    <w:lvl w:ilvl="1">
      <w:lvlJc w:val="left"/>
      <w:lvlText w:val="%2"/>
      <w:numFmt w:val="lowerLetter"/>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
      <w:numFmt w:val="bullet"/>
      <w:start w:val="1"/>
    </w:lvl>
    <w:lvl w:ilvl="1">
      <w:lvlJc w:val="left"/>
      <w:lvlText w:val="▪"/>
      <w:numFmt w:val="bullet"/>
      <w:start w:val="1"/>
    </w:lvl>
  </w:abstractNum>
  <w:abstractNum w:abstractNumId="75">
    <w:nsid w:val="39EE015C"/>
    <w:multiLevelType w:val="hybridMultilevel"/>
    <w:lvl w:ilvl="0">
      <w:lvlJc w:val="left"/>
      <w:lvlText w:val="%1)"/>
      <w:numFmt w:val="lowerLetter"/>
      <w:start w:val="1"/>
    </w:lvl>
  </w:abstractNum>
  <w:abstractNum w:abstractNumId="76">
    <w:nsid w:val="57FC4FBB"/>
    <w:multiLevelType w:val="hybridMultilevel"/>
    <w:lvl w:ilvl="0">
      <w:lvlJc w:val="left"/>
      <w:lvlText w:val="%1)"/>
      <w:numFmt w:val="lowerLetter"/>
      <w:start w:val="1"/>
    </w:lvl>
  </w:abstractNum>
  <w:abstractNum w:abstractNumId="77">
    <w:nsid w:val="CC1016F"/>
    <w:multiLevelType w:val="hybridMultilevel"/>
    <w:lvl w:ilvl="0">
      <w:lvlJc w:val="left"/>
      <w:lvlText w:val="%1)"/>
      <w:numFmt w:val="lowerLetter"/>
      <w:start w:val="5"/>
    </w:lvl>
  </w:abstractNum>
  <w:abstractNum w:abstractNumId="78">
    <w:nsid w:val="43F18422"/>
    <w:multiLevelType w:val="hybridMultilevel"/>
    <w:lvl w:ilvl="0">
      <w:lvlJc w:val="left"/>
      <w:lvlText w:val="%1)"/>
      <w:numFmt w:val="lowerLetter"/>
      <w:start w:val="22"/>
    </w:lvl>
  </w:abstractNum>
  <w:abstractNum w:abstractNumId="79">
    <w:nsid w:val="60EF0119"/>
    <w:multiLevelType w:val="hybridMultilevel"/>
    <w:lvl w:ilvl="0">
      <w:lvlJc w:val="left"/>
      <w:lvlText w:val="%1)"/>
      <w:numFmt w:val="lowerLetter"/>
      <w:start w:val="1"/>
    </w:lvl>
  </w:abstractNum>
  <w:abstractNum w:abstractNumId="80">
    <w:nsid w:val="26F324BA"/>
    <w:multiLevelType w:val="hybridMultilevel"/>
    <w:lvl w:ilvl="0">
      <w:lvlJc w:val="left"/>
      <w:lvlText w:val="%1)"/>
      <w:numFmt w:val="lowerLetter"/>
      <w:start w:val="1"/>
    </w:lvl>
  </w:abstractNum>
  <w:abstractNum w:abstractNumId="81">
    <w:nsid w:val="7F01579B"/>
    <w:multiLevelType w:val="hybridMultilevel"/>
    <w:lvl w:ilvl="0">
      <w:lvlJc w:val="left"/>
      <w:lvlText w:val="%1)"/>
      <w:numFmt w:val="lowerLetter"/>
      <w:start w:val="5"/>
    </w:lvl>
  </w:abstractNum>
  <w:abstractNum w:abstractNumId="82">
    <w:nsid w:val="49DA307D"/>
    <w:multiLevelType w:val="hybridMultilevel"/>
    <w:lvl w:ilvl="0">
      <w:lvlJc w:val="left"/>
      <w:lvlText w:val="•"/>
      <w:numFmt w:val="bullet"/>
      <w:start w:val="1"/>
    </w:lvl>
    <w:lvl w:ilvl="1">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1."/>
      <w:numFmt w:val="lowerRoman"/>
      <w:start w:val="1"/>
    </w:lvl>
  </w:abstractNum>
  <w:abstractNum w:abstractNumId="85">
    <w:nsid w:val="50801EE1"/>
    <w:multiLevelType w:val="hybridMultilevel"/>
    <w:lvl w:ilvl="0">
      <w:lvlJc w:val="left"/>
      <w:lvlText w:val="%1."/>
      <w:numFmt w:val="lowerRoman"/>
      <w:start w:val="4"/>
    </w:lvl>
  </w:abstractNum>
  <w:abstractNum w:abstractNumId="86">
    <w:nsid w:val="488AC1A"/>
    <w:multiLevelType w:val="hybridMultilevel"/>
    <w:lvl w:ilvl="0">
      <w:lvlJc w:val="left"/>
      <w:lvlText w:val="•"/>
      <w:numFmt w:val="bullet"/>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1."/>
      <w:numFmt w:val="decimal"/>
      <w:start w:val="2"/>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1."/>
      <w:numFmt w:val="decimal"/>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1)"/>
      <w:numFmt w:val="lowerRoman"/>
      <w:start w:val="1"/>
    </w:lvl>
  </w:abstractNum>
  <w:abstractNum w:abstractNumId="104">
    <w:nsid w:val="5092CA79"/>
    <w:multiLevelType w:val="hybridMultilevel"/>
    <w:lvl w:ilvl="0">
      <w:lvlJc w:val="left"/>
      <w:lvlText w:val="•"/>
      <w:numFmt w:val="bullet"/>
      <w:start w:val="1"/>
    </w:lvl>
  </w:abstractNum>
  <w:abstractNum w:abstractNumId="105">
    <w:nsid w:val="1D545C4D"/>
    <w:multiLevelType w:val="hybridMultilevel"/>
    <w:lvl w:ilvl="0">
      <w:lvlJc w:val="left"/>
      <w:lvlText w:val="•"/>
      <w:numFmt w:val="bullet"/>
      <w:start w:val="1"/>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2025-06-10T05:56:48Z</dcterms:created>
  <dcterms:modified xsi:type="dcterms:W3CDTF">2025-06-10T05:56:48Z</dcterms:modified>
</cp:coreProperties>
</file>