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141605</wp:posOffset>
            </wp:positionV>
            <wp:extent cx="332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173355</wp:posOffset>
            </wp:positionV>
            <wp:extent cx="33261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156845</wp:posOffset>
            </wp:positionV>
            <wp:extent cx="3326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Pharvaris N.V.</w:t>
      </w:r>
    </w:p>
    <w:p>
      <w:pPr>
        <w:spacing w:after="0" w:line="2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163195</wp:posOffset>
            </wp:positionV>
            <wp:extent cx="33261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ind w:left="5080"/>
        <w:spacing w:after="0"/>
        <w:rPr>
          <w:sz w:val="20"/>
          <w:szCs w:val="20"/>
          <w:color w:val="auto"/>
        </w:rPr>
      </w:pPr>
      <w:r>
        <w:rPr>
          <w:rFonts w:ascii="Arial" w:cs="Arial" w:eastAsia="Arial" w:hAnsi="Arial"/>
          <w:sz w:val="14"/>
          <w:szCs w:val="14"/>
          <w:b w:val="1"/>
          <w:bCs w:val="1"/>
          <w:color w:val="auto"/>
        </w:rPr>
        <w:t>2333 BK Leiden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The Netherlands</w:t>
      </w: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6" w:lineRule="exact"/>
        <w:rPr>
          <w:sz w:val="24"/>
          <w:szCs w:val="24"/>
          <w:color w:val="auto"/>
        </w:rPr>
      </w:pPr>
    </w:p>
    <w:p>
      <w:pPr>
        <w:ind w:right="520"/>
        <w:spacing w:after="0" w:line="246" w:lineRule="auto"/>
        <w:rPr>
          <w:sz w:val="20"/>
          <w:szCs w:val="20"/>
          <w:color w:val="auto"/>
        </w:rPr>
      </w:pPr>
      <w:r>
        <w:rPr>
          <w:rFonts w:ascii="Times New Roman" w:cs="Times New Roman" w:eastAsia="Times New Roman" w:hAnsi="Times New Roman"/>
          <w:sz w:val="18"/>
          <w:szCs w:val="18"/>
          <w:color w:val="auto"/>
        </w:rPr>
        <w:t>Note: Regulation S-T Rule 101(b)(1) only permits the submission in paper of a Form 6-K if submitted solely to provide an attached annual report to security holders.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1323975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 April 2, 2026, Pharvaris N.V. (the “Company”) reported its financial results for the fourth quarter and fiscal year ended December 31, 2025. A copy of the press release is attached hereto as Exhibit 99.1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1391285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4"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112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560" w:type="dxa"/>
            <w:vAlign w:val="bottom"/>
          </w:tcPr>
          <w:p>
            <w:pPr>
              <w:spacing w:after="0"/>
              <w:rPr>
                <w:sz w:val="21"/>
                <w:szCs w:val="21"/>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b w:val="1"/>
                <w:bCs w:val="1"/>
                <w:color w:val="auto"/>
              </w:rPr>
              <w:t>PHARVARIS N.V.</w:t>
            </w:r>
          </w:p>
        </w:tc>
      </w:tr>
      <w:tr>
        <w:trPr>
          <w:trHeight w:val="387"/>
        </w:trPr>
        <w:tc>
          <w:tcPr>
            <w:tcW w:w="3560" w:type="dxa"/>
            <w:vAlign w:val="bottom"/>
          </w:tcPr>
          <w:p>
            <w:pPr>
              <w:spacing w:after="0"/>
              <w:rPr>
                <w:sz w:val="20"/>
                <w:szCs w:val="20"/>
                <w:color w:val="auto"/>
              </w:rPr>
            </w:pPr>
            <w:r>
              <w:rPr>
                <w:rFonts w:ascii="Arial" w:cs="Arial" w:eastAsia="Arial" w:hAnsi="Arial"/>
                <w:sz w:val="18"/>
                <w:szCs w:val="18"/>
                <w:color w:val="auto"/>
              </w:rPr>
              <w:t>Date: April 2, 2026</w:t>
            </w:r>
          </w:p>
        </w:tc>
        <w:tc>
          <w:tcPr>
            <w:tcW w:w="2800" w:type="dxa"/>
            <w:vAlign w:val="bottom"/>
          </w:tcPr>
          <w:p>
            <w:pPr>
              <w:ind w:left="208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184"/>
        </w:trPr>
        <w:tc>
          <w:tcPr>
            <w:tcW w:w="3560" w:type="dxa"/>
            <w:vAlign w:val="bottom"/>
          </w:tcPr>
          <w:p>
            <w:pPr>
              <w:spacing w:after="0"/>
              <w:rPr>
                <w:sz w:val="15"/>
                <w:szCs w:val="15"/>
                <w:color w:val="auto"/>
              </w:rPr>
            </w:pPr>
          </w:p>
        </w:tc>
        <w:tc>
          <w:tcPr>
            <w:tcW w:w="2800" w:type="dxa"/>
            <w:vAlign w:val="bottom"/>
          </w:tcPr>
          <w:p>
            <w:pPr>
              <w:ind w:left="2080"/>
              <w:spacing w:after="0" w:line="183"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83" w:lineRule="exact"/>
              <w:rPr>
                <w:sz w:val="20"/>
                <w:szCs w:val="20"/>
                <w:color w:val="auto"/>
              </w:rPr>
            </w:pPr>
            <w:r>
              <w:rPr>
                <w:rFonts w:ascii="Arial" w:cs="Arial" w:eastAsia="Arial" w:hAnsi="Arial"/>
                <w:sz w:val="18"/>
                <w:szCs w:val="18"/>
                <w:color w:val="auto"/>
              </w:rPr>
              <w:t>Berndt Modig</w:t>
            </w:r>
          </w:p>
        </w:tc>
      </w:tr>
      <w:tr>
        <w:trPr>
          <w:trHeight w:val="239"/>
        </w:trPr>
        <w:tc>
          <w:tcPr>
            <w:tcW w:w="3560" w:type="dxa"/>
            <w:vAlign w:val="bottom"/>
          </w:tcPr>
          <w:p>
            <w:pPr>
              <w:spacing w:after="0"/>
              <w:rPr>
                <w:sz w:val="20"/>
                <w:szCs w:val="20"/>
                <w:color w:val="auto"/>
              </w:rPr>
            </w:pPr>
          </w:p>
        </w:tc>
        <w:tc>
          <w:tcPr>
            <w:tcW w:w="2800" w:type="dxa"/>
            <w:vAlign w:val="bottom"/>
          </w:tcPr>
          <w:p>
            <w:pPr>
              <w:ind w:left="208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1609"/>
        </w:trPr>
        <w:tc>
          <w:tcPr>
            <w:tcW w:w="35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5077460</wp:posOffset>
            </wp:positionH>
            <wp:positionV relativeFrom="page">
              <wp:posOffset>500380</wp:posOffset>
            </wp:positionV>
            <wp:extent cx="2263140" cy="334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263140" cy="334645"/>
                    </a:xfrm>
                    <a:prstGeom prst="rect">
                      <a:avLst/>
                    </a:prstGeom>
                    <a:noFill/>
                  </pic:spPr>
                </pic:pic>
              </a:graphicData>
            </a:graphic>
          </wp:anchor>
        </w:drawing>
      </w:r>
    </w:p>
    <w:p>
      <w:pPr>
        <w:ind w:left="10360"/>
        <w:spacing w:after="0"/>
        <w:rPr>
          <w:sz w:val="20"/>
          <w:szCs w:val="20"/>
          <w:color w:val="auto"/>
        </w:rPr>
      </w:pPr>
      <w:r>
        <w:rPr>
          <w:rFonts w:ascii="Times New Roman" w:cs="Times New Roman" w:eastAsia="Times New Roman" w:hAnsi="Times New Roman"/>
          <w:sz w:val="17"/>
          <w:szCs w:val="17"/>
          <w:color w:val="auto"/>
        </w:rPr>
        <w:t>Exhibit 99.1</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Pharvaris Reports Fourth Quarter and Full Year 2025 Financial Results and Provides Business Update</w:t>
      </w:r>
    </w:p>
    <w:p>
      <w:pPr>
        <w:spacing w:after="0" w:line="95" w:lineRule="exact"/>
        <w:rPr>
          <w:sz w:val="20"/>
          <w:szCs w:val="20"/>
          <w:color w:val="auto"/>
        </w:rPr>
      </w:pPr>
    </w:p>
    <w:p>
      <w:pPr>
        <w:ind w:left="760" w:right="100" w:hanging="378"/>
        <w:spacing w:after="0" w:line="26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Enrollment completed in CHAPTER-3, a pivotal study of deucrictibant XR for prophylactic treatment of HAE attacks; topline data anticipated in 3Q2026</w:t>
      </w:r>
    </w:p>
    <w:p>
      <w:pPr>
        <w:spacing w:after="0" w:line="5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Timeline for submission of NDA dossier of deucrictibant IR for on-demand treatment of HAE attacks remains on-track in 1H2026</w:t>
      </w:r>
    </w:p>
    <w:p>
      <w:pPr>
        <w:spacing w:after="0" w:line="107" w:lineRule="exact"/>
        <w:rPr>
          <w:rFonts w:ascii="Times New Roman" w:cs="Times New Roman" w:eastAsia="Times New Roman" w:hAnsi="Times New Roman"/>
          <w:sz w:val="20"/>
          <w:szCs w:val="20"/>
          <w:color w:val="auto"/>
        </w:rPr>
      </w:pPr>
    </w:p>
    <w:p>
      <w:pPr>
        <w:ind w:left="760" w:right="160" w:hanging="378"/>
        <w:spacing w:after="0" w:line="26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Enrollment ongoing in CREAATE, a pivotal study of deucrictibant for the prophylactic and on-demand treatment of AAE-C1INH attacks</w:t>
      </w:r>
    </w:p>
    <w:p>
      <w:pPr>
        <w:spacing w:after="0" w:line="5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cash equivalents of €292 million as of December 31, 2025</w:t>
      </w:r>
    </w:p>
    <w:p>
      <w:pPr>
        <w:spacing w:after="0" w:line="22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 xml:space="preserve">ZUG, Switzerland, April 2, 2026 – </w:t>
      </w:r>
      <w:r>
        <w:rPr>
          <w:rFonts w:ascii="Times New Roman" w:cs="Times New Roman" w:eastAsia="Times New Roman" w:hAnsi="Times New Roman"/>
          <w:sz w:val="20"/>
          <w:szCs w:val="20"/>
          <w:u w:val="single" w:color="auto"/>
          <w:color w:val="auto"/>
        </w:rPr>
        <w:t>Pharvaris</w:t>
      </w:r>
      <w:r>
        <w:rPr>
          <w:rFonts w:ascii="Times New Roman" w:cs="Times New Roman" w:eastAsia="Times New Roman" w:hAnsi="Times New Roman"/>
          <w:sz w:val="20"/>
          <w:szCs w:val="20"/>
          <w:color w:val="auto"/>
        </w:rPr>
        <w:t xml:space="preserve"> (Nasdaq: PHVS), a late-stage biopharmaceutical company developing novel, oral bradykinin B2 receptor antagonists to help address unmet needs of those living with bradykinin-mediated diseases such as hereditary angioedema (HAE) and acquired angioedema due to C1 inhibitor deficiency (AAE-C1INH), today announced financial results for the fourth quarter and full year ended December 31, 2025, and provided a business update.</w:t>
      </w:r>
    </w:p>
    <w:p>
      <w:pPr>
        <w:spacing w:after="0" w:line="19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“The positive readout of our first pivotal Phase 3 study, RAPIDe-3, at the end of 2025 was a crucial moment for Pharvaris. With the momentum of this important milestone, we continue to execute in 2026 through the anticipated NDA submission of deucrictibant IR for the on-demand treatment of HAE attacks, topline data readout of CHAPTER-3, and enrollment in CREAATE,” said Berndt Modig, Chief Executive Officer of Pharvaris. “Across all our programs, Pharvaris remains committed to helping to improve standard of care for those living with bradykinin-mediated angioedema. In addition to potentially bringing deucrictibant to those with HAE type 1 and type 2, we hope to also address unmet needs of those with HAE with normal C1 inhibitor and acquired angioedema with C1 inhibitor deficiency. Our team will continue to operate in a financially disciplined manner through these key inflection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1156970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Recent Business Updates</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Development Pipeline</w:t>
      </w:r>
    </w:p>
    <w:p>
      <w:pPr>
        <w:spacing w:after="0" w:line="82" w:lineRule="exact"/>
        <w:rPr>
          <w:sz w:val="20"/>
          <w:szCs w:val="20"/>
          <w:color w:val="auto"/>
        </w:rPr>
      </w:pPr>
    </w:p>
    <w:p>
      <w:pPr>
        <w:ind w:left="1020" w:right="140" w:hanging="503"/>
        <w:spacing w:after="0" w:line="246"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Topline data from CHAPTER-3 (NCT06669754) anticipated 3Q2026. </w:t>
      </w:r>
      <w:r>
        <w:rPr>
          <w:rFonts w:ascii="Times New Roman" w:cs="Times New Roman" w:eastAsia="Times New Roman" w:hAnsi="Times New Roman"/>
          <w:sz w:val="20"/>
          <w:szCs w:val="20"/>
          <w:color w:val="auto"/>
        </w:rPr>
        <w:t>Target enrollment was achieved in CHAPTER-3,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randomized, double-blind, placebo-controlled Phase 3 study of orally administered deucrictibant extended-release (XR) tablet for the prophylaxis against angioedema attacks in adults and adolescents (12 years and older) with HAE. The study enrolled approximately 81 participants randomized in a 2:1 ratio to receive deucrictibant XR (40 mg), which is the intended commercial formulation, or placebo, once daily for 24 weeks. Pharvaris anticipates announcing topline data of CHAPTER-3 in the third quarter of 2026.</w:t>
      </w:r>
    </w:p>
    <w:p>
      <w:pPr>
        <w:spacing w:after="0" w:line="70" w:lineRule="exact"/>
        <w:rPr>
          <w:rFonts w:ascii="Times New Roman" w:cs="Times New Roman" w:eastAsia="Times New Roman" w:hAnsi="Times New Roman"/>
          <w:sz w:val="20"/>
          <w:szCs w:val="20"/>
          <w:color w:val="auto"/>
        </w:rPr>
      </w:pPr>
    </w:p>
    <w:p>
      <w:pPr>
        <w:ind w:left="1020" w:right="100" w:hanging="503"/>
        <w:spacing w:after="0" w:line="250"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Enrollment in CHAPTER-4 (</w:t>
      </w:r>
      <w:r>
        <w:rPr>
          <w:rFonts w:ascii="Times New Roman" w:cs="Times New Roman" w:eastAsia="Times New Roman" w:hAnsi="Times New Roman"/>
          <w:sz w:val="20"/>
          <w:szCs w:val="20"/>
          <w:b w:val="1"/>
          <w:bCs w:val="1"/>
          <w:u w:val="single" w:color="auto"/>
          <w:color w:val="auto"/>
        </w:rPr>
        <w:t>NCT06679881</w:t>
      </w:r>
      <w:r>
        <w:rPr>
          <w:rFonts w:ascii="Times New Roman" w:cs="Times New Roman" w:eastAsia="Times New Roman" w:hAnsi="Times New Roman"/>
          <w:sz w:val="20"/>
          <w:szCs w:val="20"/>
          <w:b w:val="1"/>
          <w:bCs w:val="1"/>
          <w:color w:val="auto"/>
        </w:rPr>
        <w:t xml:space="preserve">) progressing as planned. </w:t>
      </w:r>
      <w:r>
        <w:rPr>
          <w:rFonts w:ascii="Times New Roman" w:cs="Times New Roman" w:eastAsia="Times New Roman" w:hAnsi="Times New Roman"/>
          <w:sz w:val="20"/>
          <w:szCs w:val="20"/>
          <w:color w:val="auto"/>
        </w:rPr>
        <w:t>CHAPTER-4 is a long-term, open-label extension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study of orally administered deucrictibant XR tablet (40 mg/day) for the prophylactic treatment of HAE attacks. The goal of the study is to evaluate the long-term safety and effectiveness of deucrictibant XR tablet in the prophylactic treatment of HAE attacks.</w:t>
      </w:r>
    </w:p>
    <w:p>
      <w:pPr>
        <w:spacing w:after="0" w:line="67" w:lineRule="exact"/>
        <w:rPr>
          <w:rFonts w:ascii="Times New Roman" w:cs="Times New Roman" w:eastAsia="Times New Roman" w:hAnsi="Times New Roman"/>
          <w:sz w:val="20"/>
          <w:szCs w:val="20"/>
          <w:color w:val="auto"/>
        </w:rPr>
      </w:pPr>
    </w:p>
    <w:p>
      <w:pPr>
        <w:ind w:left="1020" w:right="34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Submission of U.S. New Drug Application (NDA) of deucrictibant IR for the on-demand treatment of HAE attacks anticipated 1H2026. </w:t>
      </w:r>
      <w:r>
        <w:rPr>
          <w:rFonts w:ascii="Times New Roman" w:cs="Times New Roman" w:eastAsia="Times New Roman" w:hAnsi="Times New Roman"/>
          <w:sz w:val="20"/>
          <w:szCs w:val="20"/>
          <w:color w:val="auto"/>
        </w:rPr>
        <w:t>Data from RAPIDe-3 and RAPIDe-2 will serve as the basis for the NDA of deucrictibant, which is on-track to be submitted in the first half of 2026.</w:t>
      </w:r>
    </w:p>
    <w:p>
      <w:pPr>
        <w:spacing w:after="0" w:line="60" w:lineRule="exact"/>
        <w:rPr>
          <w:rFonts w:ascii="Times New Roman" w:cs="Times New Roman" w:eastAsia="Times New Roman" w:hAnsi="Times New Roman"/>
          <w:sz w:val="20"/>
          <w:szCs w:val="20"/>
          <w:color w:val="auto"/>
        </w:rPr>
      </w:pPr>
    </w:p>
    <w:p>
      <w:pPr>
        <w:ind w:left="1020" w:hanging="503"/>
        <w:spacing w:after="0" w:line="257" w:lineRule="auto"/>
        <w:tabs>
          <w:tab w:leader="none" w:pos="102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Enrollment in CREAATE (</w:t>
      </w:r>
      <w:r>
        <w:rPr>
          <w:rFonts w:ascii="Times New Roman" w:cs="Times New Roman" w:eastAsia="Times New Roman" w:hAnsi="Times New Roman"/>
          <w:sz w:val="19"/>
          <w:szCs w:val="19"/>
          <w:b w:val="1"/>
          <w:bCs w:val="1"/>
          <w:u w:val="single" w:color="auto"/>
          <w:color w:val="467886"/>
        </w:rPr>
        <w:t>NCT07266805</w:t>
      </w:r>
      <w:r>
        <w:rPr>
          <w:rFonts w:ascii="Times New Roman" w:cs="Times New Roman" w:eastAsia="Times New Roman" w:hAnsi="Times New Roman"/>
          <w:sz w:val="19"/>
          <w:szCs w:val="19"/>
          <w:b w:val="1"/>
          <w:bCs w:val="1"/>
          <w:color w:val="auto"/>
        </w:rPr>
        <w:t xml:space="preserve">) progressing as planned. </w:t>
      </w:r>
      <w:r>
        <w:rPr>
          <w:rFonts w:ascii="Times New Roman" w:cs="Times New Roman" w:eastAsia="Times New Roman" w:hAnsi="Times New Roman"/>
          <w:sz w:val="19"/>
          <w:szCs w:val="19"/>
          <w:color w:val="auto"/>
        </w:rPr>
        <w:t>CREAATE is a global, pivotal Phase 3 study evaluating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orally administered deucrictibant for the prophylactic and on-demand treatment of AAE-C1INH attacks. In part 1 of CREAATE, participants receive either deucrictibant XR (40 mg) or placebo once daily for the prophylactic treatment of AAE-C1INH attacks. In part 2 of CREAATE, participants treat two attacks in a crossover fashion, one attack with deucrictibant IR (20 mg) and one with placebo according to a randomized treatment sequence, for the on-demand treatment of AAE-C1INH attacks. Part</w:t>
      </w:r>
    </w:p>
    <w:p>
      <w:pPr>
        <w:spacing w:after="0" w:line="3" w:lineRule="exact"/>
        <w:rPr>
          <w:rFonts w:ascii="Times New Roman" w:cs="Times New Roman" w:eastAsia="Times New Roman" w:hAnsi="Times New Roman"/>
          <w:sz w:val="19"/>
          <w:szCs w:val="19"/>
          <w:color w:val="auto"/>
        </w:rPr>
      </w:pPr>
    </w:p>
    <w:p>
      <w:pPr>
        <w:ind w:left="1020" w:right="2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3 of CREAATE is the open-label extension portion of the study assessing the long-term safety and effectiveness of deucrictibant IR (20 mg) for on-demand treatment of AAE-C1INH attacks.</w:t>
      </w:r>
    </w:p>
    <w:p>
      <w:pPr>
        <w:spacing w:after="0" w:line="69" w:lineRule="exact"/>
        <w:rPr>
          <w:rFonts w:ascii="Times New Roman" w:cs="Times New Roman" w:eastAsia="Times New Roman" w:hAnsi="Times New Roman"/>
          <w:sz w:val="19"/>
          <w:szCs w:val="19"/>
          <w:color w:val="auto"/>
        </w:rPr>
      </w:pPr>
    </w:p>
    <w:p>
      <w:pPr>
        <w:ind w:left="1020" w:right="40" w:hanging="503"/>
        <w:spacing w:after="0" w:line="246"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Data from RAPIDe-3 support the potentially differentiated profile of deucrictibant for the on-demand treatment of HAE attacks. </w:t>
      </w:r>
      <w:r>
        <w:rPr>
          <w:rFonts w:ascii="Times New Roman" w:cs="Times New Roman" w:eastAsia="Times New Roman" w:hAnsi="Times New Roman"/>
          <w:sz w:val="20"/>
          <w:szCs w:val="20"/>
          <w:color w:val="auto"/>
        </w:rPr>
        <w:t>Data from the pivotal global Phase 3 study (</w:t>
      </w:r>
      <w:r>
        <w:rPr>
          <w:rFonts w:ascii="Times New Roman" w:cs="Times New Roman" w:eastAsia="Times New Roman" w:hAnsi="Times New Roman"/>
          <w:sz w:val="20"/>
          <w:szCs w:val="20"/>
          <w:u w:val="single" w:color="auto"/>
          <w:color w:val="467886"/>
        </w:rPr>
        <w:t>NCT06343779</w:t>
      </w:r>
      <w:r>
        <w:rPr>
          <w:rFonts w:ascii="Times New Roman" w:cs="Times New Roman" w:eastAsia="Times New Roman" w:hAnsi="Times New Roman"/>
          <w:sz w:val="20"/>
          <w:szCs w:val="20"/>
          <w:color w:val="auto"/>
        </w:rPr>
        <w:t>) were presented in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467886"/>
        </w:rPr>
        <w:t>featured posted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467886"/>
        </w:rPr>
        <w:t>American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467886"/>
        </w:rPr>
        <w:t>Academy of Allergy, Asthma &amp; Immunology (AAAAI) 2026 Annual Meeting</w:t>
      </w:r>
      <w:r>
        <w:rPr>
          <w:rFonts w:ascii="Times New Roman" w:cs="Times New Roman" w:eastAsia="Times New Roman" w:hAnsi="Times New Roman"/>
          <w:sz w:val="20"/>
          <w:szCs w:val="20"/>
          <w:color w:val="000000"/>
        </w:rPr>
        <w:t>. RAPIDe-3 met the primary and all 11 secondary</w:t>
      </w:r>
      <w:r>
        <w:rPr>
          <w:rFonts w:ascii="Times New Roman" w:cs="Times New Roman" w:eastAsia="Times New Roman" w:hAnsi="Times New Roman"/>
          <w:sz w:val="20"/>
          <w:szCs w:val="20"/>
          <w:color w:val="467886"/>
        </w:rPr>
        <w:t xml:space="preserve"> </w:t>
      </w:r>
      <w:r>
        <w:rPr>
          <w:rFonts w:ascii="Times New Roman" w:cs="Times New Roman" w:eastAsia="Times New Roman" w:hAnsi="Times New Roman"/>
          <w:sz w:val="20"/>
          <w:szCs w:val="20"/>
          <w:color w:val="000000"/>
        </w:rPr>
        <w:t>efficacy endpoints with high statistical significance with deucrictibant achieving onset of symptom relief in 1.28 hours and complete symptom resolution in 11.95 hours (median times), confirming its potentially differentiated profile for the treatment of HAE attacks versus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Upcoming Participation at Investor Conferences</w:t>
      </w:r>
    </w:p>
    <w:p>
      <w:pPr>
        <w:spacing w:after="0" w:line="10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BofA Securities Health Care Conference 2026. </w:t>
      </w:r>
      <w:r>
        <w:rPr>
          <w:rFonts w:ascii="Times New Roman" w:cs="Times New Roman" w:eastAsia="Times New Roman" w:hAnsi="Times New Roman"/>
          <w:sz w:val="20"/>
          <w:szCs w:val="20"/>
          <w:color w:val="auto"/>
        </w:rPr>
        <w:t>Las Vegas, NV, May 12-14, 2026.</w:t>
      </w:r>
    </w:p>
    <w:p>
      <w:pPr>
        <w:spacing w:after="0" w:line="108" w:lineRule="exact"/>
        <w:rPr>
          <w:sz w:val="20"/>
          <w:szCs w:val="20"/>
          <w:color w:val="auto"/>
        </w:rPr>
      </w:pPr>
    </w:p>
    <w:p>
      <w:pPr>
        <w:ind w:left="1780" w:hanging="515"/>
        <w:spacing w:after="0"/>
        <w:tabs>
          <w:tab w:leader="none" w:pos="1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Format: </w:t>
      </w:r>
      <w:r>
        <w:rPr>
          <w:rFonts w:ascii="Times New Roman" w:cs="Times New Roman" w:eastAsia="Times New Roman" w:hAnsi="Times New Roman"/>
          <w:sz w:val="20"/>
          <w:szCs w:val="20"/>
          <w:color w:val="auto"/>
        </w:rPr>
        <w:t>Fireside Chat</w:t>
      </w:r>
    </w:p>
    <w:p>
      <w:pPr>
        <w:spacing w:after="0" w:line="33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2026 RBC Capital Markets Global Healthcare Conference. </w:t>
      </w:r>
      <w:r>
        <w:rPr>
          <w:rFonts w:ascii="Times New Roman" w:cs="Times New Roman" w:eastAsia="Times New Roman" w:hAnsi="Times New Roman"/>
          <w:sz w:val="19"/>
          <w:szCs w:val="19"/>
          <w:color w:val="auto"/>
        </w:rPr>
        <w:t>New York, NY, May 19-20, 2026.</w:t>
      </w:r>
    </w:p>
    <w:p>
      <w:pPr>
        <w:spacing w:after="0" w:line="119" w:lineRule="exact"/>
        <w:rPr>
          <w:sz w:val="20"/>
          <w:szCs w:val="20"/>
          <w:color w:val="auto"/>
        </w:rPr>
      </w:pPr>
    </w:p>
    <w:p>
      <w:pPr>
        <w:ind w:left="1780" w:hanging="515"/>
        <w:spacing w:after="0"/>
        <w:tabs>
          <w:tab w:leader="none" w:pos="17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Format: </w:t>
      </w:r>
      <w:r>
        <w:rPr>
          <w:rFonts w:ascii="Times New Roman" w:cs="Times New Roman" w:eastAsia="Times New Roman" w:hAnsi="Times New Roman"/>
          <w:sz w:val="20"/>
          <w:szCs w:val="20"/>
          <w:color w:val="auto"/>
        </w:rPr>
        <w:t>Fireside Chat</w:t>
      </w:r>
    </w:p>
    <w:p>
      <w:pPr>
        <w:spacing w:after="0" w:line="2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b w:val="1"/>
          <w:bCs w:val="1"/>
          <w:color w:val="auto"/>
        </w:rPr>
        <w:t xml:space="preserve">Date, time: </w:t>
      </w:r>
      <w:r>
        <w:rPr>
          <w:rFonts w:ascii="Times New Roman" w:cs="Times New Roman" w:eastAsia="Times New Roman" w:hAnsi="Times New Roman"/>
          <w:sz w:val="20"/>
          <w:szCs w:val="20"/>
          <w:color w:val="auto"/>
        </w:rPr>
        <w:t>Wednesday, May 20, 11:00 a.m. 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i w:val="1"/>
          <w:iCs w:val="1"/>
          <w:color w:val="auto"/>
        </w:rPr>
        <w:t>Financials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and Full Year 2025 Financial Results</w:t>
      </w:r>
    </w:p>
    <w:p>
      <w:pPr>
        <w:ind w:left="760" w:right="580" w:hanging="378"/>
        <w:spacing w:after="0" w:line="239"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Liquidity Position. </w:t>
      </w:r>
      <w:r>
        <w:rPr>
          <w:rFonts w:ascii="Times New Roman" w:cs="Times New Roman" w:eastAsia="Times New Roman" w:hAnsi="Times New Roman"/>
          <w:sz w:val="20"/>
          <w:szCs w:val="20"/>
          <w:color w:val="auto"/>
        </w:rPr>
        <w:t>Cash and cash equivalents were €291.7 million as of December 31, 2025 compared to €281 million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 2024.</w:t>
      </w:r>
    </w:p>
    <w:p>
      <w:pPr>
        <w:ind w:left="760" w:right="40" w:hanging="378"/>
        <w:spacing w:after="0" w:line="239"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Research and Development (R&amp;D) Expenses. </w:t>
      </w:r>
      <w:r>
        <w:rPr>
          <w:rFonts w:ascii="Times New Roman" w:cs="Times New Roman" w:eastAsia="Times New Roman" w:hAnsi="Times New Roman"/>
          <w:sz w:val="20"/>
          <w:szCs w:val="20"/>
          <w:color w:val="auto"/>
        </w:rPr>
        <w:t>R&amp;D expenses were €34.1 million for the fourth quarter and €124.5 million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full year of 2025, compared to €31.2 million for the fourth quarter and €98.6 million for the full year of 2024.</w:t>
      </w:r>
    </w:p>
    <w:p>
      <w:pPr>
        <w:ind w:left="760" w:right="40" w:hanging="378"/>
        <w:spacing w:after="0" w:line="239"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General and Administrative (G&amp;A) Expenses. </w:t>
      </w:r>
      <w:r>
        <w:rPr>
          <w:rFonts w:ascii="Times New Roman" w:cs="Times New Roman" w:eastAsia="Times New Roman" w:hAnsi="Times New Roman"/>
          <w:sz w:val="20"/>
          <w:szCs w:val="20"/>
          <w:color w:val="auto"/>
        </w:rPr>
        <w:t>G&amp;A expenses were €13.5 million for the fourth quarter and €45.3 million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full year of 2025, compared to €13.9 million for the fourth quarter and €47.1 million for the full year of 2024.</w:t>
      </w:r>
    </w:p>
    <w:p>
      <w:pPr>
        <w:ind w:left="760" w:right="140" w:hanging="378"/>
        <w:spacing w:after="0" w:line="24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Loss for the year. </w:t>
      </w:r>
      <w:r>
        <w:rPr>
          <w:rFonts w:ascii="Times New Roman" w:cs="Times New Roman" w:eastAsia="Times New Roman" w:hAnsi="Times New Roman"/>
          <w:sz w:val="20"/>
          <w:szCs w:val="20"/>
          <w:color w:val="auto"/>
        </w:rPr>
        <w:t>Loss for the fourth quarter of 2025 was €46.7 million, resulting in basic and diluted loss per share of €0.72.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full year of 2025, loss was €175.7 million, resulting in basic and diluted loss per share of €2.97 per share. This compares to €34.8 million, or basic and diluted loss per share of €0.64, for the fourth quarter of 2024 and €134.2 million, or basic and diluted loss per share of €2.48, for the full year of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Deucrictibant</w:t>
      </w:r>
    </w:p>
    <w:p>
      <w:pPr>
        <w:spacing w:after="0" w:line="2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Deucrictibant is a novel, potent, orally bioavailable small-molecule bradykinin B2 receptor antagonist currently in clinical development. Deucrictibant is being investigated for its potential to prevent the occurrence of bradykinin-mediated angioedema attacks and to treat the manifestations of attacks if/when they occur by inhibiting bradykinin signaling through the bradykinin B2 receptor. Pharvaris is developing two formulations of deucrictibant for oral administration: an extended-release tablet to enable sustained absorption and efficacy as prophylactic treatment, and an immediate-release capsule to enable rapid onset of activity for on-demand treatment. Deucrictibant has been granted orphan drug designation for the treatment of bradykinin-mediated angioedema by the U.S. Food and Drug Administration, the European Commission, and Swissmedic.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About Pharvaris</w:t>
      </w:r>
    </w:p>
    <w:p>
      <w:pPr>
        <w:spacing w:after="0" w:line="2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Pharvaris is a late-stage biopharmaceutical company developing novel, oral bradykinin B2 receptor antagonists to help address unmet needs in bradykinin-mediated conditions, including all types of bradykinin-mediated angioedema. Pharvaris’ aspiration is to offer therapies with injectable-like efficacy™, a well-tolerated profile, and the convenience of oral administration to prevent and treat bradykinin-mediated angioedema attacks. By delivering on this aspiration, Pharvaris aims to provide a new standard of care in bradykinin-mediated angioedema. Pharvaris is preparing marketing authorization applications for deucrictibant immediate-release capsule as an on-demand treatment of HAE attacks, and a global pivotal Phase 3 study of deucrictibant extended-release tablet for the prevention of HAE attacks (CHAPTER-3) is ongoing with topline data anticipated in the third quarter of 2026. In addition, CREAATE is an ongoing Phase 3 study of deucrictibant for the prophylactic and on-demand treatment of AAE-C1INH attacks. For more information, visit https://pharvaris.com/.</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“hope,”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the expected timing, progress, or success of our clinical development programs, especially for deucrictibant immediate-release capsules and deucrictibant extended-release tablets, which are in late-stage global clinical trials; our ability to replicate the efficacy and safety demonstrated in the RAPIDe-1, RAPIDe-2, RAPIDe-3, and CHAPTER-1 Phase 2 and Phase 3 studies in ongoing and future nonclinical studies and clinical trials, such as CHAPTER-3, and CREAATE; the timing and outcome of regulatory approvals, including the timing and outcome of our planned submission of an NDA with the FDA in the first half of 2026 for the on-demand treatment of acute attacks of HAE; risks arising from epidemic diseases, which may adversely impact our business, nonclinical studies, and clinical trials; our ability to potentially use deucrictibant for alternative purposes, for example to treat C1-INH deficiency (AAE-C1INH);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spacing w:after="0" w:line="255" w:lineRule="auto"/>
        <w:rPr>
          <w:sz w:val="20"/>
          <w:szCs w:val="20"/>
          <w:color w:val="auto"/>
        </w:rPr>
      </w:pPr>
      <w:r>
        <w:rPr>
          <w:rFonts w:ascii="Times New Roman" w:cs="Times New Roman" w:eastAsia="Times New Roman" w:hAnsi="Times New Roman"/>
          <w:sz w:val="19"/>
          <w:szCs w:val="19"/>
          <w:color w:val="auto"/>
        </w:rPr>
        <w:t>generic products; our ability to market, commercialize and achieve market acceptance for our product candidates; our ability to produce sufficient amounts of drug product candidates for commercialization;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(including the Biosecure Act), our ability to maintain an effective system of internal control over financial reporting; changes and uncertainty in general market conditions; disruptions at the FDA and other agencies; changes and uncertainty in general market, political and economic conditions, including as a result of inflation and geopolitical conflicts; changes in regulations and customs, tariffs and trade barriers;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Maggie Beller</w:t>
      </w:r>
    </w:p>
    <w:p>
      <w:pPr>
        <w:spacing w:after="0"/>
        <w:rPr>
          <w:sz w:val="20"/>
          <w:szCs w:val="20"/>
          <w:color w:val="auto"/>
        </w:rPr>
      </w:pPr>
      <w:r>
        <w:rPr>
          <w:rFonts w:ascii="Times New Roman" w:cs="Times New Roman" w:eastAsia="Times New Roman" w:hAnsi="Times New Roman"/>
          <w:sz w:val="20"/>
          <w:szCs w:val="20"/>
          <w:color w:val="auto"/>
        </w:rPr>
        <w:t>Vice President, Head of Corporate and Investor Communications</w:t>
      </w:r>
    </w:p>
    <w:p>
      <w:pPr>
        <w:spacing w:after="0"/>
        <w:rPr>
          <w:sz w:val="20"/>
          <w:szCs w:val="20"/>
          <w:color w:val="auto"/>
        </w:rPr>
      </w:pPr>
      <w:r>
        <w:rPr>
          <w:rFonts w:ascii="Times New Roman" w:cs="Times New Roman" w:eastAsia="Times New Roman" w:hAnsi="Times New Roman"/>
          <w:sz w:val="20"/>
          <w:szCs w:val="20"/>
          <w:color w:val="auto"/>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2026-04-02T05:54:03Z</dcterms:created>
  <dcterms:modified xsi:type="dcterms:W3CDTF">2026-04-02T05:54:03Z</dcterms:modified>
</cp:coreProperties>
</file>