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month of July 2022</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Pharvaris N.V.</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3"/>
          <w:szCs w:val="13"/>
          <w:b w:val="1"/>
          <w:bCs w:val="1"/>
          <w:color w:val="auto"/>
        </w:rPr>
        <w:t>J.H. Oortweg 21</w:t>
      </w:r>
    </w:p>
    <w:p>
      <w:pPr>
        <w:spacing w:after="0" w:line="1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3"/>
          <w:szCs w:val="13"/>
          <w:b w:val="1"/>
          <w:bCs w:val="1"/>
          <w:color w:val="auto"/>
        </w:rPr>
        <w:t>2333 CH Leiden</w:t>
      </w:r>
    </w:p>
    <w:p>
      <w:pPr>
        <w:ind w:left="4060"/>
        <w:spacing w:after="0"/>
        <w:rPr>
          <w:sz w:val="20"/>
          <w:szCs w:val="20"/>
          <w:color w:val="auto"/>
        </w:rPr>
      </w:pPr>
      <w:r>
        <w:rPr>
          <w:rFonts w:ascii="Times New Roman" w:cs="Times New Roman" w:eastAsia="Times New Roman" w:hAnsi="Times New Roman"/>
          <w:sz w:val="13"/>
          <w:szCs w:val="13"/>
          <w:b w:val="1"/>
          <w:bCs w:val="1"/>
          <w:color w:val="auto"/>
        </w:rPr>
        <w:t>The Netherlands</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33" w:lineRule="exact"/>
        <w:rPr>
          <w:sz w:val="24"/>
          <w:szCs w:val="24"/>
          <w:color w:val="auto"/>
        </w:rPr>
      </w:pPr>
    </w:p>
    <w:p>
      <w:pPr>
        <w:jc w:val="center"/>
        <w:ind w:right="19"/>
        <w:spacing w:after="0" w:line="150" w:lineRule="exact"/>
        <w:tabs>
          <w:tab w:leader="none" w:pos="360" w:val="left"/>
        </w:tabs>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Form 40-F Form 20-F </w:t>
      </w:r>
      <w:r>
        <w:rPr>
          <w:rFonts w:ascii="MS PGothic" w:cs="MS PGothic" w:eastAsia="MS PGothic" w:hAnsi="MS PGothic"/>
          <w:sz w:val="12"/>
          <w:szCs w:val="12"/>
          <w:color w:val="auto"/>
        </w:rPr>
        <w:t>☐</w:t>
      </w:r>
    </w:p>
    <w:p>
      <w:pPr>
        <w:spacing w:after="0" w:line="15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submitting the Form 6-K in paper as permitted by Regulation S-T Rule 101(b)(1): </w:t>
      </w:r>
      <w:r>
        <w:rPr>
          <w:rFonts w:ascii="MS PGothic" w:cs="MS PGothic" w:eastAsia="MS PGothic" w:hAnsi="MS PGothic"/>
          <w:sz w:val="13"/>
          <w:szCs w:val="13"/>
          <w:color w:val="auto"/>
        </w:rPr>
        <w:t>☐</w:t>
      </w:r>
    </w:p>
    <w:p>
      <w:pPr>
        <w:spacing w:after="0" w:line="174" w:lineRule="exact"/>
        <w:rPr>
          <w:sz w:val="24"/>
          <w:szCs w:val="24"/>
          <w:color w:val="auto"/>
        </w:rPr>
      </w:pPr>
    </w:p>
    <w:p>
      <w:pPr>
        <w:ind w:left="640" w:right="899"/>
        <w:spacing w:after="0" w:line="267" w:lineRule="auto"/>
        <w:rPr>
          <w:sz w:val="20"/>
          <w:szCs w:val="20"/>
          <w:color w:val="auto"/>
        </w:rPr>
      </w:pPr>
      <w:r>
        <w:rPr>
          <w:rFonts w:ascii="Times New Roman" w:cs="Times New Roman" w:eastAsia="Times New Roman" w:hAnsi="Times New Roman"/>
          <w:sz w:val="13"/>
          <w:szCs w:val="13"/>
          <w:color w:val="auto"/>
        </w:rPr>
        <w:t>Note: Regulation S-T Rule 101(b)(1) only permits the submission in paper of a Form 6-K if submitted solely to provide an attached annual report to security holders</w:t>
      </w:r>
    </w:p>
    <w:p>
      <w:pPr>
        <w:spacing w:after="0" w:line="102"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submitting the Form 6-K in paper as permitted by Regulation S-T Rule 101(b)(7): </w:t>
      </w:r>
      <w:r>
        <w:rPr>
          <w:rFonts w:ascii="MS PGothic" w:cs="MS PGothic" w:eastAsia="MS PGothic" w:hAnsi="MS PGothic"/>
          <w:sz w:val="13"/>
          <w:szCs w:val="13"/>
          <w:color w:val="auto"/>
        </w:rPr>
        <w:t>☐</w:t>
      </w:r>
    </w:p>
    <w:p>
      <w:pPr>
        <w:spacing w:after="0" w:line="174" w:lineRule="exact"/>
        <w:rPr>
          <w:sz w:val="24"/>
          <w:szCs w:val="24"/>
          <w:color w:val="auto"/>
        </w:rPr>
      </w:pPr>
    </w:p>
    <w:p>
      <w:pPr>
        <w:ind w:left="640" w:right="799"/>
        <w:spacing w:after="0" w:line="275" w:lineRule="auto"/>
        <w:rPr>
          <w:sz w:val="20"/>
          <w:szCs w:val="20"/>
          <w:color w:val="auto"/>
        </w:rPr>
      </w:pPr>
      <w:r>
        <w:rPr>
          <w:rFonts w:ascii="Times New Roman" w:cs="Times New Roman" w:eastAsia="Times New Roman" w:hAnsi="Times New Roman"/>
          <w:sz w:val="12"/>
          <w:szCs w:val="12"/>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95885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125730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PHARVARIS N.V.</w:t>
      </w:r>
    </w:p>
    <w:p>
      <w:pPr>
        <w:spacing w:after="0" w:line="156" w:lineRule="exact"/>
        <w:rPr>
          <w:sz w:val="20"/>
          <w:szCs w:val="20"/>
          <w:color w:val="auto"/>
        </w:rPr>
      </w:pPr>
    </w:p>
    <w:p>
      <w:pPr>
        <w:ind w:left="640" w:right="839" w:firstLine="309"/>
        <w:spacing w:after="0" w:line="249" w:lineRule="auto"/>
        <w:rPr>
          <w:sz w:val="20"/>
          <w:szCs w:val="20"/>
          <w:color w:val="auto"/>
        </w:rPr>
      </w:pPr>
      <w:r>
        <w:rPr>
          <w:rFonts w:ascii="Times New Roman" w:cs="Times New Roman" w:eastAsia="Times New Roman" w:hAnsi="Times New Roman"/>
          <w:sz w:val="13"/>
          <w:szCs w:val="13"/>
          <w:color w:val="auto"/>
        </w:rPr>
        <w:t>In connection with an investor event, on July 13, 2022, Pharvaris N.V. (the “Company”) provided a corporate update included in a corporate presentation on its website, which, among other things, contains updated guidance with respect to the Company’s Phase 2 clinical trial for the prophylactic treatment of hereditary angioedema using twice-daily dosing of the PHVS416 softgel capsules (CHAPTER-1). Based on projected enrollment rates, the Company has now refined timing of full trial enrollment and believes a more conservative estimate for reporting topline data for this trial is the first quarter of 2023.</w:t>
      </w:r>
    </w:p>
    <w:p>
      <w:pPr>
        <w:spacing w:after="0" w:line="134" w:lineRule="exact"/>
        <w:rPr>
          <w:sz w:val="20"/>
          <w:szCs w:val="20"/>
          <w:color w:val="auto"/>
        </w:rPr>
      </w:pPr>
    </w:p>
    <w:p>
      <w:pPr>
        <w:ind w:left="640" w:right="759" w:firstLine="309"/>
        <w:spacing w:after="0" w:line="274" w:lineRule="auto"/>
        <w:rPr>
          <w:sz w:val="20"/>
          <w:szCs w:val="20"/>
          <w:color w:val="auto"/>
        </w:rPr>
      </w:pPr>
      <w:r>
        <w:rPr>
          <w:rFonts w:ascii="Times New Roman" w:cs="Times New Roman" w:eastAsia="Times New Roman" w:hAnsi="Times New Roman"/>
          <w:sz w:val="12"/>
          <w:szCs w:val="12"/>
          <w:color w:val="auto"/>
        </w:rPr>
        <w:t>A copy of the corporate presentation is attached hereto as Exhibit 99.1. This Report on Form 6-K (excluding Exhibit 99.1) shall be deemed to be incorporated by reference into the registration statements on Form F-3 (Registration Number 333-263198) and Form S-8 (Registration Number</w:t>
      </w:r>
    </w:p>
    <w:p>
      <w:pPr>
        <w:spacing w:after="0" w:line="1" w:lineRule="exact"/>
        <w:rPr>
          <w:sz w:val="20"/>
          <w:szCs w:val="20"/>
          <w:color w:val="auto"/>
        </w:rPr>
      </w:pPr>
    </w:p>
    <w:p>
      <w:pPr>
        <w:ind w:left="640" w:right="839"/>
        <w:spacing w:after="0" w:line="245" w:lineRule="auto"/>
        <w:rPr>
          <w:sz w:val="20"/>
          <w:szCs w:val="20"/>
          <w:color w:val="auto"/>
        </w:rPr>
      </w:pPr>
      <w:r>
        <w:rPr>
          <w:rFonts w:ascii="Times New Roman" w:cs="Times New Roman" w:eastAsia="Times New Roman" w:hAnsi="Times New Roman"/>
          <w:sz w:val="13"/>
          <w:szCs w:val="13"/>
          <w:color w:val="auto"/>
        </w:rPr>
        <w:t>333-252897).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w:t>
      </w:r>
    </w:p>
    <w:p>
      <w:pPr>
        <w:sectPr>
          <w:pgSz w:w="11900" w:h="16838" w:orient="portrait"/>
          <w:cols w:equalWidth="0" w:num="1">
            <w:col w:w="9019"/>
          </w:cols>
          <w:pgMar w:left="1440" w:top="229"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INDEX</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2044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470" cy="5715"/>
                    </a:xfrm>
                    <a:prstGeom prst="rect">
                      <a:avLst/>
                    </a:prstGeom>
                    <a:noFill/>
                  </pic:spPr>
                </pic:pic>
              </a:graphicData>
            </a:graphic>
          </wp:anchor>
        </w:drawing>
      </w:r>
    </w:p>
    <w:p>
      <w:pPr>
        <w:spacing w:after="0" w:line="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Corporate Presentation, dated July 13, 2022</w:t>
      </w:r>
    </w:p>
    <w:p>
      <w:pPr>
        <w:sectPr>
          <w:pgSz w:w="11900" w:h="16838" w:orient="portrait"/>
          <w:cols w:equalWidth="0" w:num="1">
            <w:col w:w="9019"/>
          </w:cols>
          <w:pgMar w:left="1440" w:top="22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July 13, 2022</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PHARVARIS N.V.</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Berndt Modig</w:t>
      </w:r>
    </w:p>
    <w:p>
      <w:pPr>
        <w:spacing w:after="0" w:line="15"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ectPr>
          <w:pgSz w:w="11900" w:h="16838" w:orient="portrait"/>
          <w:cols w:equalWidth="0" w:num="1">
            <w:col w:w="9019"/>
          </w:cols>
          <w:pgMar w:left="1440" w:top="229" w:right="1440" w:bottom="1440" w:gutter="0" w:footer="0" w:header="0"/>
        </w:sectPr>
      </w:pPr>
    </w:p>
    <w:bookmarkStart w:id="4" w:name="page5"/>
    <w:bookmarkEnd w:id="4"/>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2022-07-13T05:53:33Z</dcterms:created>
  <dcterms:modified xsi:type="dcterms:W3CDTF">2022-07-13T05:53:33Z</dcterms:modified>
</cp:coreProperties>
</file>