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342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342890"/>
                    </a:xfrm>
                    <a:prstGeom prst="rect">
                      <a:avLst/>
                    </a:prstGeom>
                    <a:noFill/>
                  </pic:spPr>
                </pic:pic>
              </a:graphicData>
            </a:graphic>
          </wp:anchor>
        </w:drawing>
      </w:r>
    </w:p>
    <w:p>
      <w:pPr>
        <w:sectPr>
          <w:pgSz w:w="11900" w:h="16838" w:orient="portrait"/>
          <w:cols w:equalWidth="0" w:num="1">
            <w:col w:w="10940"/>
          </w:cols>
          <w:pgMar w:left="480" w:top="230" w:right="479" w:bottom="100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Abele Stefan Andreas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100" w:type="dxa"/>
            <w:vAlign w:val="bottom"/>
            <w:tcBorders>
              <w:top w:val="single" w:sz="8" w:color="0000EE"/>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Pharvaris N.V.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PHVS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00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28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 CRANBERRY HILL SUITE 400</w:t>
            </w:r>
          </w:p>
        </w:tc>
      </w:tr>
      <w:tr>
        <w:trPr>
          <w:trHeight w:val="237"/>
        </w:trPr>
        <w:tc>
          <w:tcPr>
            <w:tcW w:w="7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5"/>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LEXINGTON MA</w:t>
            </w: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20"/>
                <w:szCs w:val="20"/>
                <w:color w:val="0000FF"/>
              </w:rPr>
              <w:t>02421</w:t>
            </w:r>
          </w:p>
        </w:tc>
      </w:tr>
      <w:tr>
        <w:trPr>
          <w:trHeight w:val="177"/>
        </w:trPr>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280"/>
              <w:spacing w:after="0"/>
              <w:rPr>
                <w:sz w:val="20"/>
                <w:szCs w:val="20"/>
                <w:color w:val="auto"/>
              </w:rPr>
            </w:pPr>
            <w:r>
              <w:rPr>
                <w:rFonts w:ascii="Arial" w:cs="Arial" w:eastAsia="Arial" w:hAnsi="Arial"/>
                <w:sz w:val="15"/>
                <w:szCs w:val="15"/>
                <w:color w:val="auto"/>
              </w:rPr>
              <w:t>(State)</w:t>
            </w:r>
          </w:p>
        </w:tc>
        <w:tc>
          <w:tcPr>
            <w:tcW w:w="1280" w:type="dxa"/>
            <w:vAlign w:val="bottom"/>
          </w:tcPr>
          <w:p>
            <w:pPr>
              <w:ind w:left="2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463"/>
        <w:spacing w:after="0"/>
        <w:rPr>
          <w:sz w:val="20"/>
          <w:szCs w:val="20"/>
          <w:color w:val="auto"/>
        </w:rPr>
      </w:pPr>
      <w:r>
        <w:rPr>
          <w:rFonts w:ascii="Times New Roman" w:cs="Times New Roman" w:eastAsia="Times New Roman" w:hAnsi="Times New Roman"/>
          <w:sz w:val="20"/>
          <w:szCs w:val="20"/>
          <w:color w:val="0000FF"/>
        </w:rPr>
        <w:t>Chief Technical Ops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00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1"/>
              </w:rPr>
              <w:t>43,942</w:t>
            </w:r>
            <w:r>
              <w:rPr>
                <w:rFonts w:ascii="Times New Roman" w:cs="Times New Roman" w:eastAsia="Times New Roman" w:hAnsi="Times New Roman"/>
                <w:sz w:val="25"/>
                <w:szCs w:val="25"/>
                <w:color w:val="008000"/>
                <w:w w:val="91"/>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03/03/2036</w:t>
            </w:r>
          </w:p>
        </w:tc>
        <w:tc>
          <w:tcPr>
            <w:tcW w:w="174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60,000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89"/>
              </w:rPr>
              <w:t>28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04/12/2035</w:t>
            </w:r>
          </w:p>
        </w:tc>
        <w:tc>
          <w:tcPr>
            <w:tcW w:w="174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60,000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16.05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04/11/2034</w:t>
            </w:r>
          </w:p>
        </w:tc>
        <w:tc>
          <w:tcPr>
            <w:tcW w:w="174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40,000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22.31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11/15/2033</w:t>
            </w:r>
          </w:p>
        </w:tc>
        <w:tc>
          <w:tcPr>
            <w:tcW w:w="174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89,500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16.4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jc w:val="both"/>
        <w:ind w:left="40" w:right="24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restricted stock units previously granted under the Company's equity plan that remain outstanding as of March 18, 2026. The awards settle in shares of common stock and are reported in Table I as non-derivative securities. Vesting occurs as follows: -20,000 RSUs from an award granted March 3, 2026 of which 25% vested March 3, 2027 with the remainder vesting monthly thereafter; -15,000 RSUs from an award granted March 12, 2025 of which 25% vested March 12, 2026 with the remainder vesting monthly thereafter; -6,849 RSUs from an award granted April 11, 2024 of which 25% vested April 11, 2025 with the remainder vesting monthly thereafter.</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will vest on March 3, 2027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March 12, 2026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April 11, 2025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November 15, 2024 with the remaining shares vesting in 1/48 monthly installments thereafter.</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Marnus Nel, Attorney-</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 for Stefan Abele</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300" w:type="dxa"/>
            <w:vAlign w:val="bottom"/>
            <w:gridSpan w:val="2"/>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000" w:gutter="0" w:footer="0" w:header="0"/>
          <w:type w:val="continuous"/>
        </w:sectPr>
      </w:pPr>
    </w:p>
    <w:bookmarkStart w:id="1" w:name="page2"/>
    <w:bookmarkEnd w:id="1"/>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March 2, 2026</w:t>
      </w:r>
    </w:p>
    <w:p>
      <w:pPr>
        <w:spacing w:after="0" w:line="234" w:lineRule="exact"/>
        <w:rPr>
          <w:sz w:val="20"/>
          <w:szCs w:val="20"/>
          <w:color w:val="auto"/>
        </w:rPr>
      </w:pPr>
    </w:p>
    <w:p>
      <w:pPr>
        <w:jc w:val="both"/>
        <w:ind w:firstLine="929"/>
        <w:spacing w:after="0" w:line="245"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each of David Nassif, Marnus Nel, and Skyler Wallace, acting individually, as the undersigned’s true and lawful attorney-in-fact and agent, with full power and authority, including substitution and revocation, as hereinafter described on behalf of and in the name, place and stead of the undersigned to:</w:t>
      </w:r>
    </w:p>
    <w:p>
      <w:pPr>
        <w:spacing w:after="0" w:line="179" w:lineRule="exact"/>
        <w:rPr>
          <w:sz w:val="20"/>
          <w:szCs w:val="20"/>
          <w:color w:val="auto"/>
        </w:rPr>
      </w:pPr>
    </w:p>
    <w:p>
      <w:pPr>
        <w:jc w:val="both"/>
        <w:ind w:left="660" w:right="740" w:hanging="528"/>
        <w:spacing w:after="0" w:line="238"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 director, officer or beneficial owner of shares of stock of Pharvaris N.V., a Dutch public limited liability company (naamloze vennootschap) (the “</w:t>
      </w:r>
      <w:r>
        <w:rPr>
          <w:rFonts w:ascii="Times New Roman" w:cs="Times New Roman" w:eastAsia="Times New Roman" w:hAnsi="Times New Roman"/>
          <w:sz w:val="24"/>
          <w:szCs w:val="24"/>
          <w:u w:val="single" w:color="auto"/>
          <w:color w:val="auto"/>
        </w:rPr>
        <w:t>Company</w:t>
      </w:r>
      <w:r>
        <w:rPr>
          <w:rFonts w:ascii="Times New Roman" w:cs="Times New Roman" w:eastAsia="Times New Roman" w:hAnsi="Times New Roman"/>
          <w:sz w:val="24"/>
          <w:szCs w:val="24"/>
          <w:color w:val="auto"/>
        </w:rPr>
        <w:t>”), any Schedule 13D or Schedule 13G, and any amendments, supplements or exhibits thereto (including any joint filing agreements) required to be filed by the undersigned under Section 13 of the Securities Exchange Act of 1934, as amended, and the rules and regulations promulgated thereunder (the “</w:t>
      </w:r>
      <w:r>
        <w:rPr>
          <w:rFonts w:ascii="Times New Roman" w:cs="Times New Roman" w:eastAsia="Times New Roman" w:hAnsi="Times New Roman"/>
          <w:sz w:val="24"/>
          <w:szCs w:val="24"/>
          <w:u w:val="single" w:color="auto"/>
          <w:color w:val="auto"/>
        </w:rPr>
        <w:t>Exchange Act</w:t>
      </w:r>
      <w:r>
        <w:rPr>
          <w:rFonts w:ascii="Times New Roman" w:cs="Times New Roman" w:eastAsia="Times New Roman" w:hAnsi="Times New Roman"/>
          <w:sz w:val="24"/>
          <w:szCs w:val="24"/>
          <w:color w:val="auto"/>
        </w:rPr>
        <w:t>”), any Form 3, 4 and 5 and any amendments, supplements or exhibits thereto required to be filed by the undersigned under Section 16(a) of the Exchange Act, as well as notices on Form 144 and amendments thereto, filed pursuant to Rule 144 promulgated under the Securities Act of 1933, as amended (the “</w:t>
      </w:r>
      <w:r>
        <w:rPr>
          <w:rFonts w:ascii="Times New Roman" w:cs="Times New Roman" w:eastAsia="Times New Roman" w:hAnsi="Times New Roman"/>
          <w:sz w:val="24"/>
          <w:szCs w:val="24"/>
          <w:u w:val="single" w:color="auto"/>
          <w:color w:val="auto"/>
        </w:rPr>
        <w:t>Securities Act</w:t>
      </w:r>
      <w:r>
        <w:rPr>
          <w:rFonts w:ascii="Times New Roman" w:cs="Times New Roman" w:eastAsia="Times New Roman" w:hAnsi="Times New Roman"/>
          <w:sz w:val="24"/>
          <w:szCs w:val="24"/>
          <w:color w:val="auto"/>
        </w:rPr>
        <w:t>”);</w:t>
      </w:r>
    </w:p>
    <w:p>
      <w:pPr>
        <w:spacing w:after="0" w:line="219" w:lineRule="exact"/>
        <w:rPr>
          <w:rFonts w:ascii="Times New Roman" w:cs="Times New Roman" w:eastAsia="Times New Roman" w:hAnsi="Times New Roman"/>
          <w:sz w:val="24"/>
          <w:szCs w:val="24"/>
          <w:color w:val="auto"/>
        </w:rPr>
      </w:pPr>
    </w:p>
    <w:p>
      <w:pPr>
        <w:jc w:val="both"/>
        <w:ind w:left="660" w:right="720" w:hanging="587"/>
        <w:spacing w:after="0" w:line="242"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w:t>
      </w:r>
    </w:p>
    <w:p>
      <w:pPr>
        <w:spacing w:after="0" w:line="169" w:lineRule="exact"/>
        <w:rPr>
          <w:rFonts w:ascii="Times New Roman" w:cs="Times New Roman" w:eastAsia="Times New Roman" w:hAnsi="Times New Roman"/>
          <w:sz w:val="24"/>
          <w:szCs w:val="24"/>
          <w:color w:val="auto"/>
        </w:rPr>
      </w:pPr>
    </w:p>
    <w:p>
      <w:pPr>
        <w:jc w:val="both"/>
        <w:ind w:left="660" w:right="720" w:hanging="660"/>
        <w:spacing w:after="0" w:line="241"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Schedule 13D, Schedule 13G, and any amendments thereto, Form 3, 4 or 5, and any amendments thereto, notices on Form 144 and amendments thereto, or any other required report relating to any of the foregoing and timely file such notices, forms or reports with the U.S. Securities and Exchange Commission and any stock exchange on which the stock of the Company is then listed; and</w:t>
      </w:r>
    </w:p>
    <w:p>
      <w:pPr>
        <w:spacing w:after="0" w:line="93" w:lineRule="exact"/>
        <w:rPr>
          <w:rFonts w:ascii="Times New Roman" w:cs="Times New Roman" w:eastAsia="Times New Roman" w:hAnsi="Times New Roman"/>
          <w:sz w:val="24"/>
          <w:szCs w:val="24"/>
          <w:color w:val="auto"/>
        </w:rPr>
      </w:pPr>
    </w:p>
    <w:p>
      <w:pPr>
        <w:jc w:val="both"/>
        <w:ind w:left="660" w:right="720" w:hanging="646"/>
        <w:spacing w:after="0" w:line="241"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each such attorney-in-fact’s discretion.</w:t>
      </w:r>
    </w:p>
    <w:p>
      <w:pPr>
        <w:spacing w:after="0" w:line="198" w:lineRule="exact"/>
        <w:rPr>
          <w:sz w:val="20"/>
          <w:szCs w:val="20"/>
          <w:color w:val="auto"/>
        </w:rPr>
      </w:pPr>
    </w:p>
    <w:p>
      <w:pPr>
        <w:ind w:firstLine="929"/>
        <w:spacing w:after="0" w:line="266" w:lineRule="auto"/>
        <w:rPr>
          <w:sz w:val="20"/>
          <w:szCs w:val="20"/>
          <w:color w:val="auto"/>
        </w:rPr>
      </w:pPr>
      <w:r>
        <w:rPr>
          <w:rFonts w:ascii="Times New Roman" w:cs="Times New Roman" w:eastAsia="Times New Roman" w:hAnsi="Times New Roman"/>
          <w:sz w:val="24"/>
          <w:szCs w:val="24"/>
          <w:color w:val="auto"/>
        </w:rPr>
        <w:t>The undersigned hereby acknowledges that (a) the foregoing attorneys-in-fact are serving in such capacity at the request of the undersigned; (b) this Power of Attorney authorizes,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208915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580"/>
          </w:cols>
          <w:pgMar w:left="480" w:top="1440" w:right="839" w:bottom="1440" w:gutter="0" w:footer="0" w:header="0"/>
        </w:sectPr>
      </w:pPr>
    </w:p>
    <w:bookmarkStart w:id="2" w:name="page3"/>
    <w:bookmarkEnd w:id="2"/>
    <w:p>
      <w:pPr>
        <w:spacing w:after="0" w:line="9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4"/>
          <w:szCs w:val="24"/>
          <w:color w:val="auto"/>
        </w:rPr>
        <w:t>but does not require, each such attorney-in-fact to act in his or her discretion on information provided to such attorney-in-fact without independent verification of such information; (c) any documents prepared and/or executed by any attorney-in-fact on behalf of the undersigned pursuant to this Power of Attorney shall be in such form and shall contain such information and disclosure as such attorney-in-fact, in his or her sole discretion, deems necessary or advisable;</w:t>
      </w:r>
    </w:p>
    <w:p>
      <w:pPr>
        <w:spacing w:after="0" w:line="2" w:lineRule="exact"/>
        <w:rPr>
          <w:sz w:val="20"/>
          <w:szCs w:val="20"/>
          <w:color w:val="auto"/>
        </w:rPr>
      </w:pPr>
    </w:p>
    <w:p>
      <w:pPr>
        <w:jc w:val="both"/>
        <w:spacing w:after="0" w:line="234" w:lineRule="auto"/>
        <w:tabs>
          <w:tab w:leader="none" w:pos="346"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neither the Company nor any attorney-in-fact assumes (i) any liability for the undersigned's responsibility to comply with the requirements of the Exchange Act or Securities Act, as applicable, (ii) any liability of the undersigned for any failure to comply with such requirements,</w:t>
      </w:r>
    </w:p>
    <w:p>
      <w:pPr>
        <w:spacing w:after="0" w:line="3" w:lineRule="exact"/>
        <w:rPr>
          <w:rFonts w:ascii="Times New Roman" w:cs="Times New Roman" w:eastAsia="Times New Roman" w:hAnsi="Times New Roman"/>
          <w:sz w:val="24"/>
          <w:szCs w:val="24"/>
          <w:color w:val="auto"/>
        </w:rPr>
      </w:pPr>
    </w:p>
    <w:p>
      <w:pPr>
        <w:jc w:val="both"/>
        <w:spacing w:after="0" w:line="237" w:lineRule="auto"/>
        <w:tabs>
          <w:tab w:leader="none" w:pos="485"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obligation or liability of the undersigned for profit disgorgement under Section 16(b) of the Exchange Act, if applicable, or (iv) any liability resulting from a failure to qualify for the safe harbor under Rule 144; and (e) this Power of Attorney does not relieve the undersigned from responsibility for compliance with the undersigned’s obligations under the Exchange Act or Securities Act, including, without limitation, the reporting requirements under Section 13 and Section 16 of the Exchange Act or Rule 144 promulgated under the Securities Act, as applicable.</w:t>
      </w:r>
    </w:p>
    <w:p>
      <w:pPr>
        <w:spacing w:after="0" w:line="200" w:lineRule="exact"/>
        <w:rPr>
          <w:sz w:val="20"/>
          <w:szCs w:val="20"/>
          <w:color w:val="auto"/>
        </w:rPr>
      </w:pPr>
    </w:p>
    <w:p>
      <w:pPr>
        <w:jc w:val="both"/>
        <w:ind w:firstLine="929"/>
        <w:spacing w:after="0" w:line="241"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(and shall survive, if necessary, by incapacity and/or death) until the undersigned is no longer required to file Schedule 13D or Schedule 13G, Forms 3, 4 or 5, notices on Form 144, or any amendments, supplements or exhibits to any of the foregoing with respect to the undersigned’s holdings of, and transactions in, securities issued by the Company, unless earlier revoked as to any attorney-in-fact by the undersigned in a signed writing delivered to such attorney-in-fact.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[Signature Page to Follow]</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250190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580"/>
          </w:cols>
          <w:pgMar w:left="480" w:top="1440" w:right="839" w:bottom="1440" w:gutter="0" w:footer="0" w:header="0"/>
        </w:sectPr>
      </w:pPr>
    </w:p>
    <w:bookmarkStart w:id="3" w:name="page4"/>
    <w:bookmarkEnd w:id="3"/>
    <w:p>
      <w:pPr>
        <w:spacing w:after="0" w:line="96" w:lineRule="exact"/>
        <w:rPr>
          <w:sz w:val="20"/>
          <w:szCs w:val="20"/>
          <w:color w:val="auto"/>
        </w:rPr>
      </w:pPr>
    </w:p>
    <w:p>
      <w:pPr>
        <w:ind w:firstLine="729"/>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1418590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364490</wp:posOffset>
            </wp:positionV>
            <wp:extent cx="1381760" cy="666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81760" cy="666750"/>
                    </a:xfrm>
                    <a:prstGeom prst="rect">
                      <a:avLst/>
                    </a:prstGeom>
                    <a:noFill/>
                  </pic:spPr>
                </pic:pic>
              </a:graphicData>
            </a:graphic>
          </wp:anchor>
        </w:drawing>
      </w:r>
    </w:p>
    <w:p>
      <w:pPr>
        <w:sectPr>
          <w:pgSz w:w="11900" w:h="16838" w:orient="portrait"/>
          <w:cols w:equalWidth="0" w:num="1">
            <w:col w:w="10620"/>
          </w:cols>
          <w:pgMar w:left="480" w:top="1440" w:right="79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Letter"/>
      <w:start w:val="4"/>
    </w:lvl>
  </w:abstractNum>
  <w:abstractNum w:abstractNumId="6">
    <w:nsid w:val="41B71EFB"/>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jpeg"/><Relationship Id="rId10" Type="http://schemas.openxmlformats.org/officeDocument/2006/relationships/hyperlink" Target="http://www.sec.gov/cgi-bin/browse-edgar?action=getcompany&amp;CIK=0002002390" TargetMode="External"/><Relationship Id="rId11"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2026-03-18T13:25:19Z</dcterms:created>
  <dcterms:modified xsi:type="dcterms:W3CDTF">2026-03-18T13:25:19Z</dcterms:modified>
</cp:coreProperties>
</file>