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9" w:lineRule="exact"/>
        <w:rPr>
          <w:sz w:val="24"/>
          <w:szCs w:val="24"/>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Registration Statement No. 333-278650</w:t>
      </w:r>
    </w:p>
    <w:p>
      <w:pPr>
        <w:spacing w:after="0" w:line="7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u w:val="single" w:color="auto"/>
          <w:color w:val="auto"/>
        </w:rPr>
        <w:t>PROSPECTUS SUPPLEMENT</w:t>
      </w:r>
    </w:p>
    <w:p>
      <w:pPr>
        <w:spacing w:after="0" w:line="2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(to Prospectus dated April 12, 2024)</w:t>
      </w:r>
    </w:p>
    <w:p>
      <w:pPr>
        <w:spacing w:after="0" w:line="15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3,874,664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562610</wp:posOffset>
            </wp:positionV>
            <wp:extent cx="11493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698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135255</wp:posOffset>
            </wp:positionV>
            <wp:extent cx="1550035" cy="254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0035" cy="254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color w:val="auto"/>
        </w:rPr>
        <w:t>We are offering 3,874,664 of our ordinary shares, nominal value €0.12 per ordinary share (“ordinary shares”).</w:t>
      </w:r>
    </w:p>
    <w:p>
      <w:pPr>
        <w:spacing w:after="0" w:line="176" w:lineRule="exact"/>
        <w:rPr>
          <w:sz w:val="24"/>
          <w:szCs w:val="24"/>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Our ordinary shares are listed on The Nasdaq Global Select Market (“Nasdaq”) under the symbol “PHVS.” On May 7, 2026, the last sale price of our ordinary shares as reported on Nasdaq was $29.68 per ordinary share.</w:t>
      </w:r>
    </w:p>
    <w:p>
      <w:pPr>
        <w:spacing w:after="0" w:line="125" w:lineRule="exact"/>
        <w:rPr>
          <w:sz w:val="24"/>
          <w:szCs w:val="24"/>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We are a “foreign private issuer” as defined under the Securities and Exchange Commission (“SEC”) rules and, as such, we have elected to comply with certain reduced public company reporting requirements for this prospectus supplement and future filings. Please see “Pharvaris N.V.— Summary—Implications of Being a Foreign Private Issuer”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169545</wp:posOffset>
            </wp:positionV>
            <wp:extent cx="1149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1360" w:right="479" w:firstLine="343"/>
        <w:spacing w:after="0" w:line="243" w:lineRule="auto"/>
        <w:rPr>
          <w:sz w:val="20"/>
          <w:szCs w:val="20"/>
          <w:color w:val="auto"/>
        </w:rPr>
      </w:pPr>
      <w:r>
        <w:rPr>
          <w:rFonts w:ascii="Times New Roman" w:cs="Times New Roman" w:eastAsia="Times New Roman" w:hAnsi="Times New Roman"/>
          <w:sz w:val="17"/>
          <w:szCs w:val="17"/>
          <w:b w:val="1"/>
          <w:bCs w:val="1"/>
          <w:color w:val="auto"/>
        </w:rPr>
        <w:t>Investing in our ordinary shares involves a high degree of risk. You should review carefully the risks and uncertainties described under the header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contained in this prospectus supplement beginning on page S-8 and under similar headings in the other documents that are incorporated by reference into this prospectus supplement and the accompanying prospectus.</w:t>
      </w:r>
    </w:p>
    <w:p>
      <w:pPr>
        <w:spacing w:after="0" w:line="142" w:lineRule="exact"/>
        <w:rPr>
          <w:sz w:val="24"/>
          <w:szCs w:val="24"/>
          <w:color w:val="auto"/>
        </w:rPr>
      </w:pPr>
    </w:p>
    <w:p>
      <w:pPr>
        <w:ind w:left="1360" w:right="7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You should read the entire prospectus supplement and the accompanying prospectus, including any information incorporated by reference herein or therein, carefully before you make your investment decision.</w:t>
      </w:r>
    </w:p>
    <w:p>
      <w:pPr>
        <w:spacing w:after="0" w:line="129" w:lineRule="exact"/>
        <w:rPr>
          <w:sz w:val="24"/>
          <w:szCs w:val="24"/>
          <w:color w:val="auto"/>
        </w:rPr>
      </w:pPr>
    </w:p>
    <w:tbl>
      <w:tblPr>
        <w:tblLayout w:type="fixed"/>
        <w:tblInd w:w="2380"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Per</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Offering price</w:t>
            </w: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29.68000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115,000,028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9"/>
                <w:szCs w:val="19"/>
                <w:color w:val="auto"/>
                <w:vertAlign w:val="superscript"/>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1.78080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27.89920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   108,100,026</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1680" w:hanging="329"/>
        <w:spacing w:after="0"/>
        <w:tabs>
          <w:tab w:leader="none" w:pos="16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S-28 for additional information regarding underwriting compensation.</w:t>
      </w:r>
    </w:p>
    <w:p>
      <w:pPr>
        <w:spacing w:after="0" w:line="176" w:lineRule="exact"/>
        <w:rPr>
          <w:sz w:val="24"/>
          <w:szCs w:val="24"/>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We have granted the underwriters an option for a period of 30 days to purchase up to an additional 581,199 ordinary shares from us, at the public offering price, less the underwriting discounts and commissions.</w:t>
      </w:r>
    </w:p>
    <w:p>
      <w:pPr>
        <w:spacing w:after="0" w:line="123" w:lineRule="exact"/>
        <w:rPr>
          <w:sz w:val="24"/>
          <w:szCs w:val="24"/>
          <w:color w:val="auto"/>
        </w:rPr>
      </w:pPr>
    </w:p>
    <w:p>
      <w:pPr>
        <w:ind w:left="1360" w:right="5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passed upon the adequacy or accuracy of this prospectus. Any representation to the contrary is a criminal offense.</w:t>
      </w:r>
    </w:p>
    <w:p>
      <w:pPr>
        <w:spacing w:after="0" w:line="1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ordinary shares will be ready for delivery on or about May 11, 2026.</w:t>
      </w:r>
    </w:p>
    <w:p>
      <w:pPr>
        <w:spacing w:after="0" w:line="16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pacing w:after="0" w:line="187" w:lineRule="exact"/>
        <w:rPr>
          <w:sz w:val="24"/>
          <w:szCs w:val="24"/>
          <w:color w:val="auto"/>
        </w:rPr>
      </w:pPr>
    </w:p>
    <w:p>
      <w:pPr>
        <w:ind w:left="1360"/>
        <w:spacing w:after="0"/>
        <w:tabs>
          <w:tab w:leader="none" w:pos="3320" w:val="left"/>
          <w:tab w:leader="none" w:pos="5880" w:val="left"/>
          <w:tab w:leader="none" w:pos="7600" w:val="left"/>
        </w:tabs>
        <w:rPr>
          <w:sz w:val="20"/>
          <w:szCs w:val="20"/>
          <w:color w:val="auto"/>
        </w:rPr>
      </w:pPr>
      <w:r>
        <w:rPr>
          <w:rFonts w:ascii="Times New Roman" w:cs="Times New Roman" w:eastAsia="Times New Roman" w:hAnsi="Times New Roman"/>
          <w:sz w:val="15"/>
          <w:szCs w:val="15"/>
          <w:b w:val="1"/>
          <w:bCs w:val="1"/>
          <w:color w:val="auto"/>
        </w:rPr>
        <w:t>Morgan Stanley</w:t>
      </w:r>
      <w:r>
        <w:rPr>
          <w:sz w:val="20"/>
          <w:szCs w:val="20"/>
          <w:color w:val="auto"/>
        </w:rPr>
        <w:tab/>
      </w:r>
      <w:r>
        <w:rPr>
          <w:rFonts w:ascii="Times New Roman" w:cs="Times New Roman" w:eastAsia="Times New Roman" w:hAnsi="Times New Roman"/>
          <w:sz w:val="15"/>
          <w:szCs w:val="15"/>
          <w:b w:val="1"/>
          <w:bCs w:val="1"/>
          <w:color w:val="auto"/>
        </w:rPr>
        <w:t>Leerink Partners</w:t>
      </w:r>
      <w:r>
        <w:rPr>
          <w:sz w:val="20"/>
          <w:szCs w:val="20"/>
          <w:color w:val="auto"/>
        </w:rPr>
        <w:tab/>
      </w:r>
      <w:r>
        <w:rPr>
          <w:rFonts w:ascii="Times New Roman" w:cs="Times New Roman" w:eastAsia="Times New Roman" w:hAnsi="Times New Roman"/>
          <w:sz w:val="15"/>
          <w:szCs w:val="15"/>
          <w:b w:val="1"/>
          <w:bCs w:val="1"/>
          <w:color w:val="auto"/>
        </w:rPr>
        <w:t>Cantor</w:t>
      </w:r>
      <w:r>
        <w:rPr>
          <w:sz w:val="20"/>
          <w:szCs w:val="20"/>
          <w:color w:val="auto"/>
        </w:rPr>
        <w:tab/>
      </w:r>
      <w:r>
        <w:rPr>
          <w:rFonts w:ascii="Times New Roman" w:cs="Times New Roman" w:eastAsia="Times New Roman" w:hAnsi="Times New Roman"/>
          <w:sz w:val="15"/>
          <w:szCs w:val="15"/>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191135</wp:posOffset>
            </wp:positionV>
            <wp:extent cx="11493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8, 2026</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0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4"/>
                <w:szCs w:val="14"/>
                <w:color w:val="0000EE"/>
                <w:w w:val="98"/>
              </w:rPr>
              <w:t>PRESENTATION OF FINANCIAL INFORMATION</w:t>
            </w:r>
          </w:p>
        </w:tc>
        <w:tc>
          <w:tcPr>
            <w:tcW w:w="4760" w:type="dxa"/>
            <w:vAlign w:val="bottom"/>
            <w:gridSpan w:val="6"/>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148"/>
        </w:trPr>
        <w:tc>
          <w:tcPr>
            <w:tcW w:w="96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7"/>
              </w:rPr>
              <w:t>TRADEMARKS</w:t>
            </w:r>
          </w:p>
        </w:tc>
        <w:tc>
          <w:tcPr>
            <w:tcW w:w="6820" w:type="dxa"/>
            <w:vAlign w:val="bottom"/>
            <w:gridSpan w:val="25"/>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ABOUT THIS PROSPECTUS SUPPLEMENT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S-2</w:t>
            </w:r>
          </w:p>
        </w:tc>
      </w:tr>
      <w:tr>
        <w:trPr>
          <w:trHeight w:val="148"/>
        </w:trPr>
        <w:tc>
          <w:tcPr>
            <w:tcW w:w="2560" w:type="dxa"/>
            <w:vAlign w:val="bottom"/>
            <w:tcBorders>
              <w:top w:val="single" w:sz="8" w:color="0000EE"/>
              <w:bottom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w w:val="98"/>
              </w:rPr>
              <w:t>PROSPECTUS SUPPLEMENT SUMMARY</w:t>
            </w:r>
          </w:p>
        </w:tc>
        <w:tc>
          <w:tcPr>
            <w:tcW w:w="1580" w:type="dxa"/>
            <w:vAlign w:val="bottom"/>
            <w:tcBorders>
              <w:top w:val="single" w:sz="8" w:color="0000EE"/>
            </w:tcBorders>
            <w:gridSpan w:val="6"/>
          </w:tcPr>
          <w:p>
            <w:pPr>
              <w:spacing w:after="0"/>
              <w:rPr>
                <w:sz w:val="12"/>
                <w:szCs w:val="12"/>
                <w:color w:val="auto"/>
              </w:rPr>
            </w:pPr>
          </w:p>
        </w:tc>
        <w:tc>
          <w:tcPr>
            <w:tcW w:w="3640" w:type="dxa"/>
            <w:vAlign w:val="bottom"/>
            <w:gridSpan w:val="4"/>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S-5</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THE OFFERING</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S-7</w:t>
            </w:r>
          </w:p>
        </w:tc>
      </w:tr>
      <w:tr>
        <w:trPr>
          <w:trHeight w:val="148"/>
        </w:trPr>
        <w:tc>
          <w:tcPr>
            <w:tcW w:w="98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7"/>
              </w:rPr>
              <w:t>RISK FACTORS</w:t>
            </w:r>
          </w:p>
        </w:tc>
        <w:tc>
          <w:tcPr>
            <w:tcW w:w="6800" w:type="dxa"/>
            <w:vAlign w:val="bottom"/>
            <w:gridSpan w:val="24"/>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S-8</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124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9"/>
              </w:rPr>
              <w:t>USE OF PROCEEDS</w:t>
            </w:r>
          </w:p>
        </w:tc>
        <w:tc>
          <w:tcPr>
            <w:tcW w:w="6540" w:type="dxa"/>
            <w:vAlign w:val="bottom"/>
            <w:gridSpan w:val="19"/>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S-10</w:t>
            </w:r>
          </w:p>
        </w:tc>
      </w:tr>
      <w:tr>
        <w:trPr>
          <w:trHeight w:val="148"/>
        </w:trPr>
        <w:tc>
          <w:tcPr>
            <w:tcW w:w="122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7"/>
              </w:rPr>
              <w:t>DIVIDEND POLICY</w:t>
            </w:r>
          </w:p>
        </w:tc>
        <w:tc>
          <w:tcPr>
            <w:tcW w:w="6560" w:type="dxa"/>
            <w:vAlign w:val="bottom"/>
            <w:gridSpan w:val="20"/>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S-11</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DILUTION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S-12</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MATERIAL UNITED STATES FEDERAL INCOME TAX AND DUTCH TAX CONSIDERATIONS OF ORDINARY SHARES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S-13</w:t>
            </w:r>
          </w:p>
        </w:tc>
      </w:tr>
      <w:tr>
        <w:trPr>
          <w:trHeight w:val="148"/>
        </w:trPr>
        <w:tc>
          <w:tcPr>
            <w:tcW w:w="1080" w:type="dxa"/>
            <w:vAlign w:val="bottom"/>
            <w:tcBorders>
              <w:top w:val="single" w:sz="8" w:color="0000EE"/>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7"/>
              </w:rPr>
              <w:t>UNDERWRITING</w:t>
            </w:r>
          </w:p>
        </w:tc>
        <w:tc>
          <w:tcPr>
            <w:tcW w:w="6220" w:type="dxa"/>
            <w:vAlign w:val="bottom"/>
            <w:tcBorders>
              <w:top w:val="single" w:sz="8" w:color="0000EE"/>
            </w:tcBorders>
            <w:gridSpan w:val="21"/>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S-24</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S-33</w:t>
            </w:r>
          </w:p>
        </w:tc>
      </w:tr>
      <w:tr>
        <w:trPr>
          <w:trHeight w:val="148"/>
        </w:trPr>
        <w:tc>
          <w:tcPr>
            <w:tcW w:w="66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460" w:type="dxa"/>
            <w:vAlign w:val="bottom"/>
            <w:tcBorders>
              <w:top w:val="single" w:sz="8" w:color="0000EE"/>
            </w:tcBorders>
            <w:gridSpan w:val="6"/>
          </w:tcPr>
          <w:p>
            <w:pPr>
              <w:spacing w:after="0"/>
              <w:rPr>
                <w:sz w:val="12"/>
                <w:szCs w:val="12"/>
                <w:color w:val="auto"/>
              </w:rPr>
            </w:pPr>
          </w:p>
        </w:tc>
        <w:tc>
          <w:tcPr>
            <w:tcW w:w="6660" w:type="dxa"/>
            <w:vAlign w:val="bottom"/>
            <w:gridSpan w:val="21"/>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S-34</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S-35</w:t>
            </w:r>
          </w:p>
        </w:tc>
      </w:tr>
      <w:tr>
        <w:trPr>
          <w:trHeight w:val="148"/>
        </w:trPr>
        <w:tc>
          <w:tcPr>
            <w:tcW w:w="2960" w:type="dxa"/>
            <w:vAlign w:val="bottom"/>
            <w:tcBorders>
              <w:top w:val="single" w:sz="8" w:color="0000EE"/>
            </w:tcBorders>
            <w:gridSpan w:val="21"/>
          </w:tcPr>
          <w:p>
            <w:pPr>
              <w:spacing w:after="0" w:line="149"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4820" w:type="dxa"/>
            <w:vAlign w:val="bottom"/>
            <w:gridSpan w:val="7"/>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S-36</w:t>
            </w:r>
          </w:p>
        </w:tc>
      </w:tr>
      <w:tr>
        <w:trPr>
          <w:trHeight w:val="517"/>
        </w:trPr>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760" w:type="dxa"/>
            <w:vAlign w:val="bottom"/>
          </w:tcPr>
          <w:p>
            <w:pPr>
              <w:spacing w:after="0"/>
              <w:rPr>
                <w:sz w:val="24"/>
                <w:szCs w:val="24"/>
                <w:color w:val="auto"/>
              </w:rPr>
            </w:pPr>
          </w:p>
        </w:tc>
      </w:tr>
      <w:tr>
        <w:trPr>
          <w:trHeight w:val="326"/>
        </w:trPr>
        <w:tc>
          <w:tcPr>
            <w:tcW w:w="7780" w:type="dxa"/>
            <w:vAlign w:val="bottom"/>
            <w:gridSpan w:val="28"/>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4140" w:type="dxa"/>
            <w:vAlign w:val="bottom"/>
            <w:tcBorders>
              <w:top w:val="single" w:sz="8" w:color="0000EE"/>
            </w:tcBorders>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PHARVARIS N.V.</w:t>
            </w:r>
          </w:p>
        </w:tc>
        <w:tc>
          <w:tcPr>
            <w:tcW w:w="3640" w:type="dxa"/>
            <w:vAlign w:val="bottom"/>
            <w:gridSpan w:val="4"/>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48"/>
        </w:trPr>
        <w:tc>
          <w:tcPr>
            <w:tcW w:w="1040" w:type="dxa"/>
            <w:vAlign w:val="bottom"/>
            <w:tcBorders>
              <w:top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6740" w:type="dxa"/>
            <w:vAlign w:val="bottom"/>
            <w:gridSpan w:val="23"/>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124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9"/>
              </w:rPr>
              <w:t>USE OF PROCEEDS</w:t>
            </w:r>
          </w:p>
        </w:tc>
        <w:tc>
          <w:tcPr>
            <w:tcW w:w="6540" w:type="dxa"/>
            <w:vAlign w:val="bottom"/>
            <w:gridSpan w:val="19"/>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r>
      <w:tr>
        <w:trPr>
          <w:trHeight w:val="148"/>
        </w:trPr>
        <w:tc>
          <w:tcPr>
            <w:tcW w:w="4440" w:type="dxa"/>
            <w:vAlign w:val="bottom"/>
            <w:tcBorders>
              <w:bottom w:val="single" w:sz="8" w:color="0000EE"/>
            </w:tcBorders>
            <w:gridSpan w:val="25"/>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SHARE CAPITAL AND ARTICLES OF ASSOCIATION</w:t>
            </w:r>
          </w:p>
        </w:tc>
        <w:tc>
          <w:tcPr>
            <w:tcW w:w="3340" w:type="dxa"/>
            <w:vAlign w:val="bottom"/>
            <w:gridSpan w:val="3"/>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COMPARISON OF DUTCH LAW AND OUR ARTICLES OF ASSOCIATION AND U.S. CORPORATE LAW</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r>
      <w:tr>
        <w:trPr>
          <w:trHeight w:val="148"/>
        </w:trPr>
        <w:tc>
          <w:tcPr>
            <w:tcW w:w="6320" w:type="dxa"/>
            <w:vAlign w:val="bottom"/>
            <w:tcBorders>
              <w:top w:val="single" w:sz="8" w:color="0000EE"/>
            </w:tcBorders>
            <w:gridSpan w:val="26"/>
          </w:tcPr>
          <w:p>
            <w:pPr>
              <w:spacing w:after="0" w:line="14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460" w:type="dxa"/>
            <w:vAlign w:val="bottom"/>
            <w:gridSpan w:val="2"/>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r>
      <w:tr>
        <w:trPr>
          <w:trHeight w:val="148"/>
        </w:trPr>
        <w:tc>
          <w:tcPr>
            <w:tcW w:w="2340" w:type="dxa"/>
            <w:vAlign w:val="bottom"/>
            <w:tcBorders>
              <w:top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DESCRIPTION OF WARRANTS</w:t>
            </w:r>
          </w:p>
        </w:tc>
        <w:tc>
          <w:tcPr>
            <w:tcW w:w="5440" w:type="dxa"/>
            <w:vAlign w:val="bottom"/>
            <w:gridSpan w:val="11"/>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2760" w:type="dxa"/>
            <w:vAlign w:val="bottom"/>
            <w:tcBorders>
              <w:bottom w:val="single" w:sz="8" w:color="0000EE"/>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PURCHASE CONTRACTS</w:t>
            </w:r>
          </w:p>
        </w:tc>
        <w:tc>
          <w:tcPr>
            <w:tcW w:w="5020" w:type="dxa"/>
            <w:vAlign w:val="bottom"/>
            <w:gridSpan w:val="8"/>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DESCRIPTION OF UNITS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48"/>
        </w:trPr>
        <w:tc>
          <w:tcPr>
            <w:tcW w:w="1520" w:type="dxa"/>
            <w:vAlign w:val="bottom"/>
            <w:tcBorders>
              <w:top w:val="single" w:sz="8" w:color="0000EE"/>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8"/>
              </w:rPr>
              <w:t>FORMS OF SECURITIES</w:t>
            </w:r>
          </w:p>
        </w:tc>
        <w:tc>
          <w:tcPr>
            <w:tcW w:w="40" w:type="dxa"/>
            <w:vAlign w:val="bottom"/>
            <w:tcBorders>
              <w:top w:val="single" w:sz="8" w:color="0000EE"/>
            </w:tcBorders>
          </w:tcPr>
          <w:p>
            <w:pPr>
              <w:spacing w:after="0"/>
              <w:rPr>
                <w:sz w:val="12"/>
                <w:szCs w:val="12"/>
                <w:color w:val="auto"/>
              </w:rPr>
            </w:pPr>
          </w:p>
        </w:tc>
        <w:tc>
          <w:tcPr>
            <w:tcW w:w="6220" w:type="dxa"/>
            <w:vAlign w:val="bottom"/>
            <w:gridSpan w:val="17"/>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PLAN OF DISTRIBUTION</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r>
      <w:tr>
        <w:trPr>
          <w:trHeight w:val="148"/>
        </w:trPr>
        <w:tc>
          <w:tcPr>
            <w:tcW w:w="2120" w:type="dxa"/>
            <w:vAlign w:val="bottom"/>
            <w:tcBorders>
              <w:top w:val="single" w:sz="8" w:color="0000EE"/>
              <w:bottom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w w:val="99"/>
              </w:rPr>
              <w:t>ENFORCEMENT OF JUDGMENTS</w:t>
            </w:r>
          </w:p>
        </w:tc>
        <w:tc>
          <w:tcPr>
            <w:tcW w:w="1900" w:type="dxa"/>
            <w:vAlign w:val="bottom"/>
            <w:tcBorders>
              <w:top w:val="single" w:sz="8" w:color="0000EE"/>
            </w:tcBorders>
            <w:gridSpan w:val="8"/>
          </w:tcPr>
          <w:p>
            <w:pPr>
              <w:spacing w:after="0"/>
              <w:rPr>
                <w:sz w:val="12"/>
                <w:szCs w:val="12"/>
                <w:color w:val="auto"/>
              </w:rPr>
            </w:pPr>
          </w:p>
        </w:tc>
        <w:tc>
          <w:tcPr>
            <w:tcW w:w="3760" w:type="dxa"/>
            <w:vAlign w:val="bottom"/>
            <w:gridSpan w:val="5"/>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EXPENSES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7100" w:type="dxa"/>
            <w:vAlign w:val="bottom"/>
            <w:gridSpan w:val="2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8"/>
        </w:trPr>
        <w:tc>
          <w:tcPr>
            <w:tcW w:w="7780" w:type="dxa"/>
            <w:vAlign w:val="bottom"/>
            <w:gridSpan w:val="28"/>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48"/>
        </w:trPr>
        <w:tc>
          <w:tcPr>
            <w:tcW w:w="66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460" w:type="dxa"/>
            <w:vAlign w:val="bottom"/>
            <w:tcBorders>
              <w:top w:val="single" w:sz="8" w:color="0000EE"/>
            </w:tcBorders>
            <w:gridSpan w:val="6"/>
          </w:tcPr>
          <w:p>
            <w:pPr>
              <w:spacing w:after="0"/>
              <w:rPr>
                <w:sz w:val="12"/>
                <w:szCs w:val="12"/>
                <w:color w:val="auto"/>
              </w:rPr>
            </w:pPr>
          </w:p>
        </w:tc>
        <w:tc>
          <w:tcPr>
            <w:tcW w:w="6660" w:type="dxa"/>
            <w:vAlign w:val="bottom"/>
            <w:gridSpan w:val="21"/>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bl>
    <w:p>
      <w:pPr>
        <w:spacing w:after="0" w:line="1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69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7825" cy="456946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PRESENTATION OF FINANCIAL INFORMATION</w:t>
      </w:r>
    </w:p>
    <w:p>
      <w:pPr>
        <w:spacing w:after="0" w:line="178" w:lineRule="exact"/>
        <w:rPr>
          <w:sz w:val="20"/>
          <w:szCs w:val="20"/>
          <w:color w:val="auto"/>
        </w:rPr>
      </w:pPr>
    </w:p>
    <w:p>
      <w:pPr>
        <w:ind w:left="1500" w:right="539" w:firstLine="332"/>
        <w:spacing w:after="0" w:line="288" w:lineRule="auto"/>
        <w:rPr>
          <w:sz w:val="20"/>
          <w:szCs w:val="20"/>
          <w:color w:val="auto"/>
        </w:rPr>
      </w:pPr>
      <w:r>
        <w:rPr>
          <w:rFonts w:ascii="Times New Roman" w:cs="Times New Roman" w:eastAsia="Times New Roman" w:hAnsi="Times New Roman"/>
          <w:sz w:val="13"/>
          <w:szCs w:val="13"/>
          <w:color w:val="auto"/>
        </w:rPr>
        <w:t>We report under IFRS Accounting Standards as issued by the International Accounting Standards Board. None of the financial statements incorporated by reference herein were prepared in accordance with generally accepted accounting principles in the United States. We present our consolidated financial statements in euros. We have made rounding adjustments to some of the figures included in this prospectus supplement. Accordingly, numerical figures shown as totals in some tables may not be an arithmetic aggregation of the figures that preceded them.</w:t>
      </w:r>
    </w:p>
    <w:p>
      <w:pPr>
        <w:spacing w:after="0" w:line="124" w:lineRule="exact"/>
        <w:rPr>
          <w:sz w:val="20"/>
          <w:szCs w:val="20"/>
          <w:color w:val="auto"/>
        </w:rPr>
      </w:pPr>
    </w:p>
    <w:p>
      <w:pPr>
        <w:ind w:left="1500" w:right="559" w:firstLine="332"/>
        <w:spacing w:after="0" w:line="267" w:lineRule="auto"/>
        <w:rPr>
          <w:sz w:val="20"/>
          <w:szCs w:val="20"/>
          <w:color w:val="auto"/>
        </w:rPr>
      </w:pPr>
      <w:r>
        <w:rPr>
          <w:rFonts w:ascii="Times New Roman" w:cs="Times New Roman" w:eastAsia="Times New Roman" w:hAnsi="Times New Roman"/>
          <w:sz w:val="14"/>
          <w:szCs w:val="14"/>
          <w:color w:val="auto"/>
        </w:rPr>
        <w:t>Unless otherwise indicated, all references in this prospectus supplement to “€,” “euro,” “EUR” or “cents” are to the currency introduced at the start of the third stage of the European Economic and Monetary Union pursuant to the Treaty on the Functioning of the European Union, as amended. All references to “$,” “US$” or “U.S. dollars” are to the lawful currency of the United States.</w:t>
      </w:r>
    </w:p>
    <w:p>
      <w:pPr>
        <w:spacing w:after="0" w:line="136" w:lineRule="exact"/>
        <w:rPr>
          <w:sz w:val="20"/>
          <w:szCs w:val="20"/>
          <w:color w:val="auto"/>
        </w:rPr>
      </w:pPr>
    </w:p>
    <w:p>
      <w:pPr>
        <w:ind w:left="1500" w:right="559" w:firstLine="332"/>
        <w:spacing w:after="0" w:line="261" w:lineRule="auto"/>
        <w:rPr>
          <w:sz w:val="20"/>
          <w:szCs w:val="20"/>
          <w:color w:val="auto"/>
        </w:rPr>
      </w:pPr>
      <w:r>
        <w:rPr>
          <w:rFonts w:ascii="Times New Roman" w:cs="Times New Roman" w:eastAsia="Times New Roman" w:hAnsi="Times New Roman"/>
          <w:sz w:val="14"/>
          <w:szCs w:val="14"/>
          <w:color w:val="auto"/>
        </w:rPr>
        <w:t>Solely for the convenience of the reader, certain euro amounts herein have been translated into U.S. dollars at the rate of €1.00 to $1.1750, the average exchange rate quoted as of December 31, 2025 by the European Central Bank. These translations should not be considered representations that any such amounts have been, could have been or could be converted into U.S. dollars at that or any other exchange rate as at that or any other date.</w:t>
      </w:r>
    </w:p>
    <w:p>
      <w:pPr>
        <w:spacing w:after="0" w:line="3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78" w:lineRule="exact"/>
        <w:rPr>
          <w:sz w:val="20"/>
          <w:szCs w:val="20"/>
          <w:color w:val="auto"/>
        </w:rPr>
      </w:pPr>
    </w:p>
    <w:p>
      <w:pPr>
        <w:ind w:left="1500" w:right="359" w:firstLine="332"/>
        <w:spacing w:after="0" w:line="232" w:lineRule="auto"/>
        <w:rPr>
          <w:sz w:val="20"/>
          <w:szCs w:val="20"/>
          <w:color w:val="auto"/>
        </w:rPr>
      </w:pPr>
      <w:r>
        <w:rPr>
          <w:rFonts w:ascii="Times New Roman" w:cs="Times New Roman" w:eastAsia="Times New Roman" w:hAnsi="Times New Roman"/>
          <w:sz w:val="14"/>
          <w:szCs w:val="14"/>
          <w:color w:val="auto"/>
        </w:rPr>
        <w:t xml:space="preserve">All trademarks, trade names and service marks appearing in this prospectus supplement are the property of their respective owners. Solely for convenience, the trademarks and trade names in this prospectus supplement are referred to without the symbols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3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8" w:lineRule="exact"/>
        <w:rPr>
          <w:sz w:val="20"/>
          <w:szCs w:val="20"/>
          <w:color w:val="auto"/>
        </w:rPr>
      </w:pPr>
    </w:p>
    <w:p>
      <w:pPr>
        <w:ind w:left="1500" w:right="379" w:firstLine="332"/>
        <w:spacing w:after="0" w:line="255" w:lineRule="auto"/>
        <w:rPr>
          <w:sz w:val="20"/>
          <w:szCs w:val="20"/>
          <w:color w:val="auto"/>
        </w:rPr>
      </w:pPr>
      <w:r>
        <w:rPr>
          <w:rFonts w:ascii="Times New Roman" w:cs="Times New Roman" w:eastAsia="Times New Roman" w:hAnsi="Times New Roman"/>
          <w:sz w:val="14"/>
          <w:szCs w:val="14"/>
          <w:color w:val="auto"/>
        </w:rPr>
        <w:t>This document is part of the automatic shelf registration statement on Form F-3 (File No. 333-278650) that we filed with the SEC, as a “well-known seasoned issuer” as defined in Rule 405 under the Securities Act of 1933, as amended (the “Securities Act”), using a “shelf” registration process and consists of two parts. The first part is this prospectus supplement, including the documents incorporated by reference herein, which describes the specific terms of this offering of ordinary shares.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and any free writing prospectus we authorize for use in connection with this offering may add to, update or change information in the accompanying prospectus and the documents incorporated by reference into this prospectus supplement or the accompanying prospectus.</w:t>
      </w:r>
    </w:p>
    <w:p>
      <w:pPr>
        <w:spacing w:after="0" w:line="147" w:lineRule="exact"/>
        <w:rPr>
          <w:sz w:val="20"/>
          <w:szCs w:val="20"/>
          <w:color w:val="auto"/>
        </w:rPr>
      </w:pPr>
    </w:p>
    <w:p>
      <w:pPr>
        <w:ind w:left="1500" w:right="499" w:firstLine="332"/>
        <w:spacing w:after="0" w:line="261" w:lineRule="auto"/>
        <w:rPr>
          <w:sz w:val="20"/>
          <w:szCs w:val="20"/>
          <w:color w:val="auto"/>
        </w:rPr>
      </w:pPr>
      <w:r>
        <w:rPr>
          <w:rFonts w:ascii="Times New Roman" w:cs="Times New Roman" w:eastAsia="Times New Roman" w:hAnsi="Times New Roman"/>
          <w:sz w:val="14"/>
          <w:szCs w:val="14"/>
          <w:color w:val="auto"/>
        </w:rPr>
        <w:t>Before buying any of the ordinary shares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643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7825" cy="4643120"/>
                    </a:xfrm>
                    <a:prstGeom prst="rect">
                      <a:avLst/>
                    </a:prstGeom>
                    <a:noFill/>
                  </pic:spPr>
                </pic:pic>
              </a:graphicData>
            </a:graphic>
          </wp:anchor>
        </w:drawing>
      </w:r>
    </w:p>
    <w:p>
      <w:pPr>
        <w:spacing w:after="0" w:line="368" w:lineRule="exact"/>
        <w:rPr>
          <w:sz w:val="20"/>
          <w:szCs w:val="20"/>
          <w:color w:val="auto"/>
        </w:rPr>
      </w:pPr>
    </w:p>
    <w:p>
      <w:pPr>
        <w:ind w:left="1500" w:right="659" w:firstLine="332"/>
        <w:spacing w:after="0" w:line="259"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41" w:lineRule="exact"/>
        <w:rPr>
          <w:sz w:val="20"/>
          <w:szCs w:val="20"/>
          <w:color w:val="auto"/>
        </w:rPr>
      </w:pPr>
    </w:p>
    <w:p>
      <w:pPr>
        <w:ind w:left="1500" w:right="439" w:firstLine="332"/>
        <w:spacing w:after="0" w:line="255" w:lineRule="auto"/>
        <w:rPr>
          <w:sz w:val="20"/>
          <w:szCs w:val="20"/>
          <w:color w:val="auto"/>
        </w:rPr>
      </w:pPr>
      <w:r>
        <w:rPr>
          <w:rFonts w:ascii="Times New Roman" w:cs="Times New Roman" w:eastAsia="Times New Roman" w:hAnsi="Times New Roman"/>
          <w:sz w:val="14"/>
          <w:szCs w:val="14"/>
          <w:color w:val="auto"/>
        </w:rPr>
        <w:t>We have not authorized anyone to provide any information other than that contained in or incorporated by reference in this prospectus supplement and any related free writing prospectus filed by us with the SEC. We have not, and the underwriters have not, authorized anyone to provide you with different information.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47" w:lineRule="exact"/>
        <w:rPr>
          <w:sz w:val="20"/>
          <w:szCs w:val="20"/>
          <w:color w:val="auto"/>
        </w:rPr>
      </w:pPr>
    </w:p>
    <w:p>
      <w:pPr>
        <w:ind w:left="1500" w:right="539" w:firstLine="332"/>
        <w:spacing w:after="0" w:line="283"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all references in this prospectus supplement to “Pharvaris N.V.,” “Pharvaris,” the “Company,” “we,” “our,” “ours,” “us” or similar terms refer to Pharvaris N.V.</w:t>
      </w:r>
    </w:p>
    <w:p>
      <w:pPr>
        <w:spacing w:after="0" w:line="2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ind w:left="1500" w:right="419" w:firstLine="332"/>
        <w:spacing w:after="0" w:line="255" w:lineRule="auto"/>
        <w:rPr>
          <w:sz w:val="20"/>
          <w:szCs w:val="20"/>
          <w:color w:val="auto"/>
        </w:rPr>
      </w:pPr>
      <w:r>
        <w:rPr>
          <w:rFonts w:ascii="Times New Roman" w:cs="Times New Roman" w:eastAsia="Times New Roman" w:hAnsi="Times New Roman"/>
          <w:sz w:val="14"/>
          <w:szCs w:val="14"/>
          <w:color w:val="auto"/>
        </w:rPr>
        <w:t>This prospectus supplement and the financial statements and other documents incorporated by reference in this prospectus supplement and the accompanying prospectus contain forward-looking statements, including statements concerning our use of proceeds,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Securities Exchange Act of 1934, as amended (the “Exchange Act”). Many of the forward-looking statements contained in this prospectus supplement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44" w:lineRule="exact"/>
        <w:rPr>
          <w:sz w:val="20"/>
          <w:szCs w:val="20"/>
          <w:color w:val="auto"/>
        </w:rPr>
      </w:pPr>
    </w:p>
    <w:p>
      <w:pPr>
        <w:ind w:left="1500" w:right="599" w:firstLine="332"/>
        <w:spacing w:after="0" w:line="283" w:lineRule="auto"/>
        <w:rPr>
          <w:sz w:val="20"/>
          <w:szCs w:val="20"/>
          <w:color w:val="auto"/>
        </w:rPr>
      </w:pPr>
      <w:r>
        <w:rPr>
          <w:rFonts w:ascii="Times New Roman" w:cs="Times New Roman" w:eastAsia="Times New Roman" w:hAnsi="Times New Roman"/>
          <w:sz w:val="14"/>
          <w:szCs w:val="14"/>
          <w:color w:val="auto"/>
        </w:rPr>
        <w:t>The following represent some, but not necessarily all, of the factors that could cause actual results to differ from historical results or those anticipated or predicted by our forward-looking statements:</w:t>
      </w:r>
    </w:p>
    <w:p>
      <w:pPr>
        <w:spacing w:after="0" w:line="52" w:lineRule="exact"/>
        <w:rPr>
          <w:sz w:val="20"/>
          <w:szCs w:val="20"/>
          <w:color w:val="auto"/>
        </w:rPr>
      </w:pPr>
    </w:p>
    <w:p>
      <w:pPr>
        <w:ind w:left="2220" w:right="459" w:hanging="316"/>
        <w:spacing w:after="0" w:line="267"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in the outcome of our interactions with regulatory authorities, including the U.S. Food and Drug Administration (the “FDA”), with respect to clinical trials in the U.S. and our ability to resolve any issues to the satisfaction of the FDA or any regulatory agency in a timely manner;</w:t>
      </w:r>
    </w:p>
    <w:p>
      <w:pPr>
        <w:spacing w:after="0" w:line="62" w:lineRule="exact"/>
        <w:rPr>
          <w:rFonts w:ascii="Times New Roman" w:cs="Times New Roman" w:eastAsia="Times New Roman" w:hAnsi="Times New Roman"/>
          <w:sz w:val="14"/>
          <w:szCs w:val="14"/>
          <w:color w:val="auto"/>
        </w:rPr>
      </w:pPr>
    </w:p>
    <w:p>
      <w:pPr>
        <w:ind w:left="2220" w:right="859" w:hanging="316"/>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progress, or success of our product candidates, especially for extended-release deucrictibant tablets (“XR tablets”), which is in late-stage global clinical trials;</w:t>
      </w:r>
    </w:p>
    <w:p>
      <w:pPr>
        <w:spacing w:after="0" w:line="51" w:lineRule="exact"/>
        <w:rPr>
          <w:rFonts w:ascii="Times New Roman" w:cs="Times New Roman" w:eastAsia="Times New Roman" w:hAnsi="Times New Roman"/>
          <w:sz w:val="14"/>
          <w:szCs w:val="14"/>
          <w:color w:val="auto"/>
        </w:rPr>
      </w:pPr>
    </w:p>
    <w:p>
      <w:pPr>
        <w:ind w:left="2220" w:right="519" w:hanging="316"/>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replicate the efficacy and safety demonstrated in the RAPIDe-1, RAPIDe-2, RAPIDe-3, and CHAPTER-1 Phase 2 and Phase 3 studies in ongoing and future nonclinical studies and clinical trials, such as CHAPTER-3 and CREAATE;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09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7825" cy="5097145"/>
                    </a:xfrm>
                    <a:prstGeom prst="rect">
                      <a:avLst/>
                    </a:prstGeom>
                    <a:noFill/>
                  </pic:spPr>
                </pic:pic>
              </a:graphicData>
            </a:graphic>
          </wp:anchor>
        </w:drawing>
      </w:r>
    </w:p>
    <w:p>
      <w:pPr>
        <w:spacing w:after="0" w:line="368" w:lineRule="exact"/>
        <w:rPr>
          <w:sz w:val="20"/>
          <w:szCs w:val="20"/>
          <w:color w:val="auto"/>
        </w:rPr>
      </w:pPr>
    </w:p>
    <w:p>
      <w:pPr>
        <w:ind w:left="2220" w:right="91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regulatory approvals, including the timing and outcome of our planned submission of a New Drug Application with the FDA in the first half of 2026 for the on-demand treatment of acute attacks of HAE (as defined below);</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arising from epidemic diseases which may adversely impact our business, nonclinical studies and clinical trials;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potentially use deucrictibant for alternative purposes, for example to treat AAE-C1INH (as defined below);</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ordinary shares;</w:t>
      </w:r>
    </w:p>
    <w:p>
      <w:pPr>
        <w:spacing w:after="0" w:line="102" w:lineRule="exact"/>
        <w:rPr>
          <w:rFonts w:ascii="Times New Roman" w:cs="Times New Roman" w:eastAsia="Times New Roman" w:hAnsi="Times New Roman"/>
          <w:sz w:val="14"/>
          <w:szCs w:val="14"/>
          <w:color w:val="auto"/>
        </w:rPr>
      </w:pPr>
    </w:p>
    <w:p>
      <w:pPr>
        <w:ind w:left="2220" w:right="65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costs and other limitations involved in obtaining regulatory approval for our product candidates, including immediate-release deucrictibant capsules (“IR capsules”) and XR tablets, or any other product candidate that we may develop in the future;</w:t>
      </w:r>
    </w:p>
    <w:p>
      <w:pPr>
        <w:spacing w:after="0" w:line="51" w:lineRule="exact"/>
        <w:rPr>
          <w:rFonts w:ascii="Times New Roman" w:cs="Times New Roman" w:eastAsia="Times New Roman" w:hAnsi="Times New Roman"/>
          <w:sz w:val="14"/>
          <w:szCs w:val="14"/>
          <w:color w:val="auto"/>
        </w:rPr>
      </w:pPr>
    </w:p>
    <w:p>
      <w:pPr>
        <w:ind w:left="2220" w:right="51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commercialize and achieve market acceptance for our product candidates IR capsules and XR tablets or any of our other product candidates that we may develop in the future, if approved;</w:t>
      </w:r>
    </w:p>
    <w:p>
      <w:pPr>
        <w:spacing w:after="0" w:line="51" w:lineRule="exact"/>
        <w:rPr>
          <w:rFonts w:ascii="Times New Roman" w:cs="Times New Roman" w:eastAsia="Times New Roman" w:hAnsi="Times New Roman"/>
          <w:sz w:val="14"/>
          <w:szCs w:val="14"/>
          <w:color w:val="auto"/>
        </w:rPr>
      </w:pPr>
    </w:p>
    <w:p>
      <w:pPr>
        <w:ind w:left="2220" w:right="61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commercial capabilities or enter into agreements with third parties to market, sell and distribute our product candidates;</w:t>
      </w:r>
    </w:p>
    <w:p>
      <w:pPr>
        <w:spacing w:after="0" w:line="51" w:lineRule="exact"/>
        <w:rPr>
          <w:rFonts w:ascii="Times New Roman" w:cs="Times New Roman" w:eastAsia="Times New Roman" w:hAnsi="Times New Roman"/>
          <w:sz w:val="14"/>
          <w:szCs w:val="14"/>
          <w:color w:val="auto"/>
        </w:rPr>
      </w:pPr>
    </w:p>
    <w:p>
      <w:pPr>
        <w:ind w:left="2220" w:right="91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 parties to perform critical activities related to the research, nonclinical safety and toxicology studies, development and manufacturing of our product candidates;</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FDA and other government agencies;</w:t>
      </w:r>
    </w:p>
    <w:p>
      <w:pPr>
        <w:spacing w:after="0" w:line="102" w:lineRule="exact"/>
        <w:rPr>
          <w:rFonts w:ascii="Times New Roman" w:cs="Times New Roman" w:eastAsia="Times New Roman" w:hAnsi="Times New Roman"/>
          <w:sz w:val="14"/>
          <w:szCs w:val="14"/>
          <w:color w:val="auto"/>
        </w:rPr>
      </w:pPr>
    </w:p>
    <w:p>
      <w:pPr>
        <w:ind w:left="2220" w:right="59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time and uncertainty involved in the development and consistent manufacturing and supply of our product candidates, some or all of which may never reach the regulatory approval stage;</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sufficient amounts of drug product candidates for commercialization;</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when needed and on acceptable terms;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any new licensing agreements or to maintain any licensing agreements with respect to our product candidates;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collaboration partners and licensees, whose actions we cannot control;</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private insurers and other payors to provide reimbursement for our products;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the European Union and other jurisdictions;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and timing of price negotiations with governmental authorities;</w:t>
      </w:r>
    </w:p>
    <w:p>
      <w:pPr>
        <w:spacing w:after="0" w:line="102" w:lineRule="exact"/>
        <w:rPr>
          <w:rFonts w:ascii="Times New Roman" w:cs="Times New Roman" w:eastAsia="Times New Roman" w:hAnsi="Times New Roman"/>
          <w:sz w:val="14"/>
          <w:szCs w:val="14"/>
          <w:color w:val="auto"/>
        </w:rPr>
      </w:pPr>
    </w:p>
    <w:p>
      <w:pPr>
        <w:ind w:left="2220" w:right="55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the pharmaceutical industry, including with respect to existing therapies, emerging potentially competitive therapies and with competitive generic products;</w:t>
      </w:r>
    </w:p>
    <w:p>
      <w:pPr>
        <w:spacing w:after="0" w:line="51" w:lineRule="exact"/>
        <w:rPr>
          <w:rFonts w:ascii="Times New Roman" w:cs="Times New Roman" w:eastAsia="Times New Roman" w:hAnsi="Times New Roman"/>
          <w:sz w:val="14"/>
          <w:szCs w:val="14"/>
          <w:color w:val="auto"/>
        </w:rPr>
      </w:pPr>
    </w:p>
    <w:p>
      <w:pPr>
        <w:ind w:left="2220" w:right="67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know-how and operate our business without infringing the intellectual property rights or regulatory exclusivity of others;</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side effects or adverse events associated with the use of our product candidates;</w:t>
      </w:r>
    </w:p>
    <w:p>
      <w:pPr>
        <w:spacing w:after="0" w:line="102" w:lineRule="exact"/>
        <w:rPr>
          <w:rFonts w:ascii="Times New Roman" w:cs="Times New Roman" w:eastAsia="Times New Roman" w:hAnsi="Times New Roman"/>
          <w:sz w:val="14"/>
          <w:szCs w:val="14"/>
          <w:color w:val="auto"/>
        </w:rPr>
      </w:pPr>
    </w:p>
    <w:p>
      <w:pPr>
        <w:ind w:left="2220" w:right="499" w:hanging="316"/>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defend against costly and damaging liability claims resulting from the testing of our product candidates in the clinic or, if, approved, any commercial sales;</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personnel;</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market sizes and anticipated uses of our product candidates;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future performance;</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173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7825" cy="3173095"/>
                    </a:xfrm>
                    <a:prstGeom prst="rect">
                      <a:avLst/>
                    </a:prstGeom>
                    <a:noFill/>
                  </pic:spPr>
                </pic:pic>
              </a:graphicData>
            </a:graphic>
          </wp:anchor>
        </w:drawing>
      </w:r>
    </w:p>
    <w:p>
      <w:pPr>
        <w:spacing w:after="0" w:line="368" w:lineRule="exact"/>
        <w:rPr>
          <w:sz w:val="20"/>
          <w:szCs w:val="20"/>
          <w:color w:val="auto"/>
        </w:rPr>
      </w:pPr>
    </w:p>
    <w:p>
      <w:pPr>
        <w:ind w:left="2220" w:right="699" w:hanging="316"/>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anticipated operating losses, future revenues, expenses, capital requirements and our needs for additional financing;</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or future laws and regulations in a cost-efficient manner;</w:t>
      </w:r>
    </w:p>
    <w:p>
      <w:pPr>
        <w:spacing w:after="0" w:line="102" w:lineRule="exact"/>
        <w:rPr>
          <w:rFonts w:ascii="Times New Roman" w:cs="Times New Roman" w:eastAsia="Times New Roman" w:hAnsi="Times New Roman"/>
          <w:sz w:val="14"/>
          <w:szCs w:val="14"/>
          <w:color w:val="auto"/>
        </w:rPr>
      </w:pPr>
    </w:p>
    <w:p>
      <w:pPr>
        <w:ind w:left="2220" w:right="779" w:hanging="316"/>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negative consequences from changes in applicable laws and regulations, including tax laws (including the Biosecure Act);</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 over financial reporting;</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 foreign private issuer;</w:t>
      </w:r>
    </w:p>
    <w:p>
      <w:pPr>
        <w:spacing w:after="0" w:line="102" w:lineRule="exact"/>
        <w:rPr>
          <w:rFonts w:ascii="Times New Roman" w:cs="Times New Roman" w:eastAsia="Times New Roman" w:hAnsi="Times New Roman"/>
          <w:sz w:val="14"/>
          <w:szCs w:val="14"/>
          <w:color w:val="auto"/>
        </w:rPr>
      </w:pPr>
    </w:p>
    <w:p>
      <w:pPr>
        <w:ind w:left="2220" w:right="839" w:hanging="316"/>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uncertainty in general market, political and economic conditions, including as a result of inflation and the conflict between Russia and Ukraine and the conflict in the Middle East;</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and customs, tariffs and trade barriers; and</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discussed herein under “Risk Factors” or incorporated herein by reference.</w:t>
      </w:r>
    </w:p>
    <w:p>
      <w:pPr>
        <w:spacing w:after="0" w:line="176" w:lineRule="exact"/>
        <w:rPr>
          <w:sz w:val="20"/>
          <w:szCs w:val="20"/>
          <w:color w:val="auto"/>
        </w:rPr>
      </w:pPr>
    </w:p>
    <w:p>
      <w:pPr>
        <w:ind w:left="1500" w:right="419" w:firstLine="332"/>
        <w:spacing w:after="0" w:line="257" w:lineRule="auto"/>
        <w:rPr>
          <w:sz w:val="20"/>
          <w:szCs w:val="20"/>
          <w:color w:val="auto"/>
        </w:rPr>
      </w:pPr>
      <w:r>
        <w:rPr>
          <w:rFonts w:ascii="Times New Roman" w:cs="Times New Roman" w:eastAsia="Times New Roman" w:hAnsi="Times New Roman"/>
          <w:sz w:val="14"/>
          <w:szCs w:val="14"/>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44" w:lineRule="exact"/>
        <w:rPr>
          <w:sz w:val="20"/>
          <w:szCs w:val="20"/>
          <w:color w:val="auto"/>
        </w:rPr>
      </w:pPr>
    </w:p>
    <w:p>
      <w:pPr>
        <w:ind w:left="1500" w:right="399" w:firstLine="332"/>
        <w:spacing w:after="0" w:line="259" w:lineRule="auto"/>
        <w:rPr>
          <w:sz w:val="20"/>
          <w:szCs w:val="20"/>
          <w:color w:val="auto"/>
        </w:rPr>
      </w:pPr>
      <w:r>
        <w:rPr>
          <w:rFonts w:ascii="Times New Roman" w:cs="Times New Roman" w:eastAsia="Times New Roman" w:hAnsi="Times New Roman"/>
          <w:sz w:val="14"/>
          <w:szCs w:val="14"/>
          <w:color w:val="auto"/>
        </w:rPr>
        <w:t>In particular, you should consider the numerous risks described in our Annual Report on Form 20-F for the period ended December 31, 2025, as filed with the SEC on April 2, 2026, and as described or may be described in any subsequent Annual Report on Form 20-F under the heading “Item 3.D. Risk Factors,” which are incorporated by reference into this prospectus supplement, and any other documents we file with the SEC that are deemed incorporated by reference into this prospectus and in the “Risk Factors” section in the applicable prospectus supplement. See “Where You Can Find More Information.”</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16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7825" cy="451612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6" w:lineRule="exact"/>
        <w:rPr>
          <w:sz w:val="20"/>
          <w:szCs w:val="20"/>
          <w:color w:val="auto"/>
        </w:rPr>
      </w:pPr>
    </w:p>
    <w:p>
      <w:pPr>
        <w:ind w:left="1500" w:right="379" w:firstLine="332"/>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related to this offering discussed under “Risk Factors” beginning on page S-10 of this prospectus supplement, along with the other risk factors, our consolidated financial statements and notes to those consolidated financial statements and the other information incorporated by reference in this prospectus supplement.</w:t>
      </w:r>
    </w:p>
    <w:p>
      <w:pPr>
        <w:spacing w:after="0" w:line="31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PHARVARIS N.V.</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4" w:lineRule="exact"/>
        <w:rPr>
          <w:sz w:val="20"/>
          <w:szCs w:val="20"/>
          <w:color w:val="auto"/>
        </w:rPr>
      </w:pPr>
    </w:p>
    <w:p>
      <w:pPr>
        <w:ind w:left="1500" w:right="399" w:firstLine="332"/>
        <w:spacing w:after="0" w:line="238" w:lineRule="auto"/>
        <w:rPr>
          <w:sz w:val="20"/>
          <w:szCs w:val="20"/>
          <w:color w:val="auto"/>
        </w:rPr>
      </w:pPr>
      <w:r>
        <w:rPr>
          <w:rFonts w:ascii="Times New Roman" w:cs="Times New Roman" w:eastAsia="Times New Roman" w:hAnsi="Times New Roman"/>
          <w:sz w:val="14"/>
          <w:szCs w:val="14"/>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PHA-022121 or PHA121), is a novel, oral, small-molecule bradykinin B2 receptor antagonist under development for the prevention or treatment of attacks due to bradykinin-mediated angioedema (“AE-BK”), including hereditary angioedema (“HAE”) and acquired angioedema due to C1-inhibitor deficiency (“AAE-C1INH”). Deucrictibant has the potential to address unmet medical needs by bringing improvements beyond the therapeutic profile of existing medicines and providing patients with quality of life and convenience that is superior to current standard-of-care. We believe deucrictibant has the potential to provide injectable-like efficacy</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with a well-tolerated profile that provides the convenience of an oral therapy for both the prophylactic and on-demand treatment of HAE attacks.</w:t>
      </w:r>
    </w:p>
    <w:p>
      <w:pPr>
        <w:spacing w:after="0" w:line="158" w:lineRule="exact"/>
        <w:rPr>
          <w:sz w:val="20"/>
          <w:szCs w:val="20"/>
          <w:color w:val="auto"/>
        </w:rPr>
      </w:pPr>
    </w:p>
    <w:p>
      <w:pPr>
        <w:ind w:left="1500" w:right="439" w:firstLine="332"/>
        <w:spacing w:after="0" w:line="259" w:lineRule="auto"/>
        <w:rPr>
          <w:sz w:val="20"/>
          <w:szCs w:val="20"/>
          <w:color w:val="auto"/>
        </w:rPr>
      </w:pPr>
      <w:r>
        <w:rPr>
          <w:rFonts w:ascii="Times New Roman" w:cs="Times New Roman" w:eastAsia="Times New Roman" w:hAnsi="Times New Roman"/>
          <w:sz w:val="14"/>
          <w:szCs w:val="14"/>
          <w:color w:val="auto"/>
        </w:rPr>
        <w:t>Deucrictibant may address unmet medical needs of people living with AE-BK by both preventing attacks from occurring, using an XR tablet (previously referred to as PHVS719), as well as treat the manifestations of attacks, using an IR capsule (previously referred to as PHVS416). The XR tablet formulation is designed to maintain therapeutic levels for over 24 hours and to achieve a steady-state plasma concentration within 2-3 days, supporting a once-daily dosing regimen. The IR capsule formulation is designed to rapidly reach therapeutic exposure in order to mitigate HAE attacks symptoms quickly and completely with a single oral dose.</w:t>
      </w:r>
    </w:p>
    <w:p>
      <w:pPr>
        <w:spacing w:after="0" w:line="141"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w:t>
      </w:r>
    </w:p>
    <w:p>
      <w:pPr>
        <w:spacing w:after="0" w:line="141" w:lineRule="exact"/>
        <w:rPr>
          <w:sz w:val="20"/>
          <w:szCs w:val="20"/>
          <w:color w:val="auto"/>
        </w:rPr>
      </w:pPr>
    </w:p>
    <w:p>
      <w:pPr>
        <w:ind w:left="1500" w:right="479" w:firstLine="332"/>
        <w:spacing w:after="0" w:line="259" w:lineRule="auto"/>
        <w:rPr>
          <w:sz w:val="20"/>
          <w:szCs w:val="20"/>
          <w:color w:val="auto"/>
        </w:rPr>
      </w:pPr>
      <w:r>
        <w:rPr>
          <w:rFonts w:ascii="Times New Roman" w:cs="Times New Roman" w:eastAsia="Times New Roman" w:hAnsi="Times New Roman"/>
          <w:sz w:val="14"/>
          <w:szCs w:val="14"/>
          <w:color w:val="auto"/>
        </w:rPr>
        <w:t>We initiated RAPIDe-3, a global, pivotal Phase 3, placebo-controlled study to evaluate deucrictibant IR capsule (20 mg) for the on-demand treatment of attacks in people 12 years and older with HAE, in March 2024 and reported topline data in December 2025. Deucrictibant demonstrated a clinically differentiated profile by meeting the primary and all key secondary efficacy endpoints with statistical significance and was well tolerated. Pharvaris plans to submit a New Drug Application with the FDA in the first half of 2026 for the on-demand treatment of acute attacks of HAE.</w:t>
      </w:r>
    </w:p>
    <w:p>
      <w:pPr>
        <w:spacing w:after="0" w:line="141" w:lineRule="exact"/>
        <w:rPr>
          <w:sz w:val="20"/>
          <w:szCs w:val="20"/>
          <w:color w:val="auto"/>
        </w:rPr>
      </w:pPr>
    </w:p>
    <w:p>
      <w:pPr>
        <w:ind w:left="1500" w:right="839" w:firstLine="332"/>
        <w:spacing w:after="0" w:line="283" w:lineRule="auto"/>
        <w:rPr>
          <w:sz w:val="20"/>
          <w:szCs w:val="20"/>
          <w:color w:val="auto"/>
        </w:rPr>
      </w:pPr>
      <w:r>
        <w:rPr>
          <w:rFonts w:ascii="Times New Roman" w:cs="Times New Roman" w:eastAsia="Times New Roman" w:hAnsi="Times New Roman"/>
          <w:sz w:val="14"/>
          <w:szCs w:val="14"/>
          <w:color w:val="auto"/>
        </w:rPr>
        <w:t>In December 2024, we initiated CHAPTER-3, a global, pivotal, randomized, double-blind, placebo-controlled Phase 3 study of orally administered XR tablet for the prophylaxis against angioedema attacks in adults and adolescents (12 years and older) with HAE.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137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7825" cy="5137150"/>
                    </a:xfrm>
                    <a:prstGeom prst="rect">
                      <a:avLst/>
                    </a:prstGeom>
                    <a:noFill/>
                  </pic:spPr>
                </pic:pic>
              </a:graphicData>
            </a:graphic>
          </wp:anchor>
        </w:drawing>
      </w:r>
    </w:p>
    <w:p>
      <w:pPr>
        <w:spacing w:after="0" w:line="368" w:lineRule="exact"/>
        <w:rPr>
          <w:sz w:val="20"/>
          <w:szCs w:val="20"/>
          <w:color w:val="auto"/>
        </w:rPr>
      </w:pPr>
    </w:p>
    <w:p>
      <w:pPr>
        <w:ind w:left="1500" w:right="519" w:firstLine="332"/>
        <w:spacing w:after="0" w:line="267" w:lineRule="auto"/>
        <w:rPr>
          <w:sz w:val="20"/>
          <w:szCs w:val="20"/>
          <w:color w:val="auto"/>
        </w:rPr>
      </w:pPr>
      <w:r>
        <w:rPr>
          <w:rFonts w:ascii="Times New Roman" w:cs="Times New Roman" w:eastAsia="Times New Roman" w:hAnsi="Times New Roman"/>
          <w:sz w:val="14"/>
          <w:szCs w:val="14"/>
          <w:color w:val="auto"/>
        </w:rPr>
        <w:t>In addition, we are also running open-label extension studies in both on-demand (RAPIDe-2) and prophylactic (CHAPTER-4) settings to collect long-term safety and efficacy data in HAE patients. In October 2025, we initiated CREAATE, a global, pivotal Phase 3 study to assess the efficacy and safety of deucrictibant for the prophylactic and on-demand treatment of AAE-C1INH attacks.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Cash Balance</w:t>
      </w:r>
    </w:p>
    <w:p>
      <w:pPr>
        <w:spacing w:after="0" w:line="94" w:lineRule="exact"/>
        <w:rPr>
          <w:sz w:val="20"/>
          <w:szCs w:val="20"/>
          <w:color w:val="auto"/>
        </w:rPr>
      </w:pPr>
    </w:p>
    <w:p>
      <w:pPr>
        <w:ind w:left="1500" w:right="479" w:firstLine="332"/>
        <w:spacing w:after="0" w:line="259" w:lineRule="auto"/>
        <w:rPr>
          <w:sz w:val="20"/>
          <w:szCs w:val="20"/>
          <w:color w:val="auto"/>
        </w:rPr>
      </w:pPr>
      <w:r>
        <w:rPr>
          <w:rFonts w:ascii="Times New Roman" w:cs="Times New Roman" w:eastAsia="Times New Roman" w:hAnsi="Times New Roman"/>
          <w:sz w:val="14"/>
          <w:szCs w:val="14"/>
          <w:color w:val="auto"/>
        </w:rPr>
        <w:t>The Company held cash and cash equivalents of approximately €247.0 million as of March 31, 2026. The preliminary financial data related to cash and cash equivalents as of March 31, 2026 included in this prospectus supplement has been prepared by, and is the responsibility of, Pharvaris management. PricewaterhouseCoopers Accountants N.V. has not audited, reviewed, examined, compiled, nor applied agreed-upon procedures with respect to this preliminary financial data. Accordingly, PricewaterhouseCoopers Accountants N.V. does not express an opinion or any other form of assurance with respect thereto.</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500" w:right="379" w:firstLine="332"/>
        <w:spacing w:after="0" w:line="267" w:lineRule="auto"/>
        <w:rPr>
          <w:sz w:val="20"/>
          <w:szCs w:val="20"/>
          <w:color w:val="auto"/>
        </w:rPr>
      </w:pPr>
      <w:r>
        <w:rPr>
          <w:rFonts w:ascii="Times New Roman" w:cs="Times New Roman" w:eastAsia="Times New Roman" w:hAnsi="Times New Roman"/>
          <w:sz w:val="14"/>
          <w:szCs w:val="14"/>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4"/>
          <w:szCs w:val="14"/>
          <w:i w:val="1"/>
          <w:iCs w:val="1"/>
          <w:color w:val="auto"/>
        </w:rPr>
        <w:t>www.pharvaris.com</w:t>
      </w:r>
      <w:r>
        <w:rPr>
          <w:rFonts w:ascii="Times New Roman" w:cs="Times New Roman" w:eastAsia="Times New Roman" w:hAnsi="Times New Roman"/>
          <w:sz w:val="14"/>
          <w:szCs w:val="14"/>
          <w:color w:val="auto"/>
        </w:rPr>
        <w:t>. The information contained on our website is not a part of this prospectus.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94" w:lineRule="exact"/>
        <w:rPr>
          <w:sz w:val="20"/>
          <w:szCs w:val="20"/>
          <w:color w:val="auto"/>
        </w:rPr>
      </w:pPr>
    </w:p>
    <w:p>
      <w:pPr>
        <w:jc w:val="both"/>
        <w:ind w:left="1500" w:right="659" w:firstLine="332"/>
        <w:spacing w:after="0" w:line="267" w:lineRule="auto"/>
        <w:rPr>
          <w:sz w:val="20"/>
          <w:szCs w:val="20"/>
          <w:color w:val="auto"/>
        </w:rPr>
      </w:pPr>
      <w:r>
        <w:rPr>
          <w:rFonts w:ascii="Times New Roman" w:cs="Times New Roman" w:eastAsia="Times New Roman" w:hAnsi="Times New Roman"/>
          <w:sz w:val="14"/>
          <w:szCs w:val="14"/>
          <w:color w:val="auto"/>
        </w:rPr>
        <w:t>We report under the Exchange Act, as a non-U.S. company with foreign private issuer status. As such, we are permitted to follow certain governance practices of the Netherlands instead of those otherwise required under SEC or the Nasdaq Stock Market rules for domestic issuers, including:</w:t>
      </w:r>
    </w:p>
    <w:p>
      <w:pPr>
        <w:spacing w:after="0" w:line="62" w:lineRule="exact"/>
        <w:rPr>
          <w:sz w:val="20"/>
          <w:szCs w:val="20"/>
          <w:color w:val="auto"/>
        </w:rPr>
      </w:pPr>
    </w:p>
    <w:p>
      <w:pPr>
        <w:ind w:left="2220" w:right="439" w:hanging="316"/>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filing quarterly reports on Form 10-Q and current reports on Form 8-K disclosing significant events within four days of their occurrence.</w:t>
      </w:r>
    </w:p>
    <w:p>
      <w:pPr>
        <w:spacing w:after="0" w:line="51" w:lineRule="exact"/>
        <w:rPr>
          <w:rFonts w:ascii="Times New Roman" w:cs="Times New Roman" w:eastAsia="Times New Roman" w:hAnsi="Times New Roman"/>
          <w:sz w:val="14"/>
          <w:szCs w:val="14"/>
          <w:color w:val="auto"/>
        </w:rPr>
      </w:pPr>
    </w:p>
    <w:p>
      <w:pPr>
        <w:ind w:left="2220" w:right="539" w:hanging="316"/>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Nasdaq Stock Market rules applicable to domestic issuers requiring disclosure within four business days of any determination to grant a waiver of the code of business conduct and ethics to directors and officers.</w:t>
      </w:r>
    </w:p>
    <w:p>
      <w:pPr>
        <w:spacing w:after="0" w:line="51" w:lineRule="exact"/>
        <w:rPr>
          <w:rFonts w:ascii="Times New Roman" w:cs="Times New Roman" w:eastAsia="Times New Roman" w:hAnsi="Times New Roman"/>
          <w:sz w:val="14"/>
          <w:szCs w:val="14"/>
          <w:color w:val="auto"/>
        </w:rPr>
      </w:pPr>
    </w:p>
    <w:p>
      <w:pPr>
        <w:ind w:left="2220" w:right="579" w:hanging="316"/>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that we provide in our bylaws for a generally applicable quorum and that such quorum not be less than one-third of the outstanding voting stock.</w:t>
      </w:r>
    </w:p>
    <w:p>
      <w:pPr>
        <w:spacing w:after="0" w:line="51" w:lineRule="exact"/>
        <w:rPr>
          <w:rFonts w:ascii="Times New Roman" w:cs="Times New Roman" w:eastAsia="Times New Roman" w:hAnsi="Times New Roman"/>
          <w:sz w:val="14"/>
          <w:szCs w:val="14"/>
          <w:color w:val="auto"/>
        </w:rPr>
      </w:pPr>
    </w:p>
    <w:p>
      <w:pPr>
        <w:ind w:left="2220" w:right="759" w:hanging="316"/>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that we solicit proxies and provide proxy statements for all meetings of Shareholders and shall provide copies of such proxy solicitation to Nasdaq Stock Market.</w:t>
      </w:r>
    </w:p>
    <w:p>
      <w:pPr>
        <w:spacing w:after="0" w:line="51" w:lineRule="exact"/>
        <w:rPr>
          <w:rFonts w:ascii="Times New Roman" w:cs="Times New Roman" w:eastAsia="Times New Roman" w:hAnsi="Times New Roman"/>
          <w:sz w:val="14"/>
          <w:szCs w:val="14"/>
          <w:color w:val="auto"/>
        </w:rPr>
      </w:pPr>
    </w:p>
    <w:p>
      <w:pPr>
        <w:ind w:left="2220" w:right="519" w:hanging="316"/>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36" w:lineRule="exact"/>
        <w:rPr>
          <w:sz w:val="20"/>
          <w:szCs w:val="20"/>
          <w:color w:val="auto"/>
        </w:rPr>
      </w:pPr>
    </w:p>
    <w:p>
      <w:pPr>
        <w:ind w:left="1500" w:right="419" w:firstLine="332"/>
        <w:spacing w:after="0" w:line="283" w:lineRule="auto"/>
        <w:rPr>
          <w:sz w:val="20"/>
          <w:szCs w:val="20"/>
          <w:color w:val="auto"/>
        </w:rPr>
      </w:pPr>
      <w:r>
        <w:rPr>
          <w:rFonts w:ascii="Times New Roman" w:cs="Times New Roman" w:eastAsia="Times New Roman" w:hAnsi="Times New Roman"/>
          <w:sz w:val="14"/>
          <w:szCs w:val="14"/>
          <w:color w:val="auto"/>
        </w:rPr>
        <w:t>Nasdaq Stock Market Rule 5615(a)(3) provides that a foreign private issuer may rely on home country corporate governance practices in lieu of certain of the rules in the Nasdaq Stock Market Rule 5600 Series, Rule 5250(b)(3) and Rule 5250(d).</w:t>
      </w:r>
    </w:p>
    <w:p>
      <w:pPr>
        <w:spacing w:after="0" w:line="125" w:lineRule="exact"/>
        <w:rPr>
          <w:sz w:val="20"/>
          <w:szCs w:val="20"/>
          <w:color w:val="auto"/>
        </w:rPr>
      </w:pPr>
    </w:p>
    <w:p>
      <w:pPr>
        <w:ind w:left="1500" w:right="559" w:firstLine="332"/>
        <w:spacing w:after="0" w:line="261" w:lineRule="auto"/>
        <w:rPr>
          <w:sz w:val="20"/>
          <w:szCs w:val="20"/>
          <w:color w:val="auto"/>
        </w:rPr>
      </w:pPr>
      <w:r>
        <w:rPr>
          <w:rFonts w:ascii="Times New Roman" w:cs="Times New Roman" w:eastAsia="Times New Roman" w:hAnsi="Times New Roman"/>
          <w:sz w:val="14"/>
          <w:szCs w:val="14"/>
          <w:color w:val="auto"/>
        </w:rPr>
        <w:t>Effective March 18, 2026, directors and officers of foreign private issuers must comply with Section 16(a) of the Exchange Act to report equity ownership and trading via Forms 3, 4, and 5. This removes the previous exemption for directors and officers of foreign private issuers but notably excludes 10% beneficial owners from Section 16 requirements. Because we are a foreign private issuer, our directors and senior management are not subject to short-swing profit obligations under Section 16 of the Exchange Act.</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634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7825" cy="3634105"/>
                    </a:xfrm>
                    <a:prstGeom prst="rect">
                      <a:avLst/>
                    </a:prstGeom>
                    <a:noFill/>
                  </pic:spPr>
                </pic:pic>
              </a:graphicData>
            </a:graphic>
          </wp:anchor>
        </w:drawing>
      </w:r>
    </w:p>
    <w:p>
      <w:pPr>
        <w:spacing w:after="0" w:line="3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6" w:right="1440" w:bottom="1440" w:gutter="0" w:footer="0" w:header="0"/>
        </w:sectPr>
      </w:pPr>
    </w:p>
    <w:p>
      <w:pPr>
        <w:spacing w:after="0" w:line="19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3"/>
          <w:szCs w:val="13"/>
          <w:b w:val="1"/>
          <w:bCs w:val="1"/>
          <w:color w:val="auto"/>
        </w:rPr>
        <w:t>Ordinary shares offered by us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3,874,664 of ordinary shares.</w:t>
      </w:r>
    </w:p>
    <w:p>
      <w:pPr>
        <w:spacing w:after="0" w:line="122"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60" w:hanging="61"/>
        <w:spacing w:after="0" w:line="286" w:lineRule="auto"/>
        <w:rPr>
          <w:sz w:val="20"/>
          <w:szCs w:val="20"/>
          <w:color w:val="auto"/>
        </w:rPr>
      </w:pPr>
      <w:r>
        <w:rPr>
          <w:rFonts w:ascii="Times New Roman" w:cs="Times New Roman" w:eastAsia="Times New Roman" w:hAnsi="Times New Roman"/>
          <w:sz w:val="14"/>
          <w:szCs w:val="14"/>
          <w:b w:val="1"/>
          <w:bCs w:val="1"/>
          <w:color w:val="auto"/>
        </w:rPr>
        <w:t>Ordinary shares to be outstanding after this offering</w:t>
      </w:r>
    </w:p>
    <w:p>
      <w:pPr>
        <w:spacing w:after="0" w:line="20" w:lineRule="exact"/>
        <w:rPr>
          <w:sz w:val="20"/>
          <w:szCs w:val="20"/>
          <w:color w:val="auto"/>
        </w:rPr>
      </w:pPr>
      <w:r>
        <w:rPr>
          <w:sz w:val="20"/>
          <w:szCs w:val="20"/>
          <w:color w:val="auto"/>
        </w:rPr>
        <w:br w:type="column"/>
      </w:r>
    </w:p>
    <w:p>
      <w:pPr>
        <w:ind w:right="379"/>
        <w:spacing w:after="0" w:line="283" w:lineRule="auto"/>
        <w:rPr>
          <w:sz w:val="20"/>
          <w:szCs w:val="20"/>
          <w:color w:val="auto"/>
        </w:rPr>
      </w:pPr>
      <w:r>
        <w:rPr>
          <w:rFonts w:ascii="Times New Roman" w:cs="Times New Roman" w:eastAsia="Times New Roman" w:hAnsi="Times New Roman"/>
          <w:sz w:val="14"/>
          <w:szCs w:val="14"/>
          <w:color w:val="auto"/>
        </w:rPr>
        <w:t>69,085,254 ordinary shares, or 69,666,453 ordinary shares if the underwriters exercise their option to purchase additional ordinary shares in full.</w:t>
      </w:r>
    </w:p>
    <w:p>
      <w:pPr>
        <w:spacing w:after="0" w:line="60" w:lineRule="exact"/>
        <w:rPr>
          <w:sz w:val="20"/>
          <w:szCs w:val="20"/>
          <w:color w:val="auto"/>
        </w:rPr>
      </w:pPr>
    </w:p>
    <w:p>
      <w:pPr>
        <w:sectPr>
          <w:pgSz w:w="11900" w:h="16838" w:orient="portrait"/>
          <w:cols w:equalWidth="0" w:num="2">
            <w:col w:w="4120" w:space="5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b w:val="1"/>
          <w:bCs w:val="1"/>
          <w:color w:val="auto"/>
        </w:rPr>
        <w:t>Underwriters’ option to Purchase Additional</w:t>
      </w:r>
    </w:p>
    <w:p>
      <w:pPr>
        <w:spacing w:after="0" w:line="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20" w:lineRule="exact"/>
        <w:rPr>
          <w:sz w:val="20"/>
          <w:szCs w:val="20"/>
          <w:color w:val="auto"/>
        </w:rPr>
      </w:pPr>
      <w:r>
        <w:rPr>
          <w:sz w:val="20"/>
          <w:szCs w:val="20"/>
          <w:color w:val="auto"/>
        </w:rPr>
        <w:br w:type="column"/>
      </w:r>
    </w:p>
    <w:p>
      <w:pPr>
        <w:ind w:right="579"/>
        <w:spacing w:after="0" w:line="267" w:lineRule="auto"/>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581,199 ordinary shares from us, at the public offering price, less the underwriting discounts and commissions, for a period of 30 days after the date of this prospectus supplement.</w:t>
      </w:r>
    </w:p>
    <w:p>
      <w:pPr>
        <w:spacing w:after="0" w:line="60" w:lineRule="exact"/>
        <w:rPr>
          <w:sz w:val="20"/>
          <w:szCs w:val="20"/>
          <w:color w:val="auto"/>
        </w:rPr>
      </w:pPr>
    </w:p>
    <w:p>
      <w:pPr>
        <w:sectPr>
          <w:pgSz w:w="11900" w:h="16838" w:orient="portrait"/>
          <w:cols w:equalWidth="0" w:num="2">
            <w:col w:w="4180" w:space="46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ind w:right="419"/>
        <w:spacing w:after="0" w:line="259" w:lineRule="auto"/>
        <w:rPr>
          <w:sz w:val="20"/>
          <w:szCs w:val="20"/>
          <w:color w:val="auto"/>
        </w:rPr>
      </w:pPr>
      <w:r>
        <w:rPr>
          <w:rFonts w:ascii="Times New Roman" w:cs="Times New Roman" w:eastAsia="Times New Roman" w:hAnsi="Times New Roman"/>
          <w:sz w:val="14"/>
          <w:szCs w:val="14"/>
          <w:color w:val="auto"/>
        </w:rPr>
        <w:t>We intend to use the net proceeds of this offering primarily to fund research and development expenses for our late-stage clinical programs, the expansion of a sales and marketing team in the U.S. and related commercialization expenses, as well as for working capital and general corporate purposes. See the section entitled “Use of Proceeds” on page S-12 of this prospectus supplement.</w:t>
      </w:r>
    </w:p>
    <w:p>
      <w:pPr>
        <w:spacing w:after="0" w:line="66"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459"/>
        <w:spacing w:after="0" w:line="261" w:lineRule="auto"/>
        <w:rPr>
          <w:sz w:val="20"/>
          <w:szCs w:val="20"/>
          <w:color w:val="auto"/>
        </w:rPr>
      </w:pPr>
      <w:r>
        <w:rPr>
          <w:rFonts w:ascii="Times New Roman" w:cs="Times New Roman" w:eastAsia="Times New Roman" w:hAnsi="Times New Roman"/>
          <w:sz w:val="14"/>
          <w:szCs w:val="14"/>
          <w:color w:val="auto"/>
        </w:rPr>
        <w:t>See “Risk Factors” beginning on page S-8 of this prospectus supplement and the other information included in, or incorporated by reference into, this prospectus supplement and the accompanying prospectus for a discussion of certain factors you should carefully consider before deciding to invest in our ordinary shares.</w:t>
      </w:r>
    </w:p>
    <w:p>
      <w:pPr>
        <w:spacing w:after="0" w:line="66"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“PHVS.”</w:t>
      </w:r>
    </w:p>
    <w:p>
      <w:pPr>
        <w:spacing w:after="0" w:line="186" w:lineRule="exact"/>
        <w:rPr>
          <w:sz w:val="20"/>
          <w:szCs w:val="20"/>
          <w:color w:val="auto"/>
        </w:rPr>
      </w:pPr>
    </w:p>
    <w:p>
      <w:pPr>
        <w:sectPr>
          <w:pgSz w:w="11900" w:h="16838" w:orient="portrait"/>
          <w:cols w:equalWidth="0" w:num="2">
            <w:col w:w="4020" w:space="620"/>
            <w:col w:w="5519"/>
          </w:cols>
          <w:pgMar w:left="300" w:top="386" w:right="1440" w:bottom="1440" w:gutter="0" w:footer="0" w:header="0"/>
          <w:type w:val="continuous"/>
        </w:sectPr>
      </w:pPr>
    </w:p>
    <w:p>
      <w:pPr>
        <w:ind w:left="1500" w:right="459" w:firstLine="332"/>
        <w:spacing w:after="0" w:line="283" w:lineRule="auto"/>
        <w:rPr>
          <w:sz w:val="20"/>
          <w:szCs w:val="20"/>
          <w:color w:val="auto"/>
        </w:rPr>
      </w:pPr>
      <w:r>
        <w:rPr>
          <w:rFonts w:ascii="Times New Roman" w:cs="Times New Roman" w:eastAsia="Times New Roman" w:hAnsi="Times New Roman"/>
          <w:sz w:val="14"/>
          <w:szCs w:val="14"/>
          <w:color w:val="auto"/>
        </w:rPr>
        <w:t>The number of our ordinary shares to be outstanding after this offering is based on our ordinary shares outstanding as of December 31, 2025 and excludes:</w:t>
      </w:r>
    </w:p>
    <w:p>
      <w:pPr>
        <w:spacing w:after="0" w:line="52" w:lineRule="exact"/>
        <w:rPr>
          <w:sz w:val="20"/>
          <w:szCs w:val="20"/>
          <w:color w:val="auto"/>
        </w:rPr>
      </w:pPr>
    </w:p>
    <w:p>
      <w:pPr>
        <w:ind w:left="2220" w:right="579" w:hanging="316"/>
        <w:spacing w:after="0" w:line="283"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3,951,032 of our ordinary shares issuable upon the exercise of options outstanding as of December 31, 2025, at a weighted-average exercise price of $15.29 per ordinary share; and</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1,417,632 ordinary shares issuable upon vesting of restricted stock units under our equity incentive plan as of December 31, 2025.</w:t>
      </w:r>
    </w:p>
    <w:p>
      <w:pPr>
        <w:spacing w:after="0" w:line="176" w:lineRule="exact"/>
        <w:rPr>
          <w:sz w:val="20"/>
          <w:szCs w:val="20"/>
          <w:color w:val="auto"/>
        </w:rPr>
      </w:pPr>
    </w:p>
    <w:p>
      <w:pPr>
        <w:jc w:val="both"/>
        <w:ind w:left="1500" w:right="399" w:firstLine="332"/>
        <w:spacing w:after="0" w:line="267" w:lineRule="auto"/>
        <w:rPr>
          <w:sz w:val="20"/>
          <w:szCs w:val="20"/>
          <w:color w:val="auto"/>
        </w:rPr>
      </w:pPr>
      <w:r>
        <w:rPr>
          <w:rFonts w:ascii="Times New Roman" w:cs="Times New Roman" w:eastAsia="Times New Roman" w:hAnsi="Times New Roman"/>
          <w:sz w:val="14"/>
          <w:szCs w:val="14"/>
          <w:color w:val="auto"/>
        </w:rPr>
        <w:t>Unless otherwise stated, all information contained in this prospectus supplement reflects and assumes no exercise of the outstanding options or settlement of the outstanding restricted stock units referred to above after December 31, 2025 and no exercise by the underwriters of their option to purchase up to an additional 581,199 ordinary shares in this offering.</w:t>
      </w:r>
    </w:p>
    <w:p>
      <w:pPr>
        <w:spacing w:after="0" w:line="2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6"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You should carefully consider the risks and uncertainties described below, as well as those risks and uncertainties identified in the documents incorporated by reference herein, including our most recent Annual Report on Form 20-F,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92" w:lineRule="exact"/>
        <w:rPr>
          <w:sz w:val="20"/>
          <w:szCs w:val="20"/>
          <w:color w:val="auto"/>
        </w:rPr>
      </w:pPr>
    </w:p>
    <w:p>
      <w:pPr>
        <w:ind w:left="1360" w:right="5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or the possibility of future sales, of a substantial number of our ordinary shares could adversely affect the price of the shares and dilute shareholders.</w:t>
      </w:r>
    </w:p>
    <w:p>
      <w:pPr>
        <w:spacing w:after="0" w:line="3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Future sales of a substantial number of our ordinary shares, or the perception that such sales will occur, could cause a decline in the market price of our ordinary shares. Pursuant to our at-the-market program, and potentially other offerings, we plan to continue to raise money to fund our operations through the issuance of our equity securities.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In addition, we have registered on a Form S-8 registration statement all ordinary shares that we may issue under our equity compensation plans. As a result, these shares can be freely sold in the public market upon issuance, subject to volume limitations applicable to affiliates.</w:t>
      </w:r>
    </w:p>
    <w:p>
      <w:pPr>
        <w:spacing w:after="0" w:line="14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If we sell ordinary shares, convertible securities or other equity securities, existing shareholders may be diluted by such sales, and in certain cases new investors could gain rights superior to our existing shareholders. Any sales of our ordinary shares, or the perception that such sales could occur, could have a negative impact on the trading price of our shares.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ordinary shares in this offering, you will suffer immediate dilution of your investment.</w:t>
      </w:r>
    </w:p>
    <w:p>
      <w:pPr>
        <w:spacing w:after="0" w:line="94"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If you purchase our ordinary shares in this offering, you will incur immediate and substantial dilution in the as adjusted net tangible book value of your securities because the price that you pay will be substantially greater than the net tangible book value per share of the securities you acquire. This dilution is due to our investors who purchased our ordinary shares prior to this offering having paid substantially less when they purchased their shares than the price at which our ordinary shares are being offered to the public in this offering. Based on the public offering price of $29.68 per ordinary share, purchasers of ordinary shares in this offering will experience immediate dilution of $23.51 per share in net tangible book value. To the extent outstanding options are exercised, or outstanding restricted stock units vest and are settled, there will be further dilution to new investors. As a result of the dilution to your holdings, you may receive significantly less than the purchase price paid in this offering, if anything, in the event of our liquidation. For a further description of the dilution that you will experience immediately after this offering, see the section of this prospectus supplement titled “Dilution.”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we may not use them effectively.</w:t>
      </w:r>
    </w:p>
    <w:p>
      <w:pPr>
        <w:spacing w:after="0" w:line="94"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as described in “Use of Proceeds.” However, our board of directors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be a passive foreign investment company (“PFIC”), which could result in adverse U.S. federal income tax consequences to U.S. investors.</w:t>
      </w:r>
    </w:p>
    <w:p>
      <w:pPr>
        <w:spacing w:after="0" w:line="94"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Under the United States Internal Revenue Code of 1986, as amended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 PFIC in 2025 and we do not expect to be a PFIC for our current taxable year or in the foreseeable future. In addition, we may, directly or indirectly, hold equity interests in other PFICs. Whether we or any of our subsidiaries will be a PFIC in 2026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2026 or any future taxable year.</w:t>
      </w:r>
    </w:p>
    <w:p>
      <w:pPr>
        <w:spacing w:after="0" w:line="146"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If we are a PFIC for any taxable year during which a U.S. Holder (as defined in “Material United States Federal Income Tax and Dutch Income Tax Considerations—Material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4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For further discussion, see “Material United States Federal Income Tax and Dutch Tax Considerations of Ordinary Shares—Material U.S. Federal Income Tax Considerations to U.S. Holders.”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estimate that the net proceeds to us from this offering will be approximately $107.5 million, after deducting the underwriting discounts and commissions and estimated offering expenses payable by us, or approximately $123.7 million if the underwriters exercise their option to purchase additional ordinary shares from us in full. We intend to use the net proceeds of this offering primarily to fund research and development expenses for our late-stage clinical programs, the expansion of a sales and marketing team in the U.S. and related commercialization expenses, as well as for working capital and general corporate purposes. Our expected use of the net proceeds from this offering represents our current intentions based upon our present plans and business conditions, which could change in the future as our plans and business conditions evolve. We expect our total research and development expenses to increase in 2026, driven by activities supporting the preparation and submission of the New Drug Application for IR capsules to the FDA, as well as the continued development of our XR tablet product candidate and our clinical study in AAE-C1INH. There may be unforeseen expenses beyond our control, including third-party costs that we cannot predict, inherent in the clinical development and regulatory approval process. Based on our planned use of the net proceeds from this offering (assuming full exercise of the underwriters’ option to purchase additional ordinary shares) and our existing cash, cash equivalents and investments, we expect that such funds will be sufficient to enable us to fund our operations into the first half of 2028, subject to certain assumptions, including clinical development plans and timelines. We have based this estimate on assumptions that may prove to be incorrect, and we could use our available capital resources sooner than we currently expect.</w:t>
      </w:r>
    </w:p>
    <w:p>
      <w:pPr>
        <w:spacing w:after="0" w:line="15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or any other future clinical development or product discovery program may not result in marketing approval. To the extent that we fail to obtain approval to market our product candidates or any other clinical development or product discovery program in a timely manner and have to continue clinical trials over a longer period of time, our research and development expenses may further increase.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or any other future clinical development or product discovery program, as well as maintaining our existing collaborations and any collaborations that we may enter into with third parties for our product candidates and any unforeseen cash needs. As a result, our board of directors will have broad discretion in applying the net proceeds of this offering, and investors will be relying on our judgment regarding the application of the net proceeds of this offering.</w:t>
      </w:r>
    </w:p>
    <w:p>
      <w:pPr>
        <w:spacing w:after="0" w:line="152"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Pending their use, we might plan to invest a portion of the net proceeds from this offering in short- and intermediate-term interest-bearing financial assets and certificates of deposit.</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8"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We have never declared or paid any dividends on our ordinary shares. We expect to retain all earnings, if any, generated from our operations for the development and growth of our business and do not anticipate paying any dividends to our shareholders in the foreseeable future.</w:t>
      </w:r>
    </w:p>
    <w:p>
      <w:pPr>
        <w:spacing w:after="0" w:line="12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the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earnings, cash flow, financial condition, future prospects, contractual restrictions, capital investment requirements, restrictions imposed by applicable law and other factors considered relevant by our board of directors.</w:t>
      </w:r>
    </w:p>
    <w:p>
      <w:pPr>
        <w:spacing w:after="0" w:line="147"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Under our Articles of Association, our board of directors may decide that all or part of the profits shown in our adopted statutory annual accounts will be added to our reserves. After reservation of any such profits, any remaining profits will be at the disposal of the general meeting at the proposal of our board of directors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no later than a date determined by our board of directors.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8"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If you invest in our ordinary shares acquired in this offering, your ownership interest will be diluted immediately to the extent of the difference between the price you pay in this offering and the net tangible book value per ordinary share after this offering. Our net tangible book value as of December 31, 2025 was $318.8 million (€271.3 million), or $4.89 per ordinary share (€4.16 per ordinary share), based on 65,210,590 ordinary shares then outstanding. Net tangible book value per share represents the amount of our total assets less our total liabilities, excluding intangible assets, divided by 65,210,590, the total number of our ordinary shares issued and outstanding at December 31, 2025.</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After giving effect to the sale of 3,874,664 of our ordinary shares in this offering at an offering price of $29.68 per share, after deducting the underwriting discounts and commissions and estimated offering expenses payable by us, our net tangible book value at December 31, 2025 would have been $426.3 million, or $6.17 per ordinary share. This represents an immediate increase in net tangible book value of $1.28 per share to existing shareholders and an immediate dilution of $23.51 per share to investors in this offering. The following table illustrates this per share dilution.</w:t>
      </w:r>
    </w:p>
    <w:p>
      <w:pPr>
        <w:spacing w:after="0" w:line="177"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price per share</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29.68</w:t>
            </w: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Net tangible book value per share as of December 31, 2025</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5"/>
              </w:rPr>
              <w:t>$4.89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the offering</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1.28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4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As adjusted net tangible book value per share after giving effect to the</w:t>
            </w: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4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offering</w:t>
            </w:r>
          </w:p>
        </w:tc>
        <w:tc>
          <w:tcPr>
            <w:tcW w:w="700" w:type="dxa"/>
            <w:vAlign w:val="bottom"/>
            <w:gridSpan w:val="2"/>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40" w:type="dxa"/>
            <w:vAlign w:val="bottom"/>
          </w:tcPr>
          <w:p>
            <w:pPr>
              <w:spacing w:after="0"/>
              <w:rPr>
                <w:sz w:val="16"/>
                <w:szCs w:val="16"/>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participating in the offering</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23.51</w:t>
            </w:r>
          </w:p>
        </w:tc>
      </w:tr>
      <w:tr>
        <w:trPr>
          <w:trHeight w:val="20"/>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If the underwriters exercise their option to purchase up to an additional 581,199 ordinary shares in full at the public offering price of $29.68 per ordinary share, and after deducting underwriting discounts and commissions and estimated offering expenses payable by us, the as-adjusted net tangible book value would be $6.35 per share, representing an immediate increase in net tangible book value of $1.46 per share to existing shareholders and an immediate dilution in as-adjusted net tangible book value of $23.33 per share to new investors purchasing ordinary shares this offering.</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above discussion and table are based on our ordinary shares outstanding as of December 31, 2025 and excludes:</w:t>
      </w:r>
    </w:p>
    <w:p>
      <w:pPr>
        <w:spacing w:after="0" w:line="102" w:lineRule="exact"/>
        <w:rPr>
          <w:sz w:val="20"/>
          <w:szCs w:val="20"/>
          <w:color w:val="auto"/>
        </w:rPr>
      </w:pPr>
    </w:p>
    <w:p>
      <w:pPr>
        <w:ind w:left="2100" w:right="679" w:hanging="328"/>
        <w:spacing w:after="0" w:line="283"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3,951,032 of our ordinary shares issuable upon the exercise of options outstanding as of December 31, 2025, at a weighted-average exercise price of $15.29 per ordinary share;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1,417,632 ordinary shares issuable upon vesting of restricted stock units under our equity incentive plan as of December 31, 2025.</w:t>
      </w:r>
    </w:p>
    <w:p>
      <w:pPr>
        <w:spacing w:after="0" w:line="176"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AND DUTCH TAX</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CONSIDERATIONS OF ORDINARY SHARES</w:t>
      </w:r>
    </w:p>
    <w:p>
      <w:pPr>
        <w:spacing w:after="0" w:line="16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information presented under the caption “—Material U.S. Federal Income Tax Considerations to U.S. Holders” below is a discussion of material U.S. federal income tax consequences to a U.S. Holder (as defined below) of owning and disposing of our ordinary shares. The information presented under the caption “—Material Dutch Tax Considerations” is a discussion of the material Dutch tax consequences of owning and disposing of our ordinary shares.</w:t>
      </w:r>
    </w:p>
    <w:p>
      <w:pPr>
        <w:spacing w:after="0" w:line="14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You should consult your own tax adviser regarding the applicable tax consequences to you of investing in our ordinary shares under the laws of the United States (federal, state and local), the Netherlands, and any other applicable jurisdiction.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to U.S. Holders</w:t>
      </w:r>
    </w:p>
    <w:p>
      <w:pPr>
        <w:spacing w:after="0" w:line="94"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71" w:lineRule="exact"/>
        <w:rPr>
          <w:sz w:val="20"/>
          <w:szCs w:val="20"/>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financial institutions;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 or expatriated entities subject to Section 7874 of the Code;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or traders in securities who use a mark-to-market method of tax accounting;</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for U.S. federal income tax purposes is not the U.S. dollar;</w:t>
      </w:r>
    </w:p>
    <w:p>
      <w:pPr>
        <w:spacing w:after="0" w:line="10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classified as partnerships, S corporations or other pass-through entities for U.S. federal income tax purposes or investors in such entities or arrangements;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retirement accounts” or “Roth IRAs” or other tax-deferred accounts;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persons that acquire ordinary shares directly or indirectly in connection with the performance of services;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are subject to Section 451(b) of the Code;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ten percent or more of our shares (by vote or value);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real estate investment trusts, real estate mortgage investment conduits;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ordinary shares in connection with a trade or business conducted outside of the United States.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(or other entity or arrangement that is classified as a partnership for U.S. federal income tax purposes) holding ordinary shares and partners in such partnerships or other entity should consult their tax advisers as to the particular U.S. federal income tax consequences of owning and disposing of ordinary shares.</w:t>
      </w:r>
    </w:p>
    <w:p>
      <w:pPr>
        <w:spacing w:after="0" w:line="141"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This discussion is based on the Code, administrative pronouncements, judicial decisions, final, temporary and proposed Treasury regulations, and the income tax treaty between the Netherlands and the United States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A “U.S. Holder” is a holder who, for U.S. federal income tax purposes, is a beneficial owner of ordinary shares, who is eligible for the benefits of the Treaty and who is:</w:t>
      </w:r>
    </w:p>
    <w:p>
      <w:pPr>
        <w:spacing w:after="0" w:line="52" w:lineRule="exact"/>
        <w:rPr>
          <w:sz w:val="20"/>
          <w:szCs w:val="20"/>
          <w:color w:val="auto"/>
        </w:rPr>
      </w:pPr>
    </w:p>
    <w:p>
      <w:pPr>
        <w:ind w:left="2100" w:hanging="328"/>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in the U.S.;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created or organized in or under the laws of the United States, any state therein or the District of Columbia;</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6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36" w:lineRule="exact"/>
        <w:rPr>
          <w:sz w:val="20"/>
          <w:szCs w:val="20"/>
          <w:color w:val="auto"/>
        </w:rPr>
      </w:pPr>
    </w:p>
    <w:p>
      <w:pPr>
        <w:ind w:left="1360" w:right="499" w:firstLine="343"/>
        <w:spacing w:after="0" w:line="259" w:lineRule="auto"/>
        <w:rPr>
          <w:sz w:val="20"/>
          <w:szCs w:val="20"/>
          <w:color w:val="auto"/>
        </w:rPr>
      </w:pPr>
      <w:r>
        <w:rPr>
          <w:rFonts w:ascii="Times New Roman" w:cs="Times New Roman" w:eastAsia="Times New Roman" w:hAnsi="Times New Roman"/>
          <w:sz w:val="14"/>
          <w:szCs w:val="14"/>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Taxation of Distributions</w:t>
      </w:r>
    </w:p>
    <w:p>
      <w:pPr>
        <w:spacing w:after="0" w:line="94"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taxes. Subject to the PFIC rules described below, the amount of the dividend will be treated as foreign-source dividend income to U.S. Holders and will generally not be eligible for the dividends-received deduction generally available to U.S. corporations under the Code.</w:t>
      </w:r>
    </w:p>
    <w:p>
      <w:pPr>
        <w:spacing w:after="0" w:line="125"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Subject to the PFIC rules described below, dividends will be included in a U.S. Holder’s income on the date of the U.S. Holder’s receipt of the dividend. The amount of any dividend income paid in euro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41"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Sale or Other Disposition of Ordinary Shares</w:t>
      </w:r>
    </w:p>
    <w:p>
      <w:pPr>
        <w:spacing w:after="0" w:line="9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U.S. holders who hold different blocks of ordinary shares (ordinary shares purchased or acquired on different dates or at different prices) should consult their tax advisors to determine how the above rules apply to them. This gain or loss will generally be U.S.-source gain or loss for foreign tax credit purposes. The deductibility of capital losses is subject to various limitations.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Rules</w:t>
      </w:r>
    </w:p>
    <w:p>
      <w:pPr>
        <w:spacing w:after="0" w:line="9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Under the Code, we will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and our expectations about the nature and amount of our income, assets and activities we do not believe we were a PFIC in 2025 and we do not expect to be a PFIC in 2026 or in the foreseeable future. In addition, we may, directly or indirectly, hold equity interests in other PFICs, or lower-tier PFICs. Whether we or any of our subsidiaries will be a PFIC in 2026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2026 or any</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future taxable year. If we are a PFIC for any year during which a U.S. Holder holds or is deemed to hold ordinary shares, we generally would continue to be treated as a PFIC with respect to that U.S. Holder for all succeeding years during which the U.S. 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41"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4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44"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A U.S. Holder can avoid certain of the adverse rules described above by making a mark-to-market election with respect to its ordinary shares, provided that the ordinary shares are “marketable.”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49"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In addition, in order to avoid the application of the foregoing rules, a U.S.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undistributed income inclusion under the QEF rules, but if deferred, any such taxes are subject to an interest charge. If a U.S. person makes a QEF Election with respect to a PFIC, the U.S.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49"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36"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36"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With respect to Foreign Financial Assets</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spacing w:after="0" w:line="1" w:lineRule="exact"/>
        <w:rPr>
          <w:sz w:val="20"/>
          <w:szCs w:val="20"/>
          <w:color w:val="auto"/>
        </w:rPr>
      </w:pPr>
    </w:p>
    <w:p>
      <w:pPr>
        <w:ind w:left="1360" w:right="499" w:hanging="9"/>
        <w:spacing w:after="0" w:line="261" w:lineRule="auto"/>
        <w:tabs>
          <w:tab w:leader="none" w:pos="156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backup withholding, the U.S. Holder provides a correct taxpayer identification number and certifies that it is not subject to backup withholding.</w:t>
      </w:r>
    </w:p>
    <w:p>
      <w:pPr>
        <w:spacing w:after="0" w:line="140"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Certain U.S. Holders who are individuals and certain entities may be required to report information relating to an interest in our ordinary shares, subject to certain exceptions (including an exception for ordinary shares held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accounts maintained by certain U.S. financial institutions). U.S. Holders should consult their tax advisers regarding whether or not they are obligated to report information relating to their ownership and disposition of ordinary shares.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Dutch Tax Considerations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Scope of Discussion</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4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41" w:lineRule="exact"/>
        <w:rPr>
          <w:sz w:val="20"/>
          <w:szCs w:val="20"/>
          <w:color w:val="auto"/>
        </w:rPr>
      </w:pPr>
    </w:p>
    <w:p>
      <w:pPr>
        <w:ind w:left="1360" w:right="519" w:firstLine="343"/>
        <w:spacing w:after="0" w:line="259" w:lineRule="auto"/>
        <w:rPr>
          <w:sz w:val="20"/>
          <w:szCs w:val="20"/>
          <w:color w:val="auto"/>
        </w:rPr>
      </w:pPr>
      <w:r>
        <w:rPr>
          <w:rFonts w:ascii="Times New Roman" w:cs="Times New Roman" w:eastAsia="Times New Roman" w:hAnsi="Times New Roman"/>
          <w:sz w:val="14"/>
          <w:szCs w:val="14"/>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139"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color w:val="auto"/>
        </w:rPr>
        <w:t>This section does not describe any Dutch tax considerations or consequences arising from the Dutch Minimum Tax Act 2024 (</w:t>
      </w:r>
      <w:r>
        <w:rPr>
          <w:rFonts w:ascii="Times New Roman" w:cs="Times New Roman" w:eastAsia="Times New Roman" w:hAnsi="Times New Roman"/>
          <w:sz w:val="14"/>
          <w:szCs w:val="14"/>
          <w:i w:val="1"/>
          <w:iCs w:val="1"/>
          <w:color w:val="auto"/>
        </w:rPr>
        <w:t>Wet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minimumbelasting 2024</w:t>
      </w:r>
      <w:r>
        <w:rPr>
          <w:rFonts w:ascii="Times New Roman" w:cs="Times New Roman" w:eastAsia="Times New Roman" w:hAnsi="Times New Roman"/>
          <w:sz w:val="14"/>
          <w:szCs w:val="14"/>
          <w:color w:val="auto"/>
        </w:rPr>
        <w:t>; the Dutch implementation of Directive (EU) 2022/2523 of 14 December 2022 on ensuring a global minimum level of taxation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multinational enterprise groups and large-scale domestic groups in the European Union) which may be relevant for a particular holder.</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Please note that this section does not describe the Dutch tax consequences for:</w:t>
      </w:r>
    </w:p>
    <w:p>
      <w:pPr>
        <w:spacing w:after="0" w:line="100" w:lineRule="exact"/>
        <w:rPr>
          <w:sz w:val="20"/>
          <w:szCs w:val="20"/>
          <w:color w:val="auto"/>
        </w:rPr>
      </w:pPr>
    </w:p>
    <w:p>
      <w:pPr>
        <w:ind w:left="1680" w:right="299" w:hanging="329"/>
        <w:spacing w:after="0" w:line="255" w:lineRule="auto"/>
        <w:tabs>
          <w:tab w:leader="none" w:pos="16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if such holder has a substantial interest (</w:t>
      </w:r>
      <w:r>
        <w:rPr>
          <w:rFonts w:ascii="Times New Roman" w:cs="Times New Roman" w:eastAsia="Times New Roman" w:hAnsi="Times New Roman"/>
          <w:sz w:val="14"/>
          <w:szCs w:val="14"/>
          <w:i w:val="1"/>
          <w:iCs w:val="1"/>
          <w:color w:val="auto"/>
        </w:rPr>
        <w:t>aanmerkelijk belang</w:t>
      </w:r>
      <w:r>
        <w:rPr>
          <w:rFonts w:ascii="Times New Roman" w:cs="Times New Roman" w:eastAsia="Times New Roman" w:hAnsi="Times New Roman"/>
          <w:sz w:val="14"/>
          <w:szCs w:val="14"/>
          <w:color w:val="auto"/>
        </w:rPr>
        <w:t>) or deemed substantial interest (</w:t>
      </w:r>
      <w:r>
        <w:rPr>
          <w:rFonts w:ascii="Times New Roman" w:cs="Times New Roman" w:eastAsia="Times New Roman" w:hAnsi="Times New Roman"/>
          <w:sz w:val="14"/>
          <w:szCs w:val="14"/>
          <w:i w:val="1"/>
          <w:iCs w:val="1"/>
          <w:color w:val="auto"/>
        </w:rPr>
        <w:t>fictief aanmerkelijk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belang</w:t>
      </w:r>
      <w:r>
        <w:rPr>
          <w:rFonts w:ascii="Times New Roman" w:cs="Times New Roman" w:eastAsia="Times New Roman" w:hAnsi="Times New Roman"/>
          <w:sz w:val="14"/>
          <w:szCs w:val="14"/>
          <w:color w:val="auto"/>
        </w:rPr>
        <w:t>) in us under the Dutch Income Tax Act 2001 (</w:t>
      </w:r>
      <w:r>
        <w:rPr>
          <w:rFonts w:ascii="Times New Roman" w:cs="Times New Roman" w:eastAsia="Times New Roman" w:hAnsi="Times New Roman"/>
          <w:sz w:val="14"/>
          <w:szCs w:val="14"/>
          <w:i w:val="1"/>
          <w:iCs w:val="1"/>
          <w:color w:val="auto"/>
        </w:rPr>
        <w:t>Wet inkomstenbelasting 2001</w:t>
      </w:r>
      <w:r>
        <w:rPr>
          <w:rFonts w:ascii="Times New Roman" w:cs="Times New Roman" w:eastAsia="Times New Roman" w:hAnsi="Times New Roman"/>
          <w:sz w:val="14"/>
          <w:szCs w:val="14"/>
          <w:color w:val="auto"/>
        </w:rPr>
        <w:t>). Generally, a holder of securities in a company is considered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hold a 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interests;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70" w:lineRule="exact"/>
        <w:rPr>
          <w:rFonts w:ascii="Times New Roman" w:cs="Times New Roman" w:eastAsia="Times New Roman" w:hAnsi="Times New Roman"/>
          <w:sz w:val="14"/>
          <w:szCs w:val="14"/>
          <w:color w:val="auto"/>
        </w:rPr>
      </w:pPr>
    </w:p>
    <w:p>
      <w:pPr>
        <w:ind w:left="1680" w:right="279" w:hanging="329"/>
        <w:spacing w:after="0" w:line="268" w:lineRule="auto"/>
        <w:tabs>
          <w:tab w:leader="none" w:pos="16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if the ordinary shares held by such holder qualify or qualified as a participation (</w:t>
      </w:r>
      <w:r>
        <w:rPr>
          <w:rFonts w:ascii="Times New Roman" w:cs="Times New Roman" w:eastAsia="Times New Roman" w:hAnsi="Times New Roman"/>
          <w:sz w:val="14"/>
          <w:szCs w:val="14"/>
          <w:i w:val="1"/>
          <w:iCs w:val="1"/>
          <w:color w:val="auto"/>
        </w:rPr>
        <w:t>deelneming</w:t>
      </w:r>
      <w:r>
        <w:rPr>
          <w:rFonts w:ascii="Times New Roman" w:cs="Times New Roman" w:eastAsia="Times New Roman" w:hAnsi="Times New Roman"/>
          <w:sz w:val="14"/>
          <w:szCs w:val="14"/>
          <w:color w:val="auto"/>
        </w:rPr>
        <w:t>) for purposes of the Dutch Corporate Income Tax Act 1969 (</w:t>
      </w:r>
      <w:r>
        <w:rPr>
          <w:rFonts w:ascii="Times New Roman" w:cs="Times New Roman" w:eastAsia="Times New Roman" w:hAnsi="Times New Roman"/>
          <w:sz w:val="14"/>
          <w:szCs w:val="14"/>
          <w:i w:val="1"/>
          <w:iCs w:val="1"/>
          <w:color w:val="auto"/>
        </w:rPr>
        <w:t>Wet op de vennootschapsbelasting 1969</w:t>
      </w:r>
      <w:r>
        <w:rPr>
          <w:rFonts w:ascii="Times New Roman" w:cs="Times New Roman" w:eastAsia="Times New Roman" w:hAnsi="Times New Roman"/>
          <w:sz w:val="14"/>
          <w:szCs w:val="14"/>
          <w:color w:val="auto"/>
        </w:rPr>
        <w:t>). Generally, a holder’s shareholding of, or right to acquire, 5% or more in a</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439"/>
        <w:spacing w:after="0" w:line="267" w:lineRule="auto"/>
        <w:rPr>
          <w:sz w:val="20"/>
          <w:szCs w:val="20"/>
          <w:color w:val="auto"/>
        </w:rPr>
      </w:pPr>
      <w:r>
        <w:rPr>
          <w:rFonts w:ascii="Times New Roman" w:cs="Times New Roman" w:eastAsia="Times New Roman" w:hAnsi="Times New Roman"/>
          <w:sz w:val="14"/>
          <w:szCs w:val="14"/>
          <w:color w:val="auto"/>
        </w:rPr>
        <w:t>company’s nominal paid-up share capital qualifies as a participation. A holder may also have a participation if such holder does not have a shareholding of, or right to acquire, 5% or more but a related entity (statutorily defined term) has a participation or if the company in which the shares are held is a related entity (statutorily defined term);</w:t>
      </w:r>
    </w:p>
    <w:p>
      <w:pPr>
        <w:spacing w:after="0" w:line="60" w:lineRule="exact"/>
        <w:rPr>
          <w:sz w:val="20"/>
          <w:szCs w:val="20"/>
          <w:color w:val="auto"/>
        </w:rPr>
      </w:pPr>
    </w:p>
    <w:p>
      <w:pPr>
        <w:ind w:left="1680" w:right="339" w:hanging="329"/>
        <w:spacing w:after="0" w:line="262" w:lineRule="auto"/>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which is or who is entitled to the dividend withholding tax exemption (</w:t>
      </w:r>
      <w:r>
        <w:rPr>
          <w:rFonts w:ascii="Times New Roman" w:cs="Times New Roman" w:eastAsia="Times New Roman" w:hAnsi="Times New Roman"/>
          <w:sz w:val="14"/>
          <w:szCs w:val="14"/>
          <w:i w:val="1"/>
          <w:iCs w:val="1"/>
          <w:color w:val="auto"/>
        </w:rPr>
        <w:t>inhoudingsvrijstelling</w:t>
      </w:r>
      <w:r>
        <w:rPr>
          <w:rFonts w:ascii="Times New Roman" w:cs="Times New Roman" w:eastAsia="Times New Roman" w:hAnsi="Times New Roman"/>
          <w:sz w:val="14"/>
          <w:szCs w:val="14"/>
          <w:color w:val="auto"/>
        </w:rPr>
        <w:t>) with respect to any income (</w:t>
      </w:r>
      <w:r>
        <w:rPr>
          <w:rFonts w:ascii="Times New Roman" w:cs="Times New Roman" w:eastAsia="Times New Roman" w:hAnsi="Times New Roman"/>
          <w:sz w:val="14"/>
          <w:szCs w:val="14"/>
          <w:i w:val="1"/>
          <w:iCs w:val="1"/>
          <w:color w:val="auto"/>
        </w:rPr>
        <w:t>opbrengst</w:t>
      </w:r>
      <w:r>
        <w:rPr>
          <w:rFonts w:ascii="Times New Roman" w:cs="Times New Roman" w:eastAsia="Times New Roman" w:hAnsi="Times New Roman"/>
          <w:sz w:val="14"/>
          <w:szCs w:val="14"/>
          <w:color w:val="auto"/>
        </w:rPr>
        <w:t>) derived from the ordinary shares (as defined in Article 4 of the Dutch Dividend Withholding Tax Act 1965 (</w:t>
      </w:r>
      <w:r>
        <w:rPr>
          <w:rFonts w:ascii="Times New Roman" w:cs="Times New Roman" w:eastAsia="Times New Roman" w:hAnsi="Times New Roman"/>
          <w:sz w:val="14"/>
          <w:szCs w:val="14"/>
          <w:i w:val="1"/>
          <w:iCs w:val="1"/>
          <w:color w:val="auto"/>
        </w:rPr>
        <w:t>Wet op 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dividendbelasting</w:t>
      </w:r>
      <w:r>
        <w:rPr>
          <w:rFonts w:ascii="Times New Roman" w:cs="Times New Roman" w:eastAsia="Times New Roman" w:hAnsi="Times New Roman"/>
          <w:sz w:val="14"/>
          <w:szCs w:val="14"/>
          <w:color w:val="auto"/>
        </w:rPr>
        <w:t>). Generally, a holder of our ordinary shares may be entitled to the application of, subject to certain other requirements,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 withholding tax exemption if it is an entity and holds an interest of 5% or more in our nominal paid-up share capital;</w:t>
      </w:r>
    </w:p>
    <w:p>
      <w:pPr>
        <w:spacing w:after="0" w:line="65" w:lineRule="exact"/>
        <w:rPr>
          <w:rFonts w:ascii="Times New Roman" w:cs="Times New Roman" w:eastAsia="Times New Roman" w:hAnsi="Times New Roman"/>
          <w:sz w:val="14"/>
          <w:szCs w:val="14"/>
          <w:color w:val="auto"/>
        </w:rPr>
      </w:pPr>
    </w:p>
    <w:p>
      <w:pPr>
        <w:ind w:left="1680" w:right="259" w:hanging="329"/>
        <w:spacing w:after="0" w:line="258" w:lineRule="auto"/>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funds, investment institutions (</w:t>
      </w:r>
      <w:r>
        <w:rPr>
          <w:rFonts w:ascii="Times New Roman" w:cs="Times New Roman" w:eastAsia="Times New Roman" w:hAnsi="Times New Roman"/>
          <w:sz w:val="14"/>
          <w:szCs w:val="14"/>
          <w:i w:val="1"/>
          <w:iCs w:val="1"/>
          <w:color w:val="auto"/>
        </w:rPr>
        <w:t>fiscale beleggingsinstellingen</w:t>
      </w:r>
      <w:r>
        <w:rPr>
          <w:rFonts w:ascii="Times New Roman" w:cs="Times New Roman" w:eastAsia="Times New Roman" w:hAnsi="Times New Roman"/>
          <w:sz w:val="14"/>
          <w:szCs w:val="14"/>
          <w:color w:val="auto"/>
        </w:rPr>
        <w:t>), tax exempt investment institutions (</w:t>
      </w:r>
      <w:r>
        <w:rPr>
          <w:rFonts w:ascii="Times New Roman" w:cs="Times New Roman" w:eastAsia="Times New Roman" w:hAnsi="Times New Roman"/>
          <w:sz w:val="14"/>
          <w:szCs w:val="14"/>
          <w:i w:val="1"/>
          <w:iCs w:val="1"/>
          <w:color w:val="auto"/>
        </w:rPr>
        <w:t>vrijgestelde beleggingsinstellingen</w:t>
      </w:r>
      <w:r>
        <w:rPr>
          <w:rFonts w:ascii="Times New Roman" w:cs="Times New Roman" w:eastAsia="Times New Roman" w:hAnsi="Times New Roman"/>
          <w:sz w:val="14"/>
          <w:szCs w:val="14"/>
          <w:color w:val="auto"/>
        </w:rPr>
        <w:t>) (each as defined in the Dutch Corporate Income Tax Act 1969) and other entities that are, in whole or in part, 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68" w:lineRule="exact"/>
        <w:rPr>
          <w:rFonts w:ascii="Times New Roman" w:cs="Times New Roman" w:eastAsia="Times New Roman" w:hAnsi="Times New Roman"/>
          <w:sz w:val="14"/>
          <w:szCs w:val="14"/>
          <w:color w:val="auto"/>
        </w:rPr>
      </w:pPr>
    </w:p>
    <w:p>
      <w:pPr>
        <w:ind w:left="1680" w:right="339" w:hanging="329"/>
        <w:spacing w:after="0" w:line="267" w:lineRule="auto"/>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ordinary shares if such holder is an individual for whom the ordinary shares or any benefit derived from the ordinary shares is a remuneration or deemed to be a remuneration for (employment) activities performed by such holder or certain individuals related to such holders (as defined in the Dutch Income Tax Act 2001);</w:t>
      </w:r>
    </w:p>
    <w:p>
      <w:pPr>
        <w:spacing w:after="0" w:line="62" w:lineRule="exact"/>
        <w:rPr>
          <w:rFonts w:ascii="Times New Roman" w:cs="Times New Roman" w:eastAsia="Times New Roman" w:hAnsi="Times New Roman"/>
          <w:sz w:val="14"/>
          <w:szCs w:val="14"/>
          <w:color w:val="auto"/>
        </w:rPr>
      </w:pPr>
    </w:p>
    <w:p>
      <w:pPr>
        <w:ind w:left="1680" w:right="339" w:hanging="329"/>
        <w:spacing w:after="0" w:line="267" w:lineRule="auto"/>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our ordinary shares that are entities resident in Aruba, Curaçao, or Sint Maarten, conducting a business through a permanent establishment (</w:t>
      </w:r>
      <w:r>
        <w:rPr>
          <w:rFonts w:ascii="Times New Roman" w:cs="Times New Roman" w:eastAsia="Times New Roman" w:hAnsi="Times New Roman"/>
          <w:sz w:val="14"/>
          <w:szCs w:val="14"/>
          <w:i w:val="1"/>
          <w:iCs w:val="1"/>
          <w:color w:val="auto"/>
        </w:rPr>
        <w:t>vaste inrichting</w:t>
      </w:r>
      <w:r>
        <w:rPr>
          <w:rFonts w:ascii="Times New Roman" w:cs="Times New Roman" w:eastAsia="Times New Roman" w:hAnsi="Times New Roman"/>
          <w:sz w:val="14"/>
          <w:szCs w:val="14"/>
          <w:color w:val="auto"/>
        </w:rPr>
        <w:t>) or permanent representative (</w:t>
      </w:r>
      <w:r>
        <w:rPr>
          <w:rFonts w:ascii="Times New Roman" w:cs="Times New Roman" w:eastAsia="Times New Roman" w:hAnsi="Times New Roman"/>
          <w:sz w:val="14"/>
          <w:szCs w:val="14"/>
          <w:i w:val="1"/>
          <w:iCs w:val="1"/>
          <w:color w:val="auto"/>
        </w:rPr>
        <w:t>vaste vertegenwoordiger</w:t>
      </w:r>
      <w:r>
        <w:rPr>
          <w:rFonts w:ascii="Times New Roman" w:cs="Times New Roman" w:eastAsia="Times New Roman" w:hAnsi="Times New Roman"/>
          <w:sz w:val="14"/>
          <w:szCs w:val="14"/>
          <w:color w:val="auto"/>
        </w:rPr>
        <w:t>) in Bonaire, Sint Eustatius, or Saba, to which our ordinary shares are attributable; and</w:t>
      </w:r>
    </w:p>
    <w:p>
      <w:pPr>
        <w:spacing w:after="0" w:line="6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of our outstanding options or restricted stock units.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Withholding Tax on Dividends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Regular Dutch Dividend Withholding Tax</w:t>
      </w:r>
    </w:p>
    <w:p>
      <w:pPr>
        <w:spacing w:after="0" w:line="94" w:lineRule="exact"/>
        <w:rPr>
          <w:sz w:val="20"/>
          <w:szCs w:val="20"/>
          <w:color w:val="auto"/>
        </w:rPr>
      </w:pPr>
    </w:p>
    <w:p>
      <w:pPr>
        <w:ind w:left="1360" w:right="579" w:firstLine="343"/>
        <w:spacing w:after="0" w:line="324" w:lineRule="auto"/>
        <w:rPr>
          <w:sz w:val="20"/>
          <w:szCs w:val="20"/>
          <w:color w:val="auto"/>
        </w:rPr>
      </w:pPr>
      <w:r>
        <w:rPr>
          <w:rFonts w:ascii="Times New Roman" w:cs="Times New Roman" w:eastAsia="Times New Roman" w:hAnsi="Times New Roman"/>
          <w:sz w:val="13"/>
          <w:szCs w:val="13"/>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expression “dividends distributed” includes, among other things:</w:t>
      </w:r>
    </w:p>
    <w:p>
      <w:pPr>
        <w:spacing w:after="0" w:line="102" w:lineRule="exact"/>
        <w:rPr>
          <w:sz w:val="20"/>
          <w:szCs w:val="20"/>
          <w:color w:val="auto"/>
        </w:rPr>
      </w:pPr>
    </w:p>
    <w:p>
      <w:pPr>
        <w:ind w:left="2100" w:right="259" w:hanging="328"/>
        <w:spacing w:after="0" w:line="283"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in cash or in kind, deemed and constructive distributions and repayments of paid-in capital not recognized for Dutch dividend withholding tax purposes;</w:t>
      </w:r>
    </w:p>
    <w:p>
      <w:pPr>
        <w:spacing w:after="0" w:line="51" w:lineRule="exact"/>
        <w:rPr>
          <w:rFonts w:ascii="Times New Roman" w:cs="Times New Roman" w:eastAsia="Times New Roman" w:hAnsi="Times New Roman"/>
          <w:sz w:val="14"/>
          <w:szCs w:val="14"/>
          <w:color w:val="auto"/>
        </w:rPr>
      </w:pPr>
    </w:p>
    <w:p>
      <w:pPr>
        <w:ind w:left="2100" w:right="379" w:hanging="328"/>
        <w:spacing w:after="0" w:line="267"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liquidation proceeds, proceeds of redemption of our ordinary shares, or proceeds of the repurchase of ordinary shares (other than as temporary portfolio investment; </w:t>
      </w:r>
      <w:r>
        <w:rPr>
          <w:rFonts w:ascii="Times New Roman" w:cs="Times New Roman" w:eastAsia="Times New Roman" w:hAnsi="Times New Roman"/>
          <w:sz w:val="14"/>
          <w:szCs w:val="14"/>
          <w:i w:val="1"/>
          <w:iCs w:val="1"/>
          <w:color w:val="auto"/>
        </w:rPr>
        <w:t>tijdelijke belegging</w:t>
      </w:r>
      <w:r>
        <w:rPr>
          <w:rFonts w:ascii="Times New Roman" w:cs="Times New Roman" w:eastAsia="Times New Roman" w:hAnsi="Times New Roman"/>
          <w:sz w:val="14"/>
          <w:szCs w:val="14"/>
          <w:color w:val="auto"/>
        </w:rPr>
        <w:t>) by us or one of our subsidiaries or other affiliated entities, in each case to the extent such proceeds exceed the average paid-in capital of those ordinary shares as recognized for Dutch dividend withholding tax purposes;</w:t>
      </w:r>
    </w:p>
    <w:p>
      <w:pPr>
        <w:spacing w:after="0" w:line="62" w:lineRule="exact"/>
        <w:rPr>
          <w:rFonts w:ascii="Times New Roman" w:cs="Times New Roman" w:eastAsia="Times New Roman" w:hAnsi="Times New Roman"/>
          <w:sz w:val="14"/>
          <w:szCs w:val="14"/>
          <w:color w:val="auto"/>
        </w:rPr>
      </w:pPr>
    </w:p>
    <w:p>
      <w:pPr>
        <w:ind w:left="2100" w:right="219" w:hanging="328"/>
        <w:spacing w:after="0" w:line="283"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nominal value of our ordinary shares issued or an increase of the nominal value of ordinary shares, to the extent that no related contribution, recognized for Dutch dividend withholding tax purposes, has been made or will be made; and</w:t>
      </w:r>
    </w:p>
    <w:p>
      <w:pPr>
        <w:spacing w:after="0" w:line="51" w:lineRule="exact"/>
        <w:rPr>
          <w:rFonts w:ascii="Times New Roman" w:cs="Times New Roman" w:eastAsia="Times New Roman" w:hAnsi="Times New Roman"/>
          <w:sz w:val="14"/>
          <w:szCs w:val="14"/>
          <w:color w:val="auto"/>
        </w:rPr>
      </w:pPr>
    </w:p>
    <w:p>
      <w:pPr>
        <w:ind w:left="2100" w:right="459" w:hanging="328"/>
        <w:spacing w:after="0" w:line="261" w:lineRule="auto"/>
        <w:tabs>
          <w:tab w:leader="none" w:pos="21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4"/>
          <w:szCs w:val="14"/>
          <w:i w:val="1"/>
          <w:iCs w:val="1"/>
          <w:color w:val="auto"/>
        </w:rPr>
        <w:t>zuivere winst</w:t>
      </w:r>
      <w:r>
        <w:rPr>
          <w:rFonts w:ascii="Times New Roman" w:cs="Times New Roman" w:eastAsia="Times New Roman" w:hAnsi="Times New Roman"/>
          <w:sz w:val="14"/>
          <w:szCs w:val="14"/>
          <w:color w:val="auto"/>
        </w:rPr>
        <w:t>), unless (i) the general meeting has resolved in advance to make such repayment and (ii) the nominal value of the ordinary shares concerned has been reduced by an equal amount by way of an amendment of the Articles of Association. The term “net profits” includes anticipated profits that have yet to be realized.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147"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European Union law, or treaties for the avoidance of double taxation in effect between the Netherlands and such other country.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Dividend stripping</w:t>
      </w:r>
    </w:p>
    <w:p>
      <w:pPr>
        <w:spacing w:after="0" w:line="94"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Times New Roman" w:cs="Times New Roman" w:eastAsia="Times New Roman" w:hAnsi="Times New Roman"/>
          <w:sz w:val="14"/>
          <w:szCs w:val="14"/>
          <w:i w:val="1"/>
          <w:iCs w:val="1"/>
          <w:color w:val="auto"/>
        </w:rPr>
        <w:t>uiteindelijk gerechtigde</w:t>
      </w:r>
      <w:r>
        <w:rPr>
          <w:rFonts w:ascii="Times New Roman" w:cs="Times New Roman" w:eastAsia="Times New Roman" w:hAnsi="Times New Roman"/>
          <w:sz w:val="14"/>
          <w:szCs w:val="14"/>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us rests on the Dutch tax authorities. If, however, a shareholder would receive dividends, including dividends on our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our ordinary shares, it has been codified that the record date is used when determining the person who is entitled to the dividend.</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Conditional Withholding Tax on Dividends</w:t>
      </w:r>
    </w:p>
    <w:p>
      <w:pPr>
        <w:spacing w:after="0" w:line="9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In addition to the regular Dutch dividend withholding tax as described above, a Dutch conditional withholding tax will be imposed on dividends distributed by us to a Related Entity (as defined below), if such Related Entity:</w:t>
      </w:r>
    </w:p>
    <w:p>
      <w:pPr>
        <w:spacing w:after="0" w:line="50" w:lineRule="exact"/>
        <w:rPr>
          <w:sz w:val="20"/>
          <w:szCs w:val="20"/>
          <w:color w:val="auto"/>
        </w:rPr>
      </w:pPr>
    </w:p>
    <w:p>
      <w:pPr>
        <w:ind w:left="1680" w:right="359" w:hanging="329"/>
        <w:spacing w:after="0" w:line="268"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considered to be resident (</w:t>
      </w:r>
      <w:r>
        <w:rPr>
          <w:rFonts w:ascii="Times New Roman" w:cs="Times New Roman" w:eastAsia="Times New Roman" w:hAnsi="Times New Roman"/>
          <w:sz w:val="14"/>
          <w:szCs w:val="14"/>
          <w:i w:val="1"/>
          <w:iCs w:val="1"/>
          <w:color w:val="auto"/>
        </w:rPr>
        <w:t>gevestigd</w:t>
      </w:r>
      <w:r>
        <w:rPr>
          <w:rFonts w:ascii="Times New Roman" w:cs="Times New Roman" w:eastAsia="Times New Roman" w:hAnsi="Times New Roman"/>
          <w:sz w:val="14"/>
          <w:szCs w:val="14"/>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4"/>
          <w:szCs w:val="14"/>
          <w:i w:val="1"/>
          <w:iCs w:val="1"/>
          <w:color w:val="auto"/>
        </w:rPr>
        <w:t>Regeling laagbelastende staten en niet-coöperatieve rechtsgebieden voor belastingdoeleinden</w:t>
      </w:r>
      <w:r>
        <w:rPr>
          <w:rFonts w:ascii="Times New Roman" w:cs="Times New Roman" w:eastAsia="Times New Roman" w:hAnsi="Times New Roman"/>
          <w:sz w:val="14"/>
          <w:szCs w:val="14"/>
          <w:color w:val="auto"/>
        </w:rPr>
        <w:t>) (a “Listed Jurisdiction”); or</w:t>
      </w:r>
    </w:p>
    <w:p>
      <w:pPr>
        <w:spacing w:after="0" w:line="6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 permanent establishment located in a Listed Jurisdiction to which the ordinary shares are attributable; or</w:t>
      </w:r>
    </w:p>
    <w:p>
      <w:pPr>
        <w:spacing w:after="0" w:line="102" w:lineRule="exact"/>
        <w:rPr>
          <w:rFonts w:ascii="Times New Roman" w:cs="Times New Roman" w:eastAsia="Times New Roman" w:hAnsi="Times New Roman"/>
          <w:sz w:val="14"/>
          <w:szCs w:val="14"/>
          <w:color w:val="auto"/>
        </w:rPr>
      </w:pPr>
    </w:p>
    <w:p>
      <w:pPr>
        <w:ind w:left="1680" w:right="599" w:hanging="329"/>
        <w:spacing w:after="0" w:line="283"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holds the ordinary shares with the main purpose or one of the main purposes of avoiding taxation for another person or entity and there is an artificial arrangement or transaction or a series of artificial arrangements or transactions; or</w:t>
      </w:r>
    </w:p>
    <w:p>
      <w:pPr>
        <w:spacing w:after="0" w:line="51" w:lineRule="exact"/>
        <w:rPr>
          <w:rFonts w:ascii="Times New Roman" w:cs="Times New Roman" w:eastAsia="Times New Roman" w:hAnsi="Times New Roman"/>
          <w:sz w:val="14"/>
          <w:szCs w:val="14"/>
          <w:color w:val="auto"/>
        </w:rPr>
      </w:pPr>
    </w:p>
    <w:p>
      <w:pPr>
        <w:ind w:left="1680" w:right="319" w:hanging="329"/>
        <w:spacing w:after="0" w:line="283"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considered to be the beneficial owner of the ordinary shares in its jurisdiction of residence because such jurisdiction treats another entity as the beneficial owner of the ordinary shares (a hybrid mismatch); or</w:t>
      </w:r>
    </w:p>
    <w:p>
      <w:pPr>
        <w:spacing w:after="0" w:line="5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resident in any jurisdiction (also a hybrid mismatch); or</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39" w:hanging="329"/>
        <w:spacing w:after="0" w:line="259" w:lineRule="auto"/>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reverse hybrid (within the meaning of Article 2(11) of the Dutch Corporate Income Tax Act 1969), if and to the extent (x) there is a participant in the reverse hybrid holding a Qualifying Interest in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 (</w:t>
      </w:r>
      <w:r>
        <w:rPr>
          <w:rFonts w:ascii="Times New Roman" w:cs="Times New Roman" w:eastAsia="Times New Roman" w:hAnsi="Times New Roman"/>
          <w:sz w:val="14"/>
          <w:szCs w:val="14"/>
          <w:i w:val="1"/>
          <w:iCs w:val="1"/>
          <w:color w:val="auto"/>
        </w:rPr>
        <w:t>Wet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bronbelasting 2021</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purposes of this section:</w:t>
      </w:r>
    </w:p>
    <w:p>
      <w:pPr>
        <w:spacing w:after="0" w:line="102" w:lineRule="exact"/>
        <w:rPr>
          <w:sz w:val="20"/>
          <w:szCs w:val="20"/>
          <w:color w:val="auto"/>
        </w:rPr>
      </w:pPr>
    </w:p>
    <w:p>
      <w:pPr>
        <w:ind w:left="2100" w:right="399" w:hanging="328"/>
        <w:spacing w:after="0" w:line="283" w:lineRule="auto"/>
        <w:tabs>
          <w:tab w:leader="none" w:pos="21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Entity” means an entity (i) that has a Qualifying Interest in us or (ii) in which a third party has a Qualifying Interest if such third party also has a Qualifying Interest in us.</w:t>
      </w:r>
    </w:p>
    <w:p>
      <w:pPr>
        <w:spacing w:after="0" w:line="51" w:lineRule="exact"/>
        <w:rPr>
          <w:rFonts w:ascii="Times New Roman" w:cs="Times New Roman" w:eastAsia="Times New Roman" w:hAnsi="Times New Roman"/>
          <w:sz w:val="14"/>
          <w:szCs w:val="14"/>
          <w:color w:val="auto"/>
        </w:rPr>
      </w:pPr>
    </w:p>
    <w:p>
      <w:pPr>
        <w:ind w:left="2100" w:right="219" w:hanging="328"/>
        <w:spacing w:after="0" w:line="261" w:lineRule="auto"/>
        <w:tabs>
          <w:tab w:leader="none" w:pos="21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Interest” means a direct or indirectly held interest—either by an entity individually or, if an entity is part of a Qualifying Unity, jointly—that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 w:cs="Times New Roman" w:eastAsia="Times New Roman" w:hAnsi="Times New Roman"/>
          <w:sz w:val="14"/>
          <w:szCs w:val="14"/>
          <w:i w:val="1"/>
          <w:iCs w:val="1"/>
          <w:color w:val="auto"/>
        </w:rPr>
        <w:t>vrijheid van vestiging</w:t>
      </w:r>
      <w:r>
        <w:rPr>
          <w:rFonts w:ascii="Times New Roman" w:cs="Times New Roman" w:eastAsia="Times New Roman" w:hAnsi="Times New Roman"/>
          <w:sz w:val="14"/>
          <w:szCs w:val="14"/>
          <w:color w:val="auto"/>
        </w:rPr>
        <w:t>)).</w:t>
      </w:r>
    </w:p>
    <w:p>
      <w:pPr>
        <w:spacing w:after="0" w:line="67" w:lineRule="exact"/>
        <w:rPr>
          <w:rFonts w:ascii="Times New Roman" w:cs="Times New Roman" w:eastAsia="Times New Roman" w:hAnsi="Times New Roman"/>
          <w:sz w:val="14"/>
          <w:szCs w:val="14"/>
          <w:color w:val="auto"/>
        </w:rPr>
      </w:pPr>
    </w:p>
    <w:p>
      <w:pPr>
        <w:ind w:left="2100" w:right="659" w:hanging="328"/>
        <w:spacing w:after="0" w:line="283" w:lineRule="auto"/>
        <w:tabs>
          <w:tab w:leader="none" w:pos="21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Unity” means entities acting together with the main purpose or one of the main purposes of avoiding Dutch conditional withholding tax at the level of any of those entities (</w:t>
      </w:r>
      <w:r>
        <w:rPr>
          <w:rFonts w:ascii="Times New Roman" w:cs="Times New Roman" w:eastAsia="Times New Roman" w:hAnsi="Times New Roman"/>
          <w:sz w:val="14"/>
          <w:szCs w:val="14"/>
          <w:i w:val="1"/>
          <w:iCs w:val="1"/>
          <w:color w:val="auto"/>
        </w:rPr>
        <w:t>kwalificerende eenheid</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The Dutch conditional withholding tax on dividends will be imposed at the highest Dutch corporate income tax rate in effect at the time of the distribution (2026: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(2026: 25.8%).</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Taxes on Income and Capital Gains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Dutch Resident Entities</w:t>
      </w:r>
    </w:p>
    <w:p>
      <w:pPr>
        <w:spacing w:after="0" w:line="94"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2026).</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Dutch Resident Individuals</w:t>
      </w:r>
    </w:p>
    <w:p>
      <w:pPr>
        <w:spacing w:after="0" w:line="94"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2026), if:</w:t>
      </w:r>
    </w:p>
    <w:p>
      <w:pPr>
        <w:spacing w:after="0" w:line="62" w:lineRule="exact"/>
        <w:rPr>
          <w:sz w:val="20"/>
          <w:szCs w:val="20"/>
          <w:color w:val="auto"/>
        </w:rPr>
      </w:pPr>
    </w:p>
    <w:p>
      <w:pPr>
        <w:ind w:left="1680" w:right="299" w:hanging="329"/>
        <w:spacing w:after="0" w:line="267"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attributable to an enterprise from which the holder of ordinary shares derives a share of the profit, whether as an entrepreneur (</w:t>
      </w:r>
      <w:r>
        <w:rPr>
          <w:rFonts w:ascii="Times New Roman" w:cs="Times New Roman" w:eastAsia="Times New Roman" w:hAnsi="Times New Roman"/>
          <w:sz w:val="14"/>
          <w:szCs w:val="14"/>
          <w:i w:val="1"/>
          <w:iCs w:val="1"/>
          <w:color w:val="auto"/>
        </w:rPr>
        <w:t>ondernemer</w:t>
      </w:r>
      <w:r>
        <w:rPr>
          <w:rFonts w:ascii="Times New Roman" w:cs="Times New Roman" w:eastAsia="Times New Roman" w:hAnsi="Times New Roman"/>
          <w:sz w:val="14"/>
          <w:szCs w:val="14"/>
          <w:color w:val="auto"/>
        </w:rPr>
        <w:t>) or as a person who has a co-entitlement to the net worth (</w:t>
      </w:r>
      <w:r>
        <w:rPr>
          <w:rFonts w:ascii="Times New Roman" w:cs="Times New Roman" w:eastAsia="Times New Roman" w:hAnsi="Times New Roman"/>
          <w:sz w:val="14"/>
          <w:szCs w:val="14"/>
          <w:i w:val="1"/>
          <w:iCs w:val="1"/>
          <w:color w:val="auto"/>
        </w:rPr>
        <w:t>medegerechtigd tot het vermogen</w:t>
      </w:r>
      <w:r>
        <w:rPr>
          <w:rFonts w:ascii="Times New Roman" w:cs="Times New Roman" w:eastAsia="Times New Roman" w:hAnsi="Times New Roman"/>
          <w:sz w:val="14"/>
          <w:szCs w:val="14"/>
          <w:color w:val="auto"/>
        </w:rPr>
        <w:t>) of such enterprise without being a shareholder (as defined in the Dutch Income Tax Act 2001); or</w:t>
      </w:r>
    </w:p>
    <w:p>
      <w:pPr>
        <w:spacing w:after="0" w:line="6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ordinary shares is considered to perform activities with respect to the ordinary shares that go beyond ordinary asset management</w:t>
      </w:r>
    </w:p>
    <w:p>
      <w:pPr>
        <w:spacing w:after="0" w:line="21" w:lineRule="exact"/>
        <w:rPr>
          <w:rFonts w:ascii="Times New Roman" w:cs="Times New Roman" w:eastAsia="Times New Roman" w:hAnsi="Times New Roman"/>
          <w:sz w:val="14"/>
          <w:szCs w:val="14"/>
          <w:color w:val="auto"/>
        </w:rPr>
      </w:pPr>
    </w:p>
    <w:p>
      <w:pPr>
        <w:ind w:left="1680" w:right="2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normaal, actief vermogensbeheer</w:t>
      </w:r>
      <w:r>
        <w:rPr>
          <w:rFonts w:ascii="Times New Roman" w:cs="Times New Roman" w:eastAsia="Times New Roman" w:hAnsi="Times New Roman"/>
          <w:sz w:val="14"/>
          <w:szCs w:val="14"/>
          <w:color w:val="auto"/>
        </w:rPr>
        <w:t>) or otherwise derives benefits from the ordinary shares that are taxable as benefits from miscellaneous activities (</w:t>
      </w:r>
      <w:r>
        <w:rPr>
          <w:rFonts w:ascii="Times New Roman" w:cs="Times New Roman" w:eastAsia="Times New Roman" w:hAnsi="Times New Roman"/>
          <w:sz w:val="14"/>
          <w:szCs w:val="14"/>
          <w:i w:val="1"/>
          <w:iCs w:val="1"/>
          <w:color w:val="auto"/>
        </w:rPr>
        <w:t>resultaat uit overige werkzaamheden</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Taxation of savings and investments</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If the above-mentioned conditions (i) and (ii) do not apply to the Dutch Resident Individual, the ordinary shares will be subject to an annual Dutch income tax under the regime for savings and investments (</w:t>
      </w:r>
      <w:r>
        <w:rPr>
          <w:rFonts w:ascii="Times New Roman" w:cs="Times New Roman" w:eastAsia="Times New Roman" w:hAnsi="Times New Roman"/>
          <w:sz w:val="14"/>
          <w:szCs w:val="14"/>
          <w:i w:val="1"/>
          <w:iCs w:val="1"/>
          <w:color w:val="auto"/>
        </w:rPr>
        <w:t>inkomen uit sparen en beleggen</w:t>
      </w:r>
      <w:r>
        <w:rPr>
          <w:rFonts w:ascii="Times New Roman" w:cs="Times New Roman" w:eastAsia="Times New Roman" w:hAnsi="Times New Roman"/>
          <w:sz w:val="14"/>
          <w:szCs w:val="14"/>
          <w:color w:val="auto"/>
        </w:rPr>
        <w:t>). Taxation only occurs insofar the Dutch Resident Individual’s net investment assets for the year exceed a statutory threshold (</w:t>
      </w:r>
      <w:r>
        <w:rPr>
          <w:rFonts w:ascii="Times New Roman" w:cs="Times New Roman" w:eastAsia="Times New Roman" w:hAnsi="Times New Roman"/>
          <w:sz w:val="14"/>
          <w:szCs w:val="14"/>
          <w:i w:val="1"/>
          <w:iCs w:val="1"/>
          <w:color w:val="auto"/>
        </w:rPr>
        <w:t>heffingvrij vermogen</w:t>
      </w:r>
      <w:r>
        <w:rPr>
          <w:rFonts w:ascii="Times New Roman" w:cs="Times New Roman" w:eastAsia="Times New Roman" w:hAnsi="Times New Roman"/>
          <w:sz w:val="14"/>
          <w:szCs w:val="14"/>
          <w:color w:val="auto"/>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4"/>
          <w:szCs w:val="14"/>
          <w:i w:val="1"/>
          <w:iCs w:val="1"/>
          <w:color w:val="auto"/>
        </w:rPr>
        <w:t>peildatum</w:t>
      </w:r>
      <w:r>
        <w:rPr>
          <w:rFonts w:ascii="Times New Roman" w:cs="Times New Roman" w:eastAsia="Times New Roman" w:hAnsi="Times New Roman"/>
          <w:sz w:val="14"/>
          <w:szCs w:val="14"/>
          <w:color w:val="auto"/>
        </w:rPr>
        <w:t>). Actual income or capital gains realized in respect of the ordinary shares are in principle not subject to Dutch income tax.</w:t>
      </w:r>
    </w:p>
    <w:p>
      <w:pPr>
        <w:spacing w:after="0" w:line="141"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The Dutch Resident Individual’s assets and liabilities taxed under this regime, including the ordinary shares, are allocated over the following three categories: (a) bank savings (</w:t>
      </w:r>
      <w:r>
        <w:rPr>
          <w:rFonts w:ascii="Times New Roman" w:cs="Times New Roman" w:eastAsia="Times New Roman" w:hAnsi="Times New Roman"/>
          <w:sz w:val="14"/>
          <w:szCs w:val="14"/>
          <w:i w:val="1"/>
          <w:iCs w:val="1"/>
          <w:color w:val="auto"/>
        </w:rPr>
        <w:t>banktegoeden</w:t>
      </w:r>
      <w:r>
        <w:rPr>
          <w:rFonts w:ascii="Times New Roman" w:cs="Times New Roman" w:eastAsia="Times New Roman" w:hAnsi="Times New Roman"/>
          <w:sz w:val="14"/>
          <w:szCs w:val="14"/>
          <w:color w:val="auto"/>
        </w:rPr>
        <w:t>), (b) other investments (</w:t>
      </w:r>
      <w:r>
        <w:rPr>
          <w:rFonts w:ascii="Times New Roman" w:cs="Times New Roman" w:eastAsia="Times New Roman" w:hAnsi="Times New Roman"/>
          <w:sz w:val="14"/>
          <w:szCs w:val="14"/>
          <w:i w:val="1"/>
          <w:iCs w:val="1"/>
          <w:color w:val="auto"/>
        </w:rPr>
        <w:t>overige bezittingen</w:t>
      </w:r>
      <w:r>
        <w:rPr>
          <w:rFonts w:ascii="Times New Roman" w:cs="Times New Roman" w:eastAsia="Times New Roman" w:hAnsi="Times New Roman"/>
          <w:sz w:val="14"/>
          <w:szCs w:val="14"/>
          <w:color w:val="auto"/>
        </w:rPr>
        <w:t>), including the ordinary shares, and (c) liabilities (</w:t>
      </w:r>
      <w:r>
        <w:rPr>
          <w:rFonts w:ascii="Times New Roman" w:cs="Times New Roman" w:eastAsia="Times New Roman" w:hAnsi="Times New Roman"/>
          <w:sz w:val="14"/>
          <w:szCs w:val="14"/>
          <w:i w:val="1"/>
          <w:iCs w:val="1"/>
          <w:color w:val="auto"/>
        </w:rPr>
        <w:t>schulden</w:t>
      </w:r>
      <w:r>
        <w:rPr>
          <w:rFonts w:ascii="Times New Roman" w:cs="Times New Roman" w:eastAsia="Times New Roman" w:hAnsi="Times New Roman"/>
          <w:sz w:val="14"/>
          <w:szCs w:val="14"/>
          <w:color w:val="auto"/>
        </w:rPr>
        <w:t>). The taxable benefit for the year (</w:t>
      </w:r>
      <w:r>
        <w:rPr>
          <w:rFonts w:ascii="Times New Roman" w:cs="Times New Roman" w:eastAsia="Times New Roman" w:hAnsi="Times New Roman"/>
          <w:sz w:val="14"/>
          <w:szCs w:val="14"/>
          <w:i w:val="1"/>
          <w:iCs w:val="1"/>
          <w:color w:val="auto"/>
        </w:rPr>
        <w:t>voordeel uit sparen en beleggen</w:t>
      </w:r>
      <w:r>
        <w:rPr>
          <w:rFonts w:ascii="Times New Roman" w:cs="Times New Roman" w:eastAsia="Times New Roman" w:hAnsi="Times New Roman"/>
          <w:sz w:val="14"/>
          <w:szCs w:val="14"/>
          <w:color w:val="auto"/>
        </w:rPr>
        <w:t>) is equal to the product of (x) the total deemed return divided by the sum of bank savings, other investments and liabilities and (y) the sum of bank savings, other investments and liabilities minus the statutory threshold, and is taxed at a flat rate of 36% (rate for 2026).</w:t>
      </w:r>
    </w:p>
    <w:p>
      <w:pPr>
        <w:spacing w:after="0" w:line="141"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deemed return applicable to other investments, including the ordinary shares, is set at 6.00% for the calendar year 2026. Transactions in the three-month period before and after January 1 of the relevant calendar year implemented to arbitrate between the deemed return percentages applicable to bank savings, other investments and liabilities will for this purpose be ignored if the holder of the ordinary shares cannot sufficiently demonstrate that such transactions are implemented for other than tax reasons.</w:t>
      </w:r>
    </w:p>
    <w:p>
      <w:pPr>
        <w:spacing w:after="0" w:line="139"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On June 6 and 14, 2024, the Dutch Supreme Court (</w:t>
      </w:r>
      <w:r>
        <w:rPr>
          <w:rFonts w:ascii="Times New Roman" w:cs="Times New Roman" w:eastAsia="Times New Roman" w:hAnsi="Times New Roman"/>
          <w:sz w:val="14"/>
          <w:szCs w:val="14"/>
          <w:i w:val="1"/>
          <w:iCs w:val="1"/>
          <w:color w:val="auto"/>
        </w:rPr>
        <w:t>Hoge Raad</w:t>
      </w:r>
      <w:r>
        <w:rPr>
          <w:rFonts w:ascii="Times New Roman" w:cs="Times New Roman" w:eastAsia="Times New Roman" w:hAnsi="Times New Roman"/>
          <w:sz w:val="14"/>
          <w:szCs w:val="14"/>
          <w:color w:val="auto"/>
        </w:rPr>
        <w:t>) ruled that the Dutch income tax regime for savings and investments as described above (the “Box 3 Regime”) in certain specific circumstances contravenes with Section 1 of the First Protocol to the European Convention on Human Rights in combination with Section 14 of the European Convention on Human Rights (the “Rulings”). In the Rulings, the Dutch Supreme Court introduced a rebuttal provision (</w:t>
      </w:r>
      <w:r>
        <w:rPr>
          <w:rFonts w:ascii="Times New Roman" w:cs="Times New Roman" w:eastAsia="Times New Roman" w:hAnsi="Times New Roman"/>
          <w:sz w:val="14"/>
          <w:szCs w:val="14"/>
          <w:i w:val="1"/>
          <w:iCs w:val="1"/>
          <w:color w:val="auto"/>
        </w:rPr>
        <w:t>tegenbewijsregeling</w:t>
      </w:r>
      <w:r>
        <w:rPr>
          <w:rFonts w:ascii="Times New Roman" w:cs="Times New Roman" w:eastAsia="Times New Roman" w:hAnsi="Times New Roman"/>
          <w:sz w:val="14"/>
          <w:szCs w:val="14"/>
          <w:color w:val="auto"/>
        </w:rPr>
        <w:t>) pursuant to which taxpayers have the possibility to demonstrate that the actual return realized by the taxpayer in respect of their investments assets (as calculated in line with the rules as set out in the Rulings), is less than the deemed return realized by the taxpayer in respect of those assets (as calculated in accordance with the rules of the Box 3 Regime). The rebuttal provision introduced by the Dutch Supreme Court as well as the rules set out in the Rulings have been implemented in Dutch tax law pursuant to the Dutch Box 3 Rebuttal Scheme Act (</w:t>
      </w:r>
      <w:r>
        <w:rPr>
          <w:rFonts w:ascii="Times New Roman" w:cs="Times New Roman" w:eastAsia="Times New Roman" w:hAnsi="Times New Roman"/>
          <w:sz w:val="14"/>
          <w:szCs w:val="14"/>
          <w:i w:val="1"/>
          <w:iCs w:val="1"/>
          <w:color w:val="auto"/>
        </w:rPr>
        <w:t>Wet tegenbewijsregeling box 3</w:t>
      </w:r>
      <w:r>
        <w:rPr>
          <w:rFonts w:ascii="Times New Roman" w:cs="Times New Roman" w:eastAsia="Times New Roman" w:hAnsi="Times New Roman"/>
          <w:sz w:val="14"/>
          <w:szCs w:val="14"/>
          <w:color w:val="auto"/>
        </w:rPr>
        <w:t>). If the taxpayer successfully demonstrates that the actual return is less than the deemed return (using a standardized form), the taxpayer will be taxed on the actual return instead of the deemed return. The Dutch Box 3 Rebuttal Scheme Act offers a temporary solution until a new Box 3 regime is introduced, which is expected as of 1 January 2028 at the earliest.</w:t>
      </w:r>
    </w:p>
    <w:p>
      <w:pPr>
        <w:spacing w:after="0" w:line="150"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Holders of our ordinary shares are advised to consult their own tax advisor to ensure that the tax in respect of their ordinary shares is levied in accordance with the applicable Dutch tax rules at the relevant time.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Non-residents of the Netherlands</w:t>
      </w:r>
    </w:p>
    <w:p>
      <w:pPr>
        <w:spacing w:after="0" w:line="94"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52" w:lineRule="exact"/>
        <w:rPr>
          <w:sz w:val="20"/>
          <w:szCs w:val="20"/>
          <w:color w:val="auto"/>
        </w:rPr>
      </w:pPr>
    </w:p>
    <w:p>
      <w:pPr>
        <w:ind w:left="1360" w:right="379" w:hanging="9"/>
        <w:spacing w:after="0" w:line="261" w:lineRule="auto"/>
        <w:tabs>
          <w:tab w:leader="none" w:pos="152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41" w:lineRule="exact"/>
        <w:rPr>
          <w:rFonts w:ascii="Times New Roman" w:cs="Times New Roman" w:eastAsia="Times New Roman" w:hAnsi="Times New Roman"/>
          <w:sz w:val="14"/>
          <w:szCs w:val="14"/>
          <w:color w:val="auto"/>
        </w:rPr>
      </w:pPr>
    </w:p>
    <w:p>
      <w:pPr>
        <w:ind w:left="1360" w:right="459" w:hanging="9"/>
        <w:spacing w:after="0" w:line="267" w:lineRule="auto"/>
        <w:tabs>
          <w:tab w:leader="none" w:pos="156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Gift and Inheritance Taxes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Residents of the Netherlands</w:t>
      </w:r>
    </w:p>
    <w:p>
      <w:pPr>
        <w:spacing w:after="0" w:line="9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s death.</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Non-residents of the Netherlands</w:t>
      </w:r>
    </w:p>
    <w:p>
      <w:pPr>
        <w:spacing w:after="0" w:line="9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No gift or inheritance taxes will arise in the Netherlands with respect to a transfer of our ordinary shares by way of gift by, or on the death of, a holder of our ordinary shares who is neither resident nor deemed to be resident of the Netherlands, unless:</w:t>
      </w:r>
    </w:p>
    <w:p>
      <w:pPr>
        <w:spacing w:after="0" w:line="52" w:lineRule="exact"/>
        <w:rPr>
          <w:sz w:val="20"/>
          <w:szCs w:val="20"/>
          <w:color w:val="auto"/>
        </w:rPr>
      </w:pPr>
    </w:p>
    <w:p>
      <w:pPr>
        <w:ind w:left="1680" w:right="579" w:hanging="329"/>
        <w:spacing w:after="0" w:line="283" w:lineRule="auto"/>
        <w:tabs>
          <w:tab w:leader="none" w:pos="1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51" w:lineRule="exact"/>
        <w:rPr>
          <w:rFonts w:ascii="Times New Roman" w:cs="Times New Roman" w:eastAsia="Times New Roman" w:hAnsi="Times New Roman"/>
          <w:sz w:val="14"/>
          <w:szCs w:val="14"/>
          <w:color w:val="auto"/>
        </w:rPr>
      </w:pPr>
    </w:p>
    <w:p>
      <w:pPr>
        <w:ind w:left="1680" w:right="339" w:hanging="329"/>
        <w:spacing w:after="0" w:line="283" w:lineRule="auto"/>
        <w:tabs>
          <w:tab w:leader="none" w:pos="1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gift of our ordinary shares made under a condition precedent, the holder of ordinary shares is resident or deemed to be resident of the Netherlands at the time the condition is fulfilled; or</w:t>
      </w:r>
    </w:p>
    <w:p>
      <w:pPr>
        <w:spacing w:after="0" w:line="51" w:lineRule="exact"/>
        <w:rPr>
          <w:rFonts w:ascii="Times New Roman" w:cs="Times New Roman" w:eastAsia="Times New Roman" w:hAnsi="Times New Roman"/>
          <w:sz w:val="14"/>
          <w:szCs w:val="14"/>
          <w:color w:val="auto"/>
        </w:rPr>
      </w:pPr>
    </w:p>
    <w:p>
      <w:pPr>
        <w:ind w:left="1680" w:right="239" w:hanging="329"/>
        <w:spacing w:after="0" w:line="283" w:lineRule="auto"/>
        <w:tabs>
          <w:tab w:leader="none" w:pos="16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is otherwise construed as a gift or inheritance made by, or on behalf of, a person who, at the time of the gift or death, is or is deemed to be resident of the Netherlands.</w:t>
      </w:r>
    </w:p>
    <w:p>
      <w:pPr>
        <w:spacing w:after="0" w:line="125"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 Applicable tax treaties may override deemed residency.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Value Added Tax (“VAT”)</w:t>
      </w:r>
    </w:p>
    <w:p>
      <w:pPr>
        <w:spacing w:after="0" w:line="94"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No Dutch VAT will be payable by a holder of our ordinary shares in respect of any payment in consideration for the holding or disposal of our ordinary shares.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Taxes and Duties</w:t>
      </w:r>
    </w:p>
    <w:p>
      <w:pPr>
        <w:spacing w:after="0" w:line="94"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No Dutch documentation taxes (commonly referred to as stamp duties) will be payable by a holder of our ordinary shares in respect of any payment in consideration for the holding or disposal of our ordinary shares.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8"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Under the terms and subject to the conditions in an underwriting agreement dated the date of this prospectus supplement, the underwriters named below, for whom Morgan Stanley &amp; Co. LLC and Leerink Partners LLC are acting as representatives, have severally agreed to purchase, and we have agreed to sell to them, severally, the number of ordinary shares indicated below:</w:t>
      </w:r>
    </w:p>
    <w:p>
      <w:pPr>
        <w:spacing w:after="0" w:line="142"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35"/>
        </w:trPr>
        <w:tc>
          <w:tcPr>
            <w:tcW w:w="4980" w:type="dxa"/>
            <w:vAlign w:val="bottom"/>
            <w:gridSpan w:val="2"/>
            <w:vMerge w:val="continue"/>
          </w:tcPr>
          <w:p>
            <w:pPr>
              <w:spacing w:after="0"/>
              <w:rPr>
                <w:sz w:val="11"/>
                <w:szCs w:val="11"/>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0" w:type="dxa"/>
            <w:vAlign w:val="bottom"/>
          </w:tcPr>
          <w:p>
            <w:pPr>
              <w:spacing w:after="0"/>
              <w:rPr>
                <w:sz w:val="1"/>
                <w:szCs w:val="1"/>
                <w:color w:val="auto"/>
              </w:rPr>
            </w:pPr>
          </w:p>
        </w:tc>
      </w:tr>
      <w:tr>
        <w:trPr>
          <w:trHeight w:val="159"/>
        </w:trPr>
        <w:tc>
          <w:tcPr>
            <w:tcW w:w="44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Morgan Stanley &amp; Co. LLC</w:t>
            </w:r>
          </w:p>
        </w:tc>
        <w:tc>
          <w:tcPr>
            <w:tcW w:w="5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1,404,566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Leerink Partners LLC</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1,210,832</w:t>
            </w:r>
          </w:p>
        </w:tc>
        <w:tc>
          <w:tcPr>
            <w:tcW w:w="0" w:type="dxa"/>
            <w:vAlign w:val="bottom"/>
          </w:tcPr>
          <w:p>
            <w:pPr>
              <w:spacing w:after="0"/>
              <w:rPr>
                <w:sz w:val="1"/>
                <w:szCs w:val="1"/>
                <w:color w:val="auto"/>
              </w:rPr>
            </w:pPr>
          </w:p>
        </w:tc>
      </w:tr>
      <w:tr>
        <w:trPr>
          <w:trHeight w:val="168"/>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Cantor Fitzgerald &amp; Co.</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678,066</w:t>
            </w:r>
          </w:p>
        </w:tc>
        <w:tc>
          <w:tcPr>
            <w:tcW w:w="0" w:type="dxa"/>
            <w:vAlign w:val="bottom"/>
          </w:tcPr>
          <w:p>
            <w:pPr>
              <w:spacing w:after="0"/>
              <w:rPr>
                <w:sz w:val="1"/>
                <w:szCs w:val="1"/>
                <w:color w:val="auto"/>
              </w:rPr>
            </w:pPr>
          </w:p>
        </w:tc>
      </w:tr>
      <w:tr>
        <w:trPr>
          <w:trHeight w:val="16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581,200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3,874,664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The underwriters and the representatives are collectively referred to as the “underwriters” and the “representatives,” respectively. The underwriters are offering the ordinary shares subject to their acceptance of the ordinary shares from us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shares are taken.</w:t>
      </w:r>
    </w:p>
    <w:p>
      <w:pPr>
        <w:spacing w:after="0" w:line="141"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Certain of the underwriters may offer and sell the ordinary shares through one or more of their respective affiliates or other registered broker-dealers or selling agents.</w:t>
      </w:r>
    </w:p>
    <w:p>
      <w:pPr>
        <w:spacing w:after="0" w:line="125"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The underwriters initially propose to offer part of the ordinary shares directly to the public at the offering price listed on the cover page of this prospectus supplement and part to certain dealers at a price that represents a concession not in excess of $1.06848 per ordinary share under the public offering price. After the initial offering of the ordinary shares, the offering price and other selling terms may from time to time be varied by the representatives. We have granted to the underwriters an option, exercisable for 30 days from the date of this prospectus supplement, to purchase up to 581,199 additional ordinary shares at the public offering price listed on the cover page of this prospectus supplement, less underwriting discounts and commissions. The number of ordinary shares subject to the underwriters’ option equals 15% of the total number of ordinary shares.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spacing w:after="0" w:line="14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shows the per ordinary share and total public offering price, underwriting discounts and commissions, and proceeds before expenses to us. These amounts are shown assuming both no exercise and full exercise of the underwriters’ option to purchase an additional 581,199 ordinary shares.</w:t>
      </w:r>
    </w:p>
    <w:p>
      <w:pPr>
        <w:spacing w:after="0" w:line="153"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Per Ordinary</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jc w:val="right"/>
              <w:ind w:right="297"/>
              <w:spacing w:after="0" w:line="87" w:lineRule="exact"/>
              <w:rPr>
                <w:sz w:val="20"/>
                <w:szCs w:val="20"/>
                <w:color w:val="auto"/>
              </w:rPr>
            </w:pPr>
            <w:r>
              <w:rPr>
                <w:rFonts w:ascii="Times New Roman" w:cs="Times New Roman" w:eastAsia="Times New Roman" w:hAnsi="Times New Roman"/>
                <w:sz w:val="10"/>
                <w:szCs w:val="10"/>
                <w:b w:val="1"/>
                <w:bCs w:val="1"/>
                <w:color w:val="auto"/>
              </w:rPr>
              <w:t>No</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right="77"/>
              <w:spacing w:after="0" w:line="87" w:lineRule="exact"/>
              <w:rPr>
                <w:sz w:val="20"/>
                <w:szCs w:val="20"/>
                <w:color w:val="auto"/>
              </w:rPr>
            </w:pPr>
            <w:r>
              <w:rPr>
                <w:rFonts w:ascii="Times New Roman" w:cs="Times New Roman" w:eastAsia="Times New Roman" w:hAnsi="Times New Roman"/>
                <w:sz w:val="10"/>
                <w:szCs w:val="10"/>
                <w:b w:val="1"/>
                <w:bCs w:val="1"/>
                <w:color w:val="auto"/>
              </w:rPr>
              <w:t>Full</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Share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0" w:type="dxa"/>
            <w:vAlign w:val="bottom"/>
          </w:tcPr>
          <w:p>
            <w:pPr>
              <w:spacing w:after="0"/>
              <w:rPr>
                <w:sz w:val="1"/>
                <w:szCs w:val="1"/>
                <w:color w:val="auto"/>
              </w:rPr>
            </w:pPr>
          </w:p>
        </w:tc>
      </w:tr>
      <w:tr>
        <w:trPr>
          <w:trHeight w:val="159"/>
        </w:trPr>
        <w:tc>
          <w:tcPr>
            <w:tcW w:w="33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5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29.68000</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115,000,028</w:t>
            </w: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132,250,014</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 to be paid by us: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1.78080</w:t>
            </w:r>
          </w:p>
        </w:tc>
        <w:tc>
          <w:tcPr>
            <w:tcW w:w="52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6,900,002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27.89920</w:t>
            </w: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108,100,026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124,315,013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380" w:type="dxa"/>
            <w:vAlign w:val="bottom"/>
          </w:tcPr>
          <w:p>
            <w:pPr>
              <w:spacing w:after="0"/>
              <w:rPr>
                <w:sz w:val="24"/>
                <w:szCs w:val="24"/>
                <w:color w:val="auto"/>
              </w:rPr>
            </w:pPr>
          </w:p>
        </w:tc>
        <w:tc>
          <w:tcPr>
            <w:tcW w:w="640" w:type="dxa"/>
            <w:vAlign w:val="bottom"/>
            <w:gridSpan w:val="2"/>
          </w:tcPr>
          <w:p>
            <w:pPr>
              <w:jc w:val="right"/>
              <w:ind w:right="217"/>
              <w:spacing w:after="0"/>
              <w:rPr>
                <w:sz w:val="20"/>
                <w:szCs w:val="20"/>
                <w:color w:val="auto"/>
              </w:rPr>
            </w:pPr>
            <w:r>
              <w:rPr>
                <w:rFonts w:ascii="Times New Roman" w:cs="Times New Roman" w:eastAsia="Times New Roman" w:hAnsi="Times New Roman"/>
                <w:sz w:val="14"/>
                <w:szCs w:val="14"/>
                <w:color w:val="auto"/>
              </w:rPr>
              <w:t>S-24</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59" w:firstLine="343"/>
        <w:spacing w:after="0" w:line="324" w:lineRule="auto"/>
        <w:rPr>
          <w:sz w:val="20"/>
          <w:szCs w:val="20"/>
          <w:color w:val="auto"/>
        </w:rPr>
      </w:pPr>
      <w:r>
        <w:rPr>
          <w:rFonts w:ascii="Times New Roman" w:cs="Times New Roman" w:eastAsia="Times New Roman" w:hAnsi="Times New Roman"/>
          <w:sz w:val="13"/>
          <w:szCs w:val="13"/>
          <w:color w:val="auto"/>
        </w:rPr>
        <w:t>The estimated offering expenses payable by us, exclusive of the underwriting discounts and commissions, are approximately $575,000. We have agreed to reimburse the underwriters for expense relating to clearance of this offering with the Financial Industry Regulatory Authority up to $15,000.</w:t>
      </w:r>
    </w:p>
    <w:p>
      <w:pPr>
        <w:spacing w:after="0" w:line="101"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The underwriters have informed us that they do not intend sales to discretionary accounts to exceed 5% of the total number of ordinary shares offered by them.</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ordinary shares trade on The Nasdaq Global Select Market under the symbol “PHVS”.</w:t>
      </w:r>
    </w:p>
    <w:p>
      <w:pPr>
        <w:spacing w:after="0" w:line="176"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have agreed that, without the prior written consent of the representatives, we will not, and will not publicly disclose an intention to, during the period ending 90 days after the date of this prospectus supplement (the “restricted period”):</w:t>
      </w:r>
    </w:p>
    <w:p>
      <w:pPr>
        <w:spacing w:after="0" w:line="52" w:lineRule="exact"/>
        <w:rPr>
          <w:sz w:val="20"/>
          <w:szCs w:val="20"/>
          <w:color w:val="auto"/>
        </w:rPr>
      </w:pPr>
    </w:p>
    <w:p>
      <w:pPr>
        <w:jc w:val="both"/>
        <w:ind w:left="2100" w:right="279" w:hanging="328"/>
        <w:spacing w:after="0" w:line="267" w:lineRule="auto"/>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w:t>
      </w:r>
    </w:p>
    <w:p>
      <w:pPr>
        <w:spacing w:after="0" w:line="6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registration statement with the SEC relating to the offering of any ordinary shares or any securities convertible into or exercisable or exchangeable for ordinary shares; or</w:t>
      </w:r>
    </w:p>
    <w:p>
      <w:pPr>
        <w:spacing w:after="0" w:line="51"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arrangement that transfers to another, in whole or in part, any of the economic consequences of ownership of the ordinary shares.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Any such transaction described above is to be settled by delivery of ordinary shares or such other securities, in cash or otherwise.</w:t>
      </w:r>
    </w:p>
    <w:p>
      <w:pPr>
        <w:spacing w:after="0" w:line="176"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do not apply to us in certain circumstances, subject to certain limitations and conditions set forth in the underwriting agreement, including:</w:t>
      </w:r>
    </w:p>
    <w:p>
      <w:pPr>
        <w:spacing w:after="0" w:line="52" w:lineRule="exact"/>
        <w:rPr>
          <w:sz w:val="20"/>
          <w:szCs w:val="20"/>
          <w:color w:val="auto"/>
        </w:rPr>
      </w:pPr>
    </w:p>
    <w:p>
      <w:pPr>
        <w:ind w:left="1680" w:hanging="329"/>
        <w:spacing w:after="0"/>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and sale of the ordinary shares in this offering;</w:t>
      </w:r>
    </w:p>
    <w:p>
      <w:pPr>
        <w:spacing w:after="0" w:line="102" w:lineRule="exact"/>
        <w:rPr>
          <w:rFonts w:ascii="Times New Roman" w:cs="Times New Roman" w:eastAsia="Times New Roman" w:hAnsi="Times New Roman"/>
          <w:sz w:val="14"/>
          <w:szCs w:val="14"/>
          <w:color w:val="auto"/>
        </w:rPr>
      </w:pPr>
    </w:p>
    <w:p>
      <w:pPr>
        <w:ind w:left="1680" w:right="859" w:hanging="329"/>
        <w:spacing w:after="0" w:line="283" w:lineRule="auto"/>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our ordinary shares upon the exercise of an option, award, restricted stock unit or warrant or the conversion of a security outstanding on the date of this prospectus supplement;</w:t>
      </w:r>
    </w:p>
    <w:p>
      <w:pPr>
        <w:spacing w:after="0" w:line="51" w:lineRule="exact"/>
        <w:rPr>
          <w:rFonts w:ascii="Times New Roman" w:cs="Times New Roman" w:eastAsia="Times New Roman" w:hAnsi="Times New Roman"/>
          <w:sz w:val="14"/>
          <w:szCs w:val="14"/>
          <w:color w:val="auto"/>
        </w:rPr>
      </w:pPr>
    </w:p>
    <w:p>
      <w:pPr>
        <w:ind w:left="1680" w:right="439" w:hanging="329"/>
        <w:spacing w:after="0" w:line="259" w:lineRule="auto"/>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facilitating the establishment of a trading plan on behalf of a shareholder, officer or director of the Company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may be made under such plan during the restricted period;</w:t>
      </w:r>
    </w:p>
    <w:p>
      <w:pPr>
        <w:spacing w:after="0" w:line="67"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by us of any registration statement on Form S-8 (or any successor form) with the SEC;</w:t>
      </w:r>
    </w:p>
    <w:p>
      <w:pPr>
        <w:spacing w:after="0" w:line="102" w:lineRule="exact"/>
        <w:rPr>
          <w:rFonts w:ascii="Times New Roman" w:cs="Times New Roman" w:eastAsia="Times New Roman" w:hAnsi="Times New Roman"/>
          <w:sz w:val="14"/>
          <w:szCs w:val="14"/>
          <w:color w:val="auto"/>
        </w:rPr>
      </w:pPr>
    </w:p>
    <w:p>
      <w:pPr>
        <w:jc w:val="both"/>
        <w:ind w:left="1680" w:right="359" w:hanging="329"/>
        <w:spacing w:after="0" w:line="267" w:lineRule="auto"/>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ordinary shares on behalf of our officers named in the registration statement of which this prospectus supplement and the accompanying prospectus forms a part to satisfy the withholding taxes payable upon the vesting, exercise or settlement of such officer’s equity awards pursuant to employee benefit plans described in this prospectus supplement; or</w:t>
      </w:r>
    </w:p>
    <w:p>
      <w:pPr>
        <w:spacing w:after="0" w:line="62" w:lineRule="exact"/>
        <w:rPr>
          <w:rFonts w:ascii="Times New Roman" w:cs="Times New Roman" w:eastAsia="Times New Roman" w:hAnsi="Times New Roman"/>
          <w:sz w:val="14"/>
          <w:szCs w:val="14"/>
          <w:color w:val="auto"/>
        </w:rPr>
      </w:pPr>
    </w:p>
    <w:p>
      <w:pPr>
        <w:ind w:left="1680" w:right="299" w:hanging="329"/>
        <w:spacing w:after="0" w:line="257" w:lineRule="auto"/>
        <w:tabs>
          <w:tab w:leader="none" w:pos="1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issuance of or entry into an agreement to sell or issue ordinary shares or securities convertible into or exercisable for ordinary shares in connection with any (i) mergers, (ii) acquisition of securities, businesses, property, technologies or other assets, (iii) joint ventures, (iv) strategic alliances, commercial relationships or other collaborations, or (v) the assumption of employee benefit plans in connection with mergers or acquisitions; provided that the aggregate number of ordinary shares or securities convertible into or exercisable for ordinary shares that we may sell or issue or agree to sell or issue shall not exceed 10% of the total number of ordinary shares immediately following the completion of this offering.</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Our directors and officers have agreed that, without the prior written consent of the representatives, they will not, and will not publicly disclose an intention to, during the restricted period: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(2) enter into any swap or other arrangement that transfers to another, in whole or in part, any of the economic consequences of ownership of the ordinary shares, or (3) make any demand for or exercise any right with respect to the registration of any ordinary shares or any security convertible into or exercisable or exchangeable for ordinary shares. These restrictions do not apply in certain circumstances, subject to certain limitations and conditions set forth in the lock-up agreements, including:</w:t>
      </w:r>
    </w:p>
    <w:p>
      <w:pPr>
        <w:spacing w:after="0" w:line="71" w:lineRule="exact"/>
        <w:rPr>
          <w:sz w:val="20"/>
          <w:szCs w:val="20"/>
          <w:color w:val="auto"/>
        </w:rPr>
      </w:pPr>
    </w:p>
    <w:p>
      <w:pPr>
        <w:ind w:left="1680" w:hanging="329"/>
        <w:spacing w:after="0"/>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of the offer and sale of ordinary shares pursuant to the underwriting agreement;</w:t>
      </w:r>
    </w:p>
    <w:p>
      <w:pPr>
        <w:spacing w:after="0" w:line="102" w:lineRule="exact"/>
        <w:rPr>
          <w:rFonts w:ascii="Times New Roman" w:cs="Times New Roman" w:eastAsia="Times New Roman" w:hAnsi="Times New Roman"/>
          <w:sz w:val="14"/>
          <w:szCs w:val="14"/>
          <w:color w:val="auto"/>
        </w:rPr>
      </w:pPr>
    </w:p>
    <w:p>
      <w:pPr>
        <w:ind w:left="1680" w:right="739" w:hanging="329"/>
        <w:spacing w:after="0" w:line="283"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relating to ordinary shares or other securities acquired in this offering or open market transactions after the completion of this offering;</w:t>
      </w:r>
    </w:p>
    <w:p>
      <w:pPr>
        <w:spacing w:after="0" w:line="51" w:lineRule="exact"/>
        <w:rPr>
          <w:rFonts w:ascii="Times New Roman" w:cs="Times New Roman" w:eastAsia="Times New Roman" w:hAnsi="Times New Roman"/>
          <w:sz w:val="14"/>
          <w:szCs w:val="14"/>
          <w:color w:val="auto"/>
        </w:rPr>
      </w:pPr>
    </w:p>
    <w:p>
      <w:pPr>
        <w:ind w:left="1680" w:right="679" w:hanging="329"/>
        <w:spacing w:after="0" w:line="283"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ordinary shares or any security convertible into ordinary shares as a bona fide gift or gifts or by will, testamentary document or intestate succession;</w:t>
      </w:r>
    </w:p>
    <w:p>
      <w:pPr>
        <w:spacing w:after="0" w:line="51" w:lineRule="exact"/>
        <w:rPr>
          <w:rFonts w:ascii="Times New Roman" w:cs="Times New Roman" w:eastAsia="Times New Roman" w:hAnsi="Times New Roman"/>
          <w:sz w:val="14"/>
          <w:szCs w:val="14"/>
          <w:color w:val="auto"/>
        </w:rPr>
      </w:pPr>
    </w:p>
    <w:p>
      <w:pPr>
        <w:ind w:left="1680" w:right="279" w:hanging="329"/>
        <w:spacing w:after="0" w:line="283"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ordinary shares or any security convertible into ordinary shares to limited partners, members, trust beneficiaries or stockholders of such director, officer or holder;</w:t>
      </w:r>
    </w:p>
    <w:p>
      <w:pPr>
        <w:spacing w:after="0" w:line="51" w:lineRule="exact"/>
        <w:rPr>
          <w:rFonts w:ascii="Times New Roman" w:cs="Times New Roman" w:eastAsia="Times New Roman" w:hAnsi="Times New Roman"/>
          <w:sz w:val="14"/>
          <w:szCs w:val="14"/>
          <w:color w:val="auto"/>
        </w:rPr>
      </w:pPr>
    </w:p>
    <w:p>
      <w:pPr>
        <w:ind w:left="1680" w:right="299" w:hanging="329"/>
        <w:spacing w:after="0" w:line="267"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director, officer or holder is a corporation, partnership, limited liability company, trust or other business entity, to any direct or indirect affiliate (as defined in Rule 405 promulgated under the Securities Act) of such party or any investment fund or other entity controlled or managed by, or under common control or management with, such party or any investment fund or other entity that controls such party;</w:t>
      </w:r>
    </w:p>
    <w:p>
      <w:pPr>
        <w:spacing w:after="0" w:line="6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by operation of law, pursuant to a qualified domestic order or in connection with a divorce settlement;</w:t>
      </w:r>
    </w:p>
    <w:p>
      <w:pPr>
        <w:spacing w:after="0" w:line="102" w:lineRule="exact"/>
        <w:rPr>
          <w:rFonts w:ascii="Times New Roman" w:cs="Times New Roman" w:eastAsia="Times New Roman" w:hAnsi="Times New Roman"/>
          <w:sz w:val="14"/>
          <w:szCs w:val="14"/>
          <w:color w:val="auto"/>
        </w:rPr>
      </w:pPr>
    </w:p>
    <w:p>
      <w:pPr>
        <w:ind w:left="1680" w:right="339" w:hanging="329"/>
        <w:spacing w:after="0" w:line="267"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trust for the direct or indirect benefit of the undersigned or the immediate family of such party (for purposes of this agreement “immediate family” shall mean any relationship by blood, marriage or adoption, not more remote than first cousin), provided that any such transfer shall not involve a disposition for value;</w:t>
      </w:r>
    </w:p>
    <w:p>
      <w:pPr>
        <w:spacing w:after="0" w:line="62" w:lineRule="exact"/>
        <w:rPr>
          <w:rFonts w:ascii="Times New Roman" w:cs="Times New Roman" w:eastAsia="Times New Roman" w:hAnsi="Times New Roman"/>
          <w:sz w:val="14"/>
          <w:szCs w:val="14"/>
          <w:color w:val="auto"/>
        </w:rPr>
      </w:pPr>
    </w:p>
    <w:p>
      <w:pPr>
        <w:ind w:left="1680" w:right="239" w:hanging="329"/>
        <w:spacing w:after="0" w:line="259"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facilitating the establishment of a trading plan on behalf of a shareholder, officer or director of us pursuant to Rule 10b5-1 under the Exchange Act for the transfer of ordinary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plan does not provide for the transfer of ordinary shares during the restricted period and to the extent a public announcement or filing under the Exchange Act, if any, is required of or voluntarily made by or on behalf of such party or us regarding the establishment of such plan, such announcement or filing shall include a statement to the effect that no transfer of ordinary shares may be made under such plan during the restricted period;</w:t>
      </w:r>
    </w:p>
    <w:p>
      <w:pPr>
        <w:spacing w:after="0" w:line="67" w:lineRule="exact"/>
        <w:rPr>
          <w:rFonts w:ascii="Times New Roman" w:cs="Times New Roman" w:eastAsia="Times New Roman" w:hAnsi="Times New Roman"/>
          <w:sz w:val="14"/>
          <w:szCs w:val="14"/>
          <w:color w:val="auto"/>
        </w:rPr>
      </w:pPr>
    </w:p>
    <w:p>
      <w:pPr>
        <w:ind w:left="1680" w:right="259" w:hanging="329"/>
        <w:spacing w:after="0" w:line="255"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transfers to us of ordinary shares or any security convertible into ordinary shares in connection with the “net” or “cashless” exercise of options or warrants or the vesting, exercise or settlement of any other equity-based award during the restricted period, in each case, granted pursuant to our equity incentive plans described in this prospectus supplement and the accompanying prospectus, including any ordinary shares withheld by us or any of our subsidiaries to pay the applicable exercise price or withholding taxes associated with such awards;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(i) the restrictions contained in this agreement shall apply to ordinary shares issued upon such exercise, conversion, vesting or settlement and (ii) for any options or other awards that expire, vest or become settled during the restricted period while we are unable to transfer shares for purposes of satisfying any tax or other governmental withholding obligations, the restrictions contained in this agreement shall not apply to shares sold or otherwise withheld for that purpose;</w:t>
      </w:r>
    </w:p>
    <w:p>
      <w:pPr>
        <w:spacing w:after="0" w:line="73" w:lineRule="exact"/>
        <w:rPr>
          <w:rFonts w:ascii="Times New Roman" w:cs="Times New Roman" w:eastAsia="Times New Roman" w:hAnsi="Times New Roman"/>
          <w:sz w:val="14"/>
          <w:szCs w:val="14"/>
          <w:color w:val="auto"/>
        </w:rPr>
      </w:pPr>
    </w:p>
    <w:p>
      <w:pPr>
        <w:ind w:left="1680" w:right="319" w:hanging="329"/>
        <w:spacing w:after="0" w:line="267" w:lineRule="auto"/>
        <w:tabs>
          <w:tab w:leader="none" w:pos="16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pursuant to a bona fide third-party tender offer, merger, consolidation or other similar transaction made to all holders of our securities involving a change of control of us and approved by our board of directors,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that such tender offer, merger, consolidation or other such transaction is not completed, such securities held by the undersigned shall remain subject to the provisions of this agreement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259"/>
        <w:spacing w:after="0" w:line="261" w:lineRule="auto"/>
        <w:rPr>
          <w:sz w:val="20"/>
          <w:szCs w:val="20"/>
          <w:color w:val="auto"/>
        </w:rPr>
      </w:pPr>
      <w:r>
        <w:rPr>
          <w:rFonts w:ascii="Times New Roman" w:cs="Times New Roman" w:eastAsia="Times New Roman" w:hAnsi="Times New Roman"/>
          <w:sz w:val="14"/>
          <w:szCs w:val="14"/>
          <w:color w:val="auto"/>
        </w:rPr>
        <w:t>(for purposes hereof “change of control” shall mean the transfer, whether by tender offer, merger, consolidation, spin-off or other such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the outstanding voting securities of us (or the surviving entity));</w:t>
      </w:r>
    </w:p>
    <w:p>
      <w:pPr>
        <w:spacing w:after="0" w:line="68" w:lineRule="exact"/>
        <w:rPr>
          <w:sz w:val="20"/>
          <w:szCs w:val="20"/>
          <w:color w:val="auto"/>
        </w:rPr>
      </w:pPr>
    </w:p>
    <w:p>
      <w:pPr>
        <w:ind w:left="1680" w:right="399" w:hanging="329"/>
        <w:spacing w:after="0" w:line="283"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pursuant to arrangements under which we have the option to repurchase such party’s ordinary shares, which arrangements are described in this prospectus supplement and the accompanying prospectus; and</w:t>
      </w:r>
    </w:p>
    <w:p>
      <w:pPr>
        <w:spacing w:after="0" w:line="5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made with the prior written consent of the representatives.</w:t>
      </w:r>
    </w:p>
    <w:p>
      <w:pPr>
        <w:spacing w:after="0" w:line="176" w:lineRule="exact"/>
        <w:rPr>
          <w:sz w:val="20"/>
          <w:szCs w:val="20"/>
          <w:color w:val="auto"/>
        </w:rPr>
      </w:pPr>
    </w:p>
    <w:p>
      <w:pPr>
        <w:jc w:val="both"/>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In addition, certain of our directors and officers may transfer or sell up to an aggregate of 100,000 ordinary shares. The representatives, in their sole discretion, may release the ordinary shares and other securities subject to the lock-up agreements described above in whole or in part at any time.</w:t>
      </w:r>
    </w:p>
    <w:p>
      <w:pPr>
        <w:spacing w:after="0" w:line="125"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and the underwriters have agreed to indemnify each other against certain liabilities, including liabilities under the Securities Act.</w:t>
      </w:r>
    </w:p>
    <w:p>
      <w:pPr>
        <w:spacing w:after="0" w:line="17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A prospectus supplement in electronic format may be made available on websites maintained by one or more underwriters, or selling group members, if any, participating in this offering. The representatives may agree to allocate to the underwriters a number of ordinary shares for sale to their online brokerage account holders. Internet distributions will be allocated on the same basis as other allocations.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we are party to a sales agreement with Leerink Partners LLC pursuant to which we may offer and sell ordinary shares having an aggregate offering price of up to $175.0 million from time to time in “at-the-market” offerings.</w:t>
      </w:r>
    </w:p>
    <w:p>
      <w:pPr>
        <w:spacing w:after="0" w:line="144"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In addition, in the ordinary course of their various business activities, the underwriters and their respective affiliates may make or hold a broad array of investments and actively trade debt and equity securities (or related</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94"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ordinary shares must be made in accordance with an exemption from, or in a transaction not subject to, the prospectus requirements of applicable securities laws.</w:t>
      </w:r>
    </w:p>
    <w:p>
      <w:pPr>
        <w:spacing w:after="0" w:line="141"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1"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4"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ordinary shares in any Member State of the European Economic Area (the “EEA”) (each, a “Relevant State”) will be made pursuant to an exemption under the Prospectus Regulation from the requirement to publish a prospectus for offers of ordinary shares. Accordingly, any person making or intending to make an offer in any Relevant State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 Article 3 of the Prospectus Regulation in relation to such offer. Neither we nor the underwriters have authorized, nor do we or they authorize, the making of any offer of ordinary shares in the EEA in circumstances in which an obligation arises for us or the underwriters to publish a prospectus for such offer.</w:t>
      </w:r>
    </w:p>
    <w:p>
      <w:pPr>
        <w:spacing w:after="0" w:line="144" w:lineRule="exact"/>
        <w:rPr>
          <w:sz w:val="20"/>
          <w:szCs w:val="20"/>
          <w:color w:val="auto"/>
        </w:rPr>
      </w:pPr>
    </w:p>
    <w:p>
      <w:pPr>
        <w:ind w:left="1360" w:right="539" w:firstLine="343"/>
        <w:spacing w:after="0" w:line="259" w:lineRule="auto"/>
        <w:rPr>
          <w:sz w:val="20"/>
          <w:szCs w:val="20"/>
          <w:color w:val="auto"/>
        </w:rPr>
      </w:pPr>
      <w:r>
        <w:rPr>
          <w:rFonts w:ascii="Times New Roman" w:cs="Times New Roman" w:eastAsia="Times New Roman" w:hAnsi="Times New Roman"/>
          <w:sz w:val="14"/>
          <w:szCs w:val="14"/>
          <w:color w:val="auto"/>
        </w:rPr>
        <w:t>In relation to each Relevant State, no ordinary shares which are the subject of the offering contemplated by this prospectus supplement, the accompanying prospectus or any related free writing prospectus have been offered or will be offered to the public in that Relevant State prior to the publication of a prospectus in relation to such ordinary shares which has been approved by the competent authority in that Relevant State or, where appropriate, approved in each applicable Relevant State and notified to the competent authority in each Relevant State, all in accordance with the Prospectus Regulation, except that such ordinary shares may be offered to the public in that Relevant State at any time:</w:t>
      </w:r>
    </w:p>
    <w:p>
      <w:pPr>
        <w:spacing w:after="0" w:line="68" w:lineRule="exact"/>
        <w:rPr>
          <w:sz w:val="20"/>
          <w:szCs w:val="20"/>
          <w:color w:val="auto"/>
        </w:rPr>
      </w:pPr>
    </w:p>
    <w:p>
      <w:pPr>
        <w:ind w:left="5520" w:right="2659" w:hanging="4169"/>
        <w:spacing w:after="0" w:line="456" w:lineRule="auto"/>
        <w:tabs>
          <w:tab w:leader="none" w:pos="16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 S-28</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619" w:hanging="329"/>
        <w:spacing w:after="0" w:line="283" w:lineRule="auto"/>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relevant underwriters nominated by us for any such offer; or</w:t>
      </w:r>
    </w:p>
    <w:p>
      <w:pPr>
        <w:spacing w:after="0" w:line="5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6"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provided that no such offer of ordinary shares shall require us or any underwriter to publish a prospectus pursuant to Article 3 of the Prospectus Regulation.</w:t>
      </w:r>
    </w:p>
    <w:p>
      <w:pPr>
        <w:spacing w:after="0" w:line="12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Each person who initially acquires any ordinary shares or to whom any offer is made will be deemed to have represented, acknowledged and agreed to and with each of the underwriters and us that it is a “qualified investor” as defined in the Prospectus Regulation.</w:t>
      </w:r>
    </w:p>
    <w:p>
      <w:pPr>
        <w:spacing w:after="0" w:line="125"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3"/>
          <w:szCs w:val="13"/>
          <w:color w:val="auto"/>
        </w:rPr>
        <w:t>In the case of any ordinary shares being offered to a financial intermediary as that term is used in Article 5(1) of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a Relevant State to qualified investors as so defined in the Prospectus Regulation or in circumstances in which the prior consent of the underwriters has been obtained to each such proposed offer or resale.</w:t>
      </w:r>
    </w:p>
    <w:p>
      <w:pPr>
        <w:spacing w:after="0" w:line="129"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“offered to the public” in relation to any ordinary shares in any Relevant State means the communication in any form and by any means of sufficient information on the terms of the offer and the ordinary shares to be offered so as to enable an investor to decide to purchase or subscribe for any ordinary shares.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In the United Kingdom, none of this prospectus supplement, the accompanying prospectus and any related free writing prospectus is a prospectus for the purposes of Regulation (EU) 2017/1129 as it forms part of domestic law in the United Kingdom (the “UK Prospectus Regulation”). This prospectus supplement, the accompanying prospectus and any related free writing prospectus have been prepared on the basis that any offer of ordinary shares in the United Kingdom will be made pursuant to an exemption under the UK Prospectus Regulation from the requirement to publish a prospectus for offers of ordinary shares. Accordingly, any person making or intending to make an offer in the United Kingdom of ordinary shares which are the subject of the offering contemplated in this prospectus supplement, the accompanying prospectus and any related free writing prospectus may only do so in circumstances in which no obligation arises for us or any of the underwriters to publish a prospectus pursuant to Section 85 of the United Kingdom’s Financial Services and Markets Act 2000, as amended (the “FSMA”) in relation to such offer. Neither we nor the underwriters have authorized, nor do we or they authorize, the making of any offer of the ordinary shares in the United Kingdom in circumstances in which an obligation arises for us or the underwriters to publish a prospectus for such offer.</w:t>
      </w:r>
    </w:p>
    <w:p>
      <w:pPr>
        <w:spacing w:after="0" w:line="148"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The communication of this prospectus supplement, the accompanying prospectus, any related free writing prospectus and any other document or materials relating to the issue of the ordinary shares offered hereby is not being made, and this prospectus supplement, the accompanying prospectus, any related free writing prospectus and such other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2000 (Financial Promotion) Order 2005, as amended (the “Financial Promotion Order”)), (ii) fall within Article 49(2)(a) to (d) of the Financial Promotion Order, (iii) are outside the United Kingdom, or (iv) are other persons to whom it may otherwise lawfully be communicated or distributed under the Financial Promotion Order (all such persons together being referred to as “relevant persons”). This prospectus supplement, the accompanying prospectus, any related free writing prospectus and any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ordinary shares offered hereby or any of their contents.</w:t>
      </w:r>
    </w:p>
    <w:p>
      <w:pPr>
        <w:spacing w:after="0" w:line="144"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Any invitation or inducement to engage in investment activity (within the meaning of Section 21 of the FSMA) in connection with the issue or sale of the ordinary shares may only be communicated or caused to be communicated in circumstances in which Section 21(1) of the FSMA does not apply to us.</w:t>
      </w:r>
    </w:p>
    <w:p>
      <w:pPr>
        <w:spacing w:after="0" w:line="13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to anything done by any person in relation to the ordinary shares in, from or otherwise involving the United Kingdom.</w:t>
      </w:r>
    </w:p>
    <w:p>
      <w:pPr>
        <w:spacing w:after="0" w:line="125"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No ordinary shares which are the subject of the offering contemplated by this prospectus supplement or any related free writing prospectus have been offered or will be offered to the public in the United Kingdom prior to the publication of a prospectus in relation to such ordinary shares which has been approved by the United Kingdom’s Financial Conduct Authority, except that such ordinary shares may be offered to the public in the United Kingdom at any time:</w:t>
      </w:r>
    </w:p>
    <w:p>
      <w:pPr>
        <w:spacing w:after="0" w:line="68" w:lineRule="exact"/>
        <w:rPr>
          <w:sz w:val="20"/>
          <w:szCs w:val="20"/>
          <w:color w:val="auto"/>
        </w:rPr>
      </w:pPr>
    </w:p>
    <w:p>
      <w:pPr>
        <w:ind w:left="1680" w:hanging="329"/>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102" w:lineRule="exact"/>
        <w:rPr>
          <w:rFonts w:ascii="Times New Roman" w:cs="Times New Roman" w:eastAsia="Times New Roman" w:hAnsi="Times New Roman"/>
          <w:sz w:val="14"/>
          <w:szCs w:val="14"/>
          <w:color w:val="auto"/>
        </w:rPr>
      </w:pPr>
    </w:p>
    <w:p>
      <w:pPr>
        <w:ind w:left="1680" w:right="219" w:hanging="329"/>
        <w:spacing w:after="0" w:line="283" w:lineRule="auto"/>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in the United Kingdom, subject to obtaining the prior consent of the relevant underwriters nominated by us for any such offer; or</w:t>
      </w:r>
    </w:p>
    <w:p>
      <w:pPr>
        <w:spacing w:after="0" w:line="5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FSMA,</w:t>
      </w:r>
    </w:p>
    <w:p>
      <w:pPr>
        <w:spacing w:after="0" w:line="175"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no such offer of the ordinary shares shall require us or any underwriter to publish a prospectus pursuant to Section 85 of the FSMA.</w:t>
      </w:r>
    </w:p>
    <w:p>
      <w:pPr>
        <w:spacing w:after="0" w:line="176"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Each person who initially acquires any ordinary shares or to whom any offer is made will be deemed to have represented, acknowledged and agreed to and with each of the underwriters and us that it is a “qualified investor” as defined in the UK Prospectus Regulation.</w:t>
      </w:r>
    </w:p>
    <w:p>
      <w:pPr>
        <w:spacing w:after="0" w:line="125"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the United Kingdom to qualified investors as so defined in the UK Prospectus Regulation or in circumstances in which the prior consent of the underwriters has been obtained to each such proposed offer or resale.</w:t>
      </w:r>
    </w:p>
    <w:p>
      <w:pPr>
        <w:spacing w:after="0" w:line="144"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“offered to the public” in relation to any ordinary shares means the communication in any form and by any means of sufficient information on the terms of the offer and the ordinary shares to be offered so as to enable an investor to decide to purchase or subscribe for any ordinary shares.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94" w:lineRule="exact"/>
        <w:rPr>
          <w:sz w:val="20"/>
          <w:szCs w:val="20"/>
          <w:color w:val="auto"/>
        </w:rPr>
      </w:pPr>
    </w:p>
    <w:p>
      <w:pPr>
        <w:jc w:val="both"/>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Our ordinary shares have not been and will not be offered or sold in Hong Kong by means of any document other than (i) in circumstances which do not constitute an offer to the public within the meaning of the Companies (Winding Up and Miscellaneous Provisions) Ordinance (Cap.32, Laws of Hong Kong) (the “C(WUMP)O”), (ii) to “professional investors” as defined in the Securities and Futures Ordinance (Cap.571, Laws of Hong Kong)</w:t>
      </w:r>
    </w:p>
    <w:p>
      <w:pPr>
        <w:ind w:left="1360" w:right="339"/>
        <w:spacing w:after="0" w:line="253" w:lineRule="auto"/>
        <w:rPr>
          <w:sz w:val="20"/>
          <w:szCs w:val="20"/>
          <w:color w:val="auto"/>
        </w:rPr>
      </w:pPr>
      <w:r>
        <w:rPr>
          <w:rFonts w:ascii="Times New Roman" w:cs="Times New Roman" w:eastAsia="Times New Roman" w:hAnsi="Times New Roman"/>
          <w:sz w:val="14"/>
          <w:szCs w:val="14"/>
          <w:color w:val="auto"/>
        </w:rPr>
        <w:t>(the “SFO”) and any rules made thereunder or (iii) in other circumstances which do not result in the document being a “prospectus” as defined in the C(WUMP)O. No advertisement, invitation or document relating to our ordinary shares have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our ordinary shares which are or are intended to be disposed of only to persons outside Hong Kong or only to “professional investors” as defined in the SFO and any rules made thereunder.</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94"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ordinary shares.</w:t>
      </w:r>
    </w:p>
    <w:p>
      <w:pPr>
        <w:spacing w:after="0" w:line="125"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For Qualified Institutional Investors (“QII”)</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For Non-QII Investors</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9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has not been and will not be registered as a prospectus under the Securities and Futures Act 2001 (the “SFA”) by the Monetary Authority of Singapore, and the offer of our ordinary shares in Singapore is made primarily pursuant to the exemptions under Section 274 and 275 of the SFA. Accordingly, this prospectus supplement, the accompanying prospectus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any person in Singapore other than (i) to</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3"/>
          <w:szCs w:val="13"/>
          <w:color w:val="auto"/>
        </w:rPr>
        <w:t>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29"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It is a condition of the offer that where our ordinary shares are subscribed for or acquired pursuant to an offer made in reliance on Section 275 of the SFA by a Relevant Person which is:</w:t>
      </w:r>
    </w:p>
    <w:p>
      <w:pPr>
        <w:spacing w:after="0" w:line="52" w:lineRule="exact"/>
        <w:rPr>
          <w:sz w:val="20"/>
          <w:szCs w:val="20"/>
          <w:color w:val="auto"/>
        </w:rPr>
      </w:pPr>
    </w:p>
    <w:p>
      <w:pPr>
        <w:ind w:left="1680" w:right="599" w:hanging="329"/>
        <w:spacing w:after="0" w:line="283" w:lineRule="auto"/>
        <w:tabs>
          <w:tab w:leader="none" w:pos="1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the sole business of which is to hold investments and the entire share capital of which is owned by one or more individuals, each of whom is an Accredited Investor; or</w:t>
      </w:r>
    </w:p>
    <w:p>
      <w:pPr>
        <w:spacing w:after="0" w:line="51" w:lineRule="exact"/>
        <w:rPr>
          <w:rFonts w:ascii="Times New Roman" w:cs="Times New Roman" w:eastAsia="Times New Roman" w:hAnsi="Times New Roman"/>
          <w:sz w:val="14"/>
          <w:szCs w:val="14"/>
          <w:color w:val="auto"/>
        </w:rPr>
      </w:pPr>
    </w:p>
    <w:p>
      <w:pPr>
        <w:ind w:left="1680" w:right="419" w:hanging="329"/>
        <w:spacing w:after="0" w:line="261" w:lineRule="auto"/>
        <w:tabs>
          <w:tab w:leader="none" w:pos="1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the sole purpose of which is to hold investments and each beneficiary of the trust is an individual who is an Accredited Investor, 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our ordinary shares except:</w:t>
      </w:r>
    </w:p>
    <w:p>
      <w:pPr>
        <w:spacing w:after="0" w:line="68" w:lineRule="exact"/>
        <w:rPr>
          <w:sz w:val="20"/>
          <w:szCs w:val="20"/>
          <w:color w:val="auto"/>
        </w:rPr>
      </w:pPr>
    </w:p>
    <w:p>
      <w:pPr>
        <w:ind w:left="1680" w:right="299" w:hanging="329"/>
        <w:spacing w:after="0" w:line="283" w:lineRule="auto"/>
        <w:tabs>
          <w:tab w:leader="none" w:pos="1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51"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0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02"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02" w:lineRule="exact"/>
        <w:rPr>
          <w:rFonts w:ascii="Times New Roman" w:cs="Times New Roman" w:eastAsia="Times New Roman" w:hAnsi="Times New Roman"/>
          <w:sz w:val="14"/>
          <w:szCs w:val="14"/>
          <w:color w:val="auto"/>
        </w:rPr>
      </w:pPr>
    </w:p>
    <w:p>
      <w:pPr>
        <w:ind w:left="1680" w:right="619" w:hanging="329"/>
        <w:spacing w:after="0" w:line="283" w:lineRule="auto"/>
        <w:tabs>
          <w:tab w:leader="none" w:pos="1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The ordinary shares may not be publicly offered, directly or indirectly, in Switzerland within the meaning of the Swiss Financial Services Act (“FinSA”) and no application has or will be made to admit the ordinary shares to trading on any trading venue (exchange or multilateral trading facility) in Switzerland. Neither this prospectus supplement, the accompanying prospectus nor any other offering or marketing material relating to the ordinary shares constitute a prospectus pursuant to the FinSA, and neither this prospectus supplement, the accompanying prospectus nor any other offering or marketing material relating to the ordinary shares may be publicly distributed or otherwise made publicly available in Switzerland.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validity of the ordinary shares and certain other matters of Dutch law will be passed upon for us by NautaDutilh N.V. Certain other matters of U.S. federal and New York State law will be passed upon for us by Kirkland &amp; Ellis LLP, New York, New York. Sidley Austin LLP, San Francisco, California, and Loyens &amp; Loeff N.V., Amsterdam, The Netherlands are counsel to the underwriters in connection with this offering.</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2025 have been so incorporated in reliance on the report of PricewaterhouseCoopers Accountants N.V., an independent registered public accounting firm, given on the authority of said firm as experts in auditing and accounting.</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We have filed with the SEC a registration statement (including amendments and exhibits to the registration statement) on Form F-3 under the Securities Act. Our SEC filings are available to the public over the Internet at the SEC’s website at http://www.sec.gov. Copies of certain information filed by us with the SEC are also available on our website at http://www.pharvaris.com. Our website is not a part of this prospectus supplement and is not incorporated by reference in this prospectus supplement.</w:t>
      </w:r>
    </w:p>
    <w:p>
      <w:pPr>
        <w:spacing w:after="0" w:line="141"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8" w:lineRule="exact"/>
        <w:rPr>
          <w:sz w:val="20"/>
          <w:szCs w:val="20"/>
          <w:color w:val="auto"/>
        </w:rPr>
      </w:pPr>
    </w:p>
    <w:p>
      <w:pPr>
        <w:jc w:val="both"/>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incorporate by reference the following documents or information that we have filed with the SEC:</w:t>
      </w:r>
    </w:p>
    <w:p>
      <w:pPr>
        <w:spacing w:after="0" w:line="102" w:lineRule="exact"/>
        <w:rPr>
          <w:sz w:val="20"/>
          <w:szCs w:val="20"/>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6">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April 2, 2026.</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57">
        <w:r>
          <w:rPr>
            <w:rFonts w:ascii="Times New Roman" w:cs="Times New Roman" w:eastAsia="Times New Roman" w:hAnsi="Times New Roman"/>
            <w:sz w:val="14"/>
            <w:szCs w:val="14"/>
            <w:u w:val="single" w:color="auto"/>
            <w:color w:val="0000EE"/>
          </w:rPr>
          <w:t>Form 6-K</w:t>
        </w:r>
      </w:hyperlink>
      <w:r>
        <w:rPr>
          <w:rFonts w:ascii="Times New Roman" w:cs="Times New Roman" w:eastAsia="Times New Roman" w:hAnsi="Times New Roman"/>
          <w:sz w:val="14"/>
          <w:szCs w:val="14"/>
          <w:color w:val="auto"/>
        </w:rPr>
        <w:t>, filed on January 12, 2026 (other than Exhibit 99.2).</w:t>
      </w:r>
    </w:p>
    <w:p>
      <w:pPr>
        <w:spacing w:after="0" w:line="102" w:lineRule="exact"/>
        <w:rPr>
          <w:rFonts w:ascii="Times New Roman" w:cs="Times New Roman" w:eastAsia="Times New Roman" w:hAnsi="Times New Roman"/>
          <w:sz w:val="14"/>
          <w:szCs w:val="14"/>
          <w:color w:val="auto"/>
        </w:rPr>
      </w:pPr>
    </w:p>
    <w:p>
      <w:pPr>
        <w:ind w:left="2100" w:right="519" w:hanging="328"/>
        <w:spacing w:after="0" w:line="267" w:lineRule="auto"/>
        <w:tabs>
          <w:tab w:leader="none" w:pos="21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contained in our registration statement on </w:t>
      </w:r>
      <w:hyperlink r:id="rId58">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February 4, 2021 as updated by the description of our ordinary shares filed as </w:t>
      </w:r>
      <w:hyperlink r:id="rId59">
        <w:r>
          <w:rPr>
            <w:rFonts w:ascii="Times New Roman" w:cs="Times New Roman" w:eastAsia="Times New Roman" w:hAnsi="Times New Roman"/>
            <w:sz w:val="14"/>
            <w:szCs w:val="14"/>
            <w:u w:val="single" w:color="auto"/>
            <w:color w:val="0000EE"/>
          </w:rPr>
          <w:t>Exhibit 2.1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20-F for the fiscal year ended December 31, 2025.</w:t>
      </w:r>
    </w:p>
    <w:p>
      <w:pPr>
        <w:spacing w:after="0" w:line="136" w:lineRule="exact"/>
        <w:rPr>
          <w:rFonts w:ascii="Times New Roman" w:cs="Times New Roman" w:eastAsia="Times New Roman" w:hAnsi="Times New Roman"/>
          <w:sz w:val="14"/>
          <w:szCs w:val="14"/>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All Annual Reports we file with the SEC pursuant to the Exchange Act on Form 20-F on or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Current Report on Form 6-K subsequently submitted to the SEC by identifying in such Current Report on Form 6-K that it is being incorporated by reference into this prospectus supplement.</w:t>
      </w:r>
    </w:p>
    <w:p>
      <w:pPr>
        <w:spacing w:after="0" w:line="141" w:lineRule="exact"/>
        <w:rPr>
          <w:rFonts w:ascii="Times New Roman" w:cs="Times New Roman" w:eastAsia="Times New Roman" w:hAnsi="Times New Roman"/>
          <w:sz w:val="14"/>
          <w:szCs w:val="14"/>
          <w:color w:val="auto"/>
        </w:rPr>
      </w:pPr>
    </w:p>
    <w:p>
      <w:pPr>
        <w:ind w:left="1360" w:right="359" w:firstLine="343"/>
        <w:spacing w:after="0" w:line="278" w:lineRule="auto"/>
        <w:rPr>
          <w:sz w:val="20"/>
          <w:szCs w:val="20"/>
          <w:color w:val="auto"/>
        </w:rPr>
      </w:pPr>
      <w:r>
        <w:rPr>
          <w:rFonts w:ascii="Times New Roman" w:cs="Times New Roman" w:eastAsia="Times New Roman" w:hAnsi="Times New Roman"/>
          <w:sz w:val="13"/>
          <w:szCs w:val="13"/>
          <w:color w:val="auto"/>
        </w:rPr>
        <w:t>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w:t>
      </w:r>
    </w:p>
    <w:p>
      <w:pPr>
        <w:ind w:left="1360"/>
        <w:spacing w:after="0"/>
        <w:rPr>
          <w:sz w:val="20"/>
          <w:szCs w:val="20"/>
          <w:color w:val="auto"/>
        </w:rPr>
      </w:pPr>
      <w:r>
        <w:rPr>
          <w:rFonts w:ascii="Times New Roman" w:cs="Times New Roman" w:eastAsia="Times New Roman" w:hAnsi="Times New Roman"/>
          <w:sz w:val="14"/>
          <w:szCs w:val="14"/>
          <w:color w:val="auto"/>
        </w:rPr>
        <w:t>(0)71 203 6410.</w:t>
      </w:r>
    </w:p>
    <w:p>
      <w:pPr>
        <w:spacing w:after="0" w:line="108"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5"/>
          <w:szCs w:val="25"/>
          <w:b w:val="1"/>
          <w:bCs w:val="1"/>
          <w:color w:val="auto"/>
        </w:rPr>
        <w:t>Ordinary shares, Debt Securities,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142240</wp:posOffset>
            </wp:positionV>
            <wp:extent cx="1697355" cy="280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697355"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Pharvaris N.V.</w:t>
      </w:r>
    </w:p>
    <w:p>
      <w:pPr>
        <w:spacing w:after="0" w:line="18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(incorporated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188595</wp:posOffset>
            </wp:positionV>
            <wp:extent cx="11493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We may offer, from time to time, in one or more offerings, ordinary shares, senior debt securities, subordinated debt securities, warrants, purchase contracts or units,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as well as the documents incorporated by reference herein or therein, carefully before you make your investment decision.</w:t>
      </w:r>
    </w:p>
    <w:p>
      <w:pPr>
        <w:spacing w:after="0" w:line="145"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37 of this prospectus.</w:t>
      </w:r>
    </w:p>
    <w:p>
      <w:pPr>
        <w:spacing w:after="0" w:line="134" w:lineRule="exact"/>
        <w:rPr>
          <w:sz w:val="20"/>
          <w:szCs w:val="20"/>
          <w:color w:val="auto"/>
        </w:rPr>
      </w:pPr>
    </w:p>
    <w:p>
      <w:pPr>
        <w:ind w:left="1360" w:right="6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YOU SHOULD READ THIS PROSPECTUS AND ANY SUPPLEMENT TO THIS PROSPECTUS CAREFULLY BEFORE YOU INVEST.</w:t>
      </w:r>
    </w:p>
    <w:p>
      <w:pPr>
        <w:spacing w:after="0" w:line="123"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Our ordinary shares are listed on The Nasdaq Global Select Market under the symbol “PHVS.” On April 11, 2024, the last sale price of our ordinary shares as reported by The Nasdaq Global Select Market was $22.31 per ordinary share.</w:t>
      </w:r>
    </w:p>
    <w:p>
      <w:pPr>
        <w:spacing w:after="0" w:line="12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We are an “emerging growth company” and a “foreign private issuer” as defined under the U.S. Securities and Exchange Commission and, as such, we have elected to comply with certain reduced public company reporting requirements for this prospectus supplement and future filings. Please see “Pharvaris N.V.—Implications of Being an “Emerging Growth Company” and a Foreign Private Issuer.”</w:t>
      </w:r>
    </w:p>
    <w:p>
      <w:pPr>
        <w:spacing w:after="0" w:line="134"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154305</wp:posOffset>
            </wp:positionV>
            <wp:extent cx="114935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85" w:lineRule="exact"/>
        <w:rPr>
          <w:sz w:val="20"/>
          <w:szCs w:val="20"/>
          <w:color w:val="auto"/>
        </w:rPr>
      </w:pPr>
    </w:p>
    <w:p>
      <w:pPr>
        <w:ind w:left="1360" w:right="399"/>
        <w:spacing w:after="0" w:line="327" w:lineRule="auto"/>
        <w:rPr>
          <w:sz w:val="20"/>
          <w:szCs w:val="20"/>
          <w:color w:val="auto"/>
        </w:rPr>
      </w:pPr>
      <w:r>
        <w:rPr>
          <w:rFonts w:ascii="Times New Roman" w:cs="Times New Roman" w:eastAsia="Times New Roman" w:hAnsi="Times New Roman"/>
          <w:sz w:val="13"/>
          <w:szCs w:val="13"/>
          <w:b w:val="1"/>
          <w:bCs w:val="1"/>
          <w:color w:val="auto"/>
        </w:rPr>
        <w:t>Investing in our securities involves risks. 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7 of this prospectus. In addition, please review any additional risk factors in the accompanying prospectus supplement, any free writing prospectus and any documents we 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146050</wp:posOffset>
            </wp:positionV>
            <wp:extent cx="114935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3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12, 2024.</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other than that contained in or incorporated by reference in this prospectus and any related prospectus supplement we provide to you. We have not authorized anyone to provide you with different or additional information.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“Pharvaris” “the Company,” “our company,” “we,” “us” or “our” refer to Pharvaris N.V. and its subsidiaries.</w:t>
      </w:r>
    </w:p>
    <w:p>
      <w:pPr>
        <w:spacing w:after="0" w:line="308"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80" w:type="dxa"/>
            <w:vAlign w:val="bottom"/>
          </w:tcPr>
          <w:p>
            <w:pPr>
              <w:spacing w:after="0"/>
              <w:rPr>
                <w:sz w:val="16"/>
                <w:szCs w:val="16"/>
                <w:color w:val="auto"/>
              </w:rPr>
            </w:pPr>
          </w:p>
        </w:tc>
      </w:tr>
      <w:tr>
        <w:trPr>
          <w:trHeight w:val="326"/>
        </w:trPr>
        <w:tc>
          <w:tcPr>
            <w:tcW w:w="736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8"/>
        </w:trPr>
        <w:tc>
          <w:tcPr>
            <w:tcW w:w="4140" w:type="dxa"/>
            <w:vAlign w:val="bottom"/>
            <w:tcBorders>
              <w:top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PHARVARIS N.V.</w:t>
            </w:r>
          </w:p>
        </w:tc>
        <w:tc>
          <w:tcPr>
            <w:tcW w:w="3220" w:type="dxa"/>
            <w:vAlign w:val="bottom"/>
            <w:gridSpan w:val="3"/>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48"/>
        </w:trPr>
        <w:tc>
          <w:tcPr>
            <w:tcW w:w="104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6320" w:type="dxa"/>
            <w:vAlign w:val="bottom"/>
            <w:gridSpan w:val="16"/>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8"/>
        </w:trPr>
        <w:tc>
          <w:tcPr>
            <w:tcW w:w="4440" w:type="dxa"/>
            <w:vAlign w:val="bottom"/>
            <w:tcBorders>
              <w:bottom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w w:val="98"/>
              </w:rPr>
              <w:t>DESCRIPTION OF SHARE CAPITAL AND ARTICLES OF ASSOCIATION</w:t>
            </w:r>
          </w:p>
        </w:tc>
        <w:tc>
          <w:tcPr>
            <w:tcW w:w="2920" w:type="dxa"/>
            <w:vAlign w:val="bottom"/>
            <w:gridSpan w:val="2"/>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COMPARISON OF DUTCH LAW AND OUR ARTICLES OF ASSOCIATION AND U.S. CORPORATE LAW</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r>
      <w:tr>
        <w:trPr>
          <w:trHeight w:val="148"/>
        </w:trPr>
        <w:tc>
          <w:tcPr>
            <w:tcW w:w="6320" w:type="dxa"/>
            <w:vAlign w:val="bottom"/>
            <w:tcBorders>
              <w:top w:val="single" w:sz="8" w:color="0000EE"/>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0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r>
      <w:tr>
        <w:trPr>
          <w:trHeight w:val="148"/>
        </w:trPr>
        <w:tc>
          <w:tcPr>
            <w:tcW w:w="2340" w:type="dxa"/>
            <w:vAlign w:val="bottom"/>
            <w:tcBorders>
              <w:top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rPr>
              <w:t>DESCRIPTION OF WARRANTS</w:t>
            </w:r>
          </w:p>
        </w:tc>
        <w:tc>
          <w:tcPr>
            <w:tcW w:w="5020" w:type="dxa"/>
            <w:vAlign w:val="bottom"/>
            <w:gridSpan w:val="7"/>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8"/>
        </w:trPr>
        <w:tc>
          <w:tcPr>
            <w:tcW w:w="2760" w:type="dxa"/>
            <w:vAlign w:val="bottom"/>
            <w:tcBorders>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PURCHASE CONTRACTS</w:t>
            </w:r>
          </w:p>
        </w:tc>
        <w:tc>
          <w:tcPr>
            <w:tcW w:w="4600" w:type="dxa"/>
            <w:vAlign w:val="bottom"/>
            <w:gridSpan w:val="6"/>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UNITS</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48"/>
        </w:trPr>
        <w:tc>
          <w:tcPr>
            <w:tcW w:w="1520" w:type="dxa"/>
            <w:vAlign w:val="bottom"/>
            <w:tcBorders>
              <w:top w:val="single" w:sz="8" w:color="0000EE"/>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8"/>
              </w:rPr>
              <w:t>FORMS OF SECURITIES</w:t>
            </w:r>
          </w:p>
        </w:tc>
        <w:tc>
          <w:tcPr>
            <w:tcW w:w="40" w:type="dxa"/>
            <w:vAlign w:val="bottom"/>
            <w:tcBorders>
              <w:top w:val="single" w:sz="8" w:color="0000EE"/>
            </w:tcBorders>
          </w:tcPr>
          <w:p>
            <w:pPr>
              <w:spacing w:after="0"/>
              <w:rPr>
                <w:sz w:val="12"/>
                <w:szCs w:val="12"/>
                <w:color w:val="auto"/>
              </w:rPr>
            </w:pPr>
          </w:p>
        </w:tc>
        <w:tc>
          <w:tcPr>
            <w:tcW w:w="5800" w:type="dxa"/>
            <w:vAlign w:val="bottom"/>
            <w:gridSpan w:val="12"/>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PLAN OF DISTRIBUTION</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r>
      <w:tr>
        <w:trPr>
          <w:trHeight w:val="148"/>
        </w:trPr>
        <w:tc>
          <w:tcPr>
            <w:tcW w:w="2120" w:type="dxa"/>
            <w:vAlign w:val="bottom"/>
            <w:tcBorders>
              <w:top w:val="single" w:sz="8" w:color="0000EE"/>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9"/>
              </w:rPr>
              <w:t>ENFORCEMENT OF JUDGMENTS</w:t>
            </w:r>
          </w:p>
        </w:tc>
        <w:tc>
          <w:tcPr>
            <w:tcW w:w="1900" w:type="dxa"/>
            <w:vAlign w:val="bottom"/>
            <w:tcBorders>
              <w:top w:val="single" w:sz="8" w:color="0000EE"/>
            </w:tcBorders>
            <w:gridSpan w:val="4"/>
          </w:tcPr>
          <w:p>
            <w:pPr>
              <w:spacing w:after="0"/>
              <w:rPr>
                <w:sz w:val="12"/>
                <w:szCs w:val="12"/>
                <w:color w:val="auto"/>
              </w:rPr>
            </w:pPr>
          </w:p>
        </w:tc>
        <w:tc>
          <w:tcPr>
            <w:tcW w:w="3340" w:type="dxa"/>
            <w:vAlign w:val="bottom"/>
            <w:gridSpan w:val="4"/>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EXPENSES</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40" w:type="dxa"/>
            <w:vAlign w:val="bottom"/>
            <w:gridSpan w:val="1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8"/>
        </w:trPr>
        <w:tc>
          <w:tcPr>
            <w:tcW w:w="736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48"/>
        </w:trPr>
        <w:tc>
          <w:tcPr>
            <w:tcW w:w="60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6240" w:type="dxa"/>
            <w:vAlign w:val="bottom"/>
            <w:gridSpan w:val="15"/>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r>
    </w:tbl>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8"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Under the automatic shelf process, we may offer and sell, from time to time, any combination of the securities described in this prospectus in one or more offerings.</w:t>
      </w:r>
    </w:p>
    <w:p>
      <w:pPr>
        <w:spacing w:after="0" w:line="13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sell securities pursuant to this prospectus, we will provide a prospectus supplement and/or free writing prospectus that will contain specific information about the terms of that offering, including amounts, prices and terms of the securities being offered. The prospectus supplement and/or free writing prospectus may also add, update or change information contained in this prospectus. Any statement made in this prospectus will be modified or superseded by any inconsistent statement made in a prospectus supplement and/or free writing prospectus. If there is any inconsistency between the information in this prospectus and the information in the prospectus supplement or free writing prospectus, you should rely on the information in the prospectus supplement or free writing prospectus, as the case may be. This prospectus may not be used to sell any securities unless accompanied by a prospectus supplement or free writing prospectus.</w:t>
      </w:r>
    </w:p>
    <w:p>
      <w:pPr>
        <w:spacing w:after="0" w:line="145"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We have filed or incorporated by reference exhibits to the registration statement of which this prospectus forms a part. You should read the exhibits carefully for provisions that may be important to you.</w:t>
      </w:r>
    </w:p>
    <w:p>
      <w:pPr>
        <w:spacing w:after="0" w:line="125"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You should read this prospectus, any prospectus supplement and free writing prospectus together with the additional information described herein under the heading “Where You Can Find More Information and “Incorporation of Certain Information by Reference.” We have not authorized any person to provide you with different information and we take no responsibility for, and can provide no assurance as to the reliability of, any other information that others may give you. We are not making an offer to sell these securities in any jurisdiction where the offer or sale is not permitted.</w:t>
      </w:r>
    </w:p>
    <w:p>
      <w:pPr>
        <w:spacing w:after="0" w:line="141"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You should not assume that the information in this prospectus, any accompanying prospectus supplement or free writing prospectus or any documents we incorporate by reference in this prospectus, any prospectus supplement and free writing prospectus is accurate as of any date other than the date on the front of those documents. Our business, financial condition, results of operations and prospects may have changed since that date.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You should not assume that the information contained in this prospectus is accurate as of any other date.</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We file annual reports on Form 20-F, reports on Form 6-K, and other information with the SEC under the Securities Exchange Act of 1934, as amended, or the Exchange Act.</w:t>
      </w:r>
    </w:p>
    <w:p>
      <w:pPr>
        <w:spacing w:after="0" w:line="125"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As a foreign private issuer, we are exempt under the Exchange Act from, among other things, the rules prescribing the furnishing and content of proxy statements, and our managing directors and supervisory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8"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This prospectus and the financial statements and other documents incorporated by reference in this prospectus contain forward-looking statements, including statements concerning our industry, our operations, our anticipated financial performance and financial condition, and our business plans and growth strategy and product development efforts. These statements constitute forward-looking statements within the meaning of Section 27A of the Securities Act and Section 21E of the Exchange Act. Many of the forward-looking statements contained in this prospectus can be identified by the use of forward-looking words such as “anticipate,” “believe,” “could,” “expect,” “should,” “plan,” “intend,” “estimate” and “potential,” among others. Readers are cautioned not to place undue reliance on these forward-looking statements, which speak only as of their dates. These forward-looking statements are based on estimates and assumptions by our management that, although we believe to be reasonable, are inherently uncertain and subject to a number of risks and uncertainties.</w:t>
      </w:r>
    </w:p>
    <w:p>
      <w:pPr>
        <w:spacing w:after="0" w:line="147"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The following represent some, but not necessarily all, of the factors that could cause actual results to differ from historical results or those anticipated or predicted by our forward-looking statements:</w:t>
      </w:r>
    </w:p>
    <w:p>
      <w:pPr>
        <w:spacing w:after="0" w:line="52" w:lineRule="exact"/>
        <w:rPr>
          <w:sz w:val="20"/>
          <w:szCs w:val="20"/>
          <w:color w:val="auto"/>
        </w:rPr>
      </w:pPr>
    </w:p>
    <w:p>
      <w:pPr>
        <w:jc w:val="both"/>
        <w:ind w:left="2100" w:right="299" w:hanging="328"/>
        <w:spacing w:after="0" w:line="267"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62"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progress, or success of our clinical development programs, especially for PHVS416 (immediate-release deucrictibant capsules) and PHVS719 (extended-release deucrictibant tablets), which are in late-stage global clinical trials;</w:t>
      </w:r>
    </w:p>
    <w:p>
      <w:pPr>
        <w:spacing w:after="0" w:line="51" w:lineRule="exact"/>
        <w:rPr>
          <w:rFonts w:ascii="Times New Roman" w:cs="Times New Roman" w:eastAsia="Times New Roman" w:hAnsi="Times New Roman"/>
          <w:sz w:val="14"/>
          <w:szCs w:val="14"/>
          <w:color w:val="auto"/>
        </w:rPr>
      </w:pPr>
    </w:p>
    <w:p>
      <w:pPr>
        <w:ind w:left="2100" w:right="65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replicate the efficacy and safety demonstrated in the RAPIDe-1 and CHAPTER-1 Phase 2 study in ongoing and future nonclinical studies and clinical trials;</w:t>
      </w:r>
    </w:p>
    <w:p>
      <w:pPr>
        <w:spacing w:after="0" w:line="51"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costs and other limitations involved in obtaining regulatory approval for our product candidates PHVS416 and PHVS719 or any other product candidate that we may develop in the future;</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commercialize and achieve market acceptance for our product candidates PHVS416 and PHVS719 or any of our other product candidates that we may develop in the future, if approved;</w:t>
      </w:r>
    </w:p>
    <w:p>
      <w:pPr>
        <w:spacing w:after="0" w:line="51" w:lineRule="exact"/>
        <w:rPr>
          <w:rFonts w:ascii="Times New Roman" w:cs="Times New Roman" w:eastAsia="Times New Roman" w:hAnsi="Times New Roman"/>
          <w:sz w:val="14"/>
          <w:szCs w:val="14"/>
          <w:color w:val="auto"/>
        </w:rPr>
      </w:pPr>
    </w:p>
    <w:p>
      <w:pPr>
        <w:ind w:left="2100" w:right="71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commercial capabilities or enter into agreements with third parties to market, sell and distribute our product candidates;</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 parties to perform critical activities related to the research, nonclinical safety and toxicology studies, development and manufacturing of our product candidates;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FDA and other government agencies;</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time and uncertainty involved in the development and consistent manufacturing and supply of our product candidates, some or all of which may never reach the regulatory approval stage;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when needed and on acceptable terms;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any new licensing agreements or to maintain any licensing agreements with respect to our product candidates;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collaboration partners and licensees, whose actions we cannot control;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private insurers and other payors to provide reimbursement for our products;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the European Union and other jurisdictions;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and timing of price negotiations with governmental authorities;</w:t>
      </w:r>
    </w:p>
    <w:p>
      <w:pPr>
        <w:spacing w:after="0" w:line="102" w:lineRule="exact"/>
        <w:rPr>
          <w:rFonts w:ascii="Times New Roman" w:cs="Times New Roman" w:eastAsia="Times New Roman" w:hAnsi="Times New Roman"/>
          <w:sz w:val="14"/>
          <w:szCs w:val="14"/>
          <w:color w:val="auto"/>
        </w:rPr>
      </w:pPr>
    </w:p>
    <w:p>
      <w:pPr>
        <w:ind w:left="2100" w:right="67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the pharmaceutical industry, including with respect to existing therapies, emerging potentially competitive therapies and with competitive generic products;</w:t>
      </w:r>
    </w:p>
    <w:p>
      <w:pPr>
        <w:spacing w:after="0" w:line="51"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know-how and operate our business without infringing the intellectual property rights or regulatory exclusivity of others;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side effects or adverse events associated with the use of our product candidates;</w:t>
      </w:r>
    </w:p>
    <w:p>
      <w:pPr>
        <w:spacing w:after="0" w:line="102"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defend against costly and damaging liability claims resulting from the testing of our product candidates in the clinic or, if, approved, any commercial sales;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personnel;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market sizes and anticipated uses of our product candidates;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future performance;</w:t>
      </w:r>
    </w:p>
    <w:p>
      <w:pPr>
        <w:spacing w:after="0" w:line="102" w:lineRule="exact"/>
        <w:rPr>
          <w:rFonts w:ascii="Times New Roman" w:cs="Times New Roman" w:eastAsia="Times New Roman" w:hAnsi="Times New Roman"/>
          <w:sz w:val="14"/>
          <w:szCs w:val="14"/>
          <w:color w:val="auto"/>
        </w:rPr>
      </w:pPr>
    </w:p>
    <w:p>
      <w:pPr>
        <w:ind w:left="2100" w:right="81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anticipated operating losses, future revenues, expenses, capital requirements and our needs for additional financing;</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or future laws and regulations in a cost-efficient manner;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negative consequences from changes in applicable laws and regulations, including tax laws;</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remediate the material weaknesses in our internal control over financial reporting and to maintain an effective system of internal control over financial reporting;</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an emerging growth company under the Jumpstart Our Business Startups Act, or the JOBS Act, or a foreign private issuer;</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uncertainty in general market, political and economic conditions, including as a result of inflation and the current conflict between Russia and Ukraine and the Hamas attack against Israel and the ensuing war;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discussed herein under “Risk Factors” or incorporated herein by reference.</w:t>
      </w:r>
    </w:p>
    <w:p>
      <w:pPr>
        <w:spacing w:after="0" w:line="176"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what impact they will have on our results of operations, cash flows or financial condition. It is not possible to predict or identify all such risks. There may be additional risks that we consider immaterial or which are unknown.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PHARVARIS N.V.</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w:t>
      </w:r>
    </w:p>
    <w:p>
      <w:pPr>
        <w:spacing w:after="0" w:line="152"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The offices of Pharvaris N.V. are located at Emmy Noetherweg 2, 2333 BK Leiden, The Netherlands. Our telephone number is +31 (0)71 203 6410. Investors should contact us for any inquiries at the address and telephone number of our principal executive office. Our principal website is </w:t>
      </w:r>
      <w:r>
        <w:rPr>
          <w:rFonts w:ascii="Times New Roman" w:cs="Times New Roman" w:eastAsia="Times New Roman" w:hAnsi="Times New Roman"/>
          <w:sz w:val="14"/>
          <w:szCs w:val="14"/>
          <w:i w:val="1"/>
          <w:iCs w:val="1"/>
          <w:color w:val="auto"/>
        </w:rPr>
        <w:t>www.pharvaris.com</w:t>
      </w:r>
      <w:r>
        <w:rPr>
          <w:rFonts w:ascii="Times New Roman" w:cs="Times New Roman" w:eastAsia="Times New Roman" w:hAnsi="Times New Roman"/>
          <w:sz w:val="14"/>
          <w:szCs w:val="14"/>
          <w:color w:val="auto"/>
        </w:rPr>
        <w:t>. The information contained on our website is not a part of this prospectus.</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Foreign Private Issuer</w:t>
      </w:r>
    </w:p>
    <w:p>
      <w:pPr>
        <w:spacing w:after="0" w:line="94" w:lineRule="exact"/>
        <w:rPr>
          <w:sz w:val="20"/>
          <w:szCs w:val="20"/>
          <w:color w:val="auto"/>
        </w:rPr>
      </w:pPr>
    </w:p>
    <w:p>
      <w:pPr>
        <w:ind w:left="1360" w:right="399" w:firstLine="343"/>
        <w:spacing w:after="0" w:line="297" w:lineRule="auto"/>
        <w:rPr>
          <w:sz w:val="20"/>
          <w:szCs w:val="20"/>
          <w:color w:val="auto"/>
        </w:rPr>
      </w:pPr>
      <w:r>
        <w:rPr>
          <w:rFonts w:ascii="Times New Roman" w:cs="Times New Roman" w:eastAsia="Times New Roman" w:hAnsi="Times New Roman"/>
          <w:sz w:val="13"/>
          <w:szCs w:val="13"/>
          <w:color w:val="auto"/>
        </w:rPr>
        <w:t>We qualify as an “emerging growth company” as defined in the JOBS Act. An emerging growth company may take advantage of relief from certain reporting requirements and other burdens that are otherwise applicable generally to public companies. These provisions include an exception from compliance with the auditor attestation requirements of Section 404 of the Sarbanes Oxley Act of 2002, as amended, or the Sarbanes-Oxley Act.</w:t>
      </w:r>
    </w:p>
    <w:p>
      <w:pPr>
        <w:spacing w:after="0" w:line="118"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We may take advantage of these provisions until such time that we cease to qualify as an emerging growth company. We would cease to qualify as an emerging growth company upon the earliest of: (i) the last day of the fiscal year (A) in which we had more than $1.235 billion in annual revenue,</w:t>
      </w:r>
    </w:p>
    <w:p>
      <w:pPr>
        <w:spacing w:after="0" w:line="1" w:lineRule="exact"/>
        <w:rPr>
          <w:sz w:val="20"/>
          <w:szCs w:val="20"/>
          <w:color w:val="auto"/>
        </w:rPr>
      </w:pPr>
    </w:p>
    <w:p>
      <w:pPr>
        <w:ind w:left="1360" w:right="259" w:hanging="9"/>
        <w:spacing w:after="0" w:line="253" w:lineRule="auto"/>
        <w:tabs>
          <w:tab w:leader="none" w:pos="158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deemed to be a “large accelerated filer” under the rules of the SEC, or (C) following the fifth anniversary of the date of the completion of our initial public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47"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also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 but not limited to:</w:t>
      </w:r>
    </w:p>
    <w:p>
      <w:pPr>
        <w:spacing w:after="0" w:line="62" w:lineRule="exact"/>
        <w:rPr>
          <w:sz w:val="20"/>
          <w:szCs w:val="20"/>
          <w:color w:val="auto"/>
        </w:rPr>
      </w:pPr>
    </w:p>
    <w:p>
      <w:pPr>
        <w:ind w:left="2100" w:hanging="328"/>
        <w:spacing w:after="0"/>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under the Exchange Act requiring domestic filers to issue financial statements prepared under U.S. GAAP;</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sections of the Exchange Act regulating the solicitation of proxies, consents or authorizations in respect of a security registered under the Exchange Act;</w:t>
      </w:r>
    </w:p>
    <w:p>
      <w:pPr>
        <w:spacing w:after="0" w:line="51"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sections of the Exchange Act requiring insiders to file public reports of their stock ownership and trading activities and liability for insiders who profit from trades made in a short period of time; and</w:t>
      </w:r>
    </w:p>
    <w:p>
      <w:pPr>
        <w:spacing w:after="0" w:line="51"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2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41"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Investing in our securities involves risks. Before making a decision to invest in our securities, you should carefully consider the risks described under “Risk Factors”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securities in light of your particular investment objectives and financial circumstances.</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4"/>
          <w:szCs w:val="14"/>
          <w:color w:val="auto"/>
        </w:rPr>
        <w:t>The use of proceeds will be specified in the applicable prospectus supplement or free writing prospectus.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DESCRIPTION OF SHARE CAPITAL AND ARTICLES OF ASSOCIATION</w:t>
      </w:r>
    </w:p>
    <w:p>
      <w:pPr>
        <w:spacing w:after="0" w:line="176" w:lineRule="exact"/>
        <w:rPr>
          <w:sz w:val="20"/>
          <w:szCs w:val="20"/>
          <w:color w:val="auto"/>
        </w:rPr>
      </w:pPr>
    </w:p>
    <w:p>
      <w:pPr>
        <w:ind w:left="1360" w:right="23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This section of the registration statement includes a description of the material terms of Pharvaris’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Pharvaris’ articles of association, of which an English translation is included as an exhibit to this registration statement. We urge you to read the full text of Pharvaris’ articles of association.</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Description of Ordinary Shares of the Registrant</w:t>
      </w:r>
    </w:p>
    <w:p>
      <w:pPr>
        <w:spacing w:after="0" w:line="94"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As of the date of this prospectus, we have only one class of securities registered under Section 12 of the Securities Exchange Act of 1934, as amended; our registered ordinary shares.</w:t>
      </w:r>
    </w:p>
    <w:p>
      <w:pPr>
        <w:spacing w:after="0" w:line="123" w:lineRule="exact"/>
        <w:rPr>
          <w:sz w:val="20"/>
          <w:szCs w:val="20"/>
          <w:color w:val="auto"/>
        </w:rPr>
      </w:pPr>
    </w:p>
    <w:p>
      <w:pPr>
        <w:jc w:val="both"/>
        <w:ind w:left="1360" w:right="319" w:firstLine="343"/>
        <w:spacing w:after="0" w:line="286" w:lineRule="auto"/>
        <w:rPr>
          <w:sz w:val="20"/>
          <w:szCs w:val="20"/>
          <w:color w:val="auto"/>
        </w:rPr>
      </w:pPr>
      <w:r>
        <w:rPr>
          <w:rFonts w:ascii="Times New Roman" w:cs="Times New Roman" w:eastAsia="Times New Roman" w:hAnsi="Times New Roman"/>
          <w:sz w:val="14"/>
          <w:szCs w:val="14"/>
          <w:color w:val="auto"/>
        </w:rPr>
        <w:t>We are registered with the Trade Register of the Chamber of Commerce (</w:t>
      </w:r>
      <w:r>
        <w:rPr>
          <w:rFonts w:ascii="Times New Roman" w:cs="Times New Roman" w:eastAsia="Times New Roman" w:hAnsi="Times New Roman"/>
          <w:sz w:val="14"/>
          <w:szCs w:val="14"/>
          <w:i w:val="1"/>
          <w:iCs w:val="1"/>
          <w:color w:val="auto"/>
        </w:rPr>
        <w:t>Kamer van Koophandel</w:t>
      </w:r>
      <w:r>
        <w:rPr>
          <w:rFonts w:ascii="Times New Roman" w:cs="Times New Roman" w:eastAsia="Times New Roman" w:hAnsi="Times New Roman"/>
          <w:sz w:val="14"/>
          <w:szCs w:val="14"/>
          <w:color w:val="auto"/>
        </w:rPr>
        <w:t>) under number 64239411. Our corporate seat is in Leiden, the Netherlands, and our registered office is also in Leiden, the Netherlands.</w:t>
      </w:r>
    </w:p>
    <w:p>
      <w:pPr>
        <w:spacing w:after="0" w:line="123"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following description of our ordinary shares is a summary and does not purport to be complete. It is subject to and qualified in its entirety by reference to our Articles of Association, which are incorporated herein by reference to Exhibit 3.1 to the Company’s Registration Statement on Form 6-K filed with the SEC March 6, 2024.</w:t>
      </w:r>
    </w:p>
    <w:p>
      <w:pPr>
        <w:spacing w:after="0" w:line="250" w:lineRule="exact"/>
        <w:rPr>
          <w:sz w:val="20"/>
          <w:szCs w:val="20"/>
          <w:color w:val="auto"/>
        </w:rPr>
      </w:pPr>
    </w:p>
    <w:p>
      <w:pPr>
        <w:ind w:left="1680" w:hanging="329"/>
        <w:spacing w:after="0"/>
        <w:tabs>
          <w:tab w:leader="none" w:pos="168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Ordinary Shares</w:t>
      </w:r>
    </w:p>
    <w:p>
      <w:pPr>
        <w:spacing w:after="0" w:line="92" w:lineRule="exact"/>
        <w:rPr>
          <w:sz w:val="20"/>
          <w:szCs w:val="20"/>
          <w:color w:val="auto"/>
        </w:rPr>
      </w:pPr>
    </w:p>
    <w:p>
      <w:pPr>
        <w:ind w:left="1360" w:right="279" w:firstLine="343"/>
        <w:spacing w:after="0" w:line="268" w:lineRule="auto"/>
        <w:rPr>
          <w:sz w:val="20"/>
          <w:szCs w:val="20"/>
          <w:color w:val="auto"/>
        </w:rPr>
      </w:pPr>
      <w:r>
        <w:rPr>
          <w:rFonts w:ascii="Times New Roman" w:cs="Times New Roman" w:eastAsia="Times New Roman" w:hAnsi="Times New Roman"/>
          <w:sz w:val="14"/>
          <w:szCs w:val="14"/>
          <w:color w:val="auto"/>
        </w:rPr>
        <w:t>Our ordinary shares shall be in registered form (</w:t>
      </w:r>
      <w:r>
        <w:rPr>
          <w:rFonts w:ascii="Times New Roman" w:cs="Times New Roman" w:eastAsia="Times New Roman" w:hAnsi="Times New Roman"/>
          <w:sz w:val="14"/>
          <w:szCs w:val="14"/>
          <w:i w:val="1"/>
          <w:iCs w:val="1"/>
          <w:color w:val="auto"/>
        </w:rPr>
        <w:t>op naam</w:t>
      </w:r>
      <w:r>
        <w:rPr>
          <w:rFonts w:ascii="Times New Roman" w:cs="Times New Roman" w:eastAsia="Times New Roman" w:hAnsi="Times New Roman"/>
          <w:sz w:val="14"/>
          <w:szCs w:val="14"/>
          <w:color w:val="auto"/>
        </w:rPr>
        <w:t>). We may issue share certificates (</w:t>
      </w:r>
      <w:r>
        <w:rPr>
          <w:rFonts w:ascii="Times New Roman" w:cs="Times New Roman" w:eastAsia="Times New Roman" w:hAnsi="Times New Roman"/>
          <w:sz w:val="14"/>
          <w:szCs w:val="14"/>
          <w:i w:val="1"/>
          <w:iCs w:val="1"/>
          <w:color w:val="auto"/>
        </w:rPr>
        <w:t>aandeelbewijzen</w:t>
      </w:r>
      <w:r>
        <w:rPr>
          <w:rFonts w:ascii="Times New Roman" w:cs="Times New Roman" w:eastAsia="Times New Roman" w:hAnsi="Times New Roman"/>
          <w:sz w:val="14"/>
          <w:szCs w:val="14"/>
          <w:color w:val="auto"/>
        </w:rPr>
        <w:t>) for registered shares in such form as may be approved by our board of directors, or the Board. Our authorized share capital amounts to €14,100,000, divided into 117,500,000 ordinary shares, each with a nominal value of €0.12.</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Under Dutch law, our authorized share capital is the maximum capital that we may issue without amending our Articles of Association.</w:t>
      </w:r>
    </w:p>
    <w:p>
      <w:pPr>
        <w:spacing w:after="0" w:line="176"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summarizes the main rights of holders of our ordinary shares:</w:t>
      </w:r>
    </w:p>
    <w:p>
      <w:pPr>
        <w:spacing w:after="0" w:line="102" w:lineRule="exact"/>
        <w:rPr>
          <w:sz w:val="20"/>
          <w:szCs w:val="20"/>
          <w:color w:val="auto"/>
        </w:rPr>
      </w:pPr>
    </w:p>
    <w:p>
      <w:pPr>
        <w:ind w:left="2100" w:right="659" w:hanging="412"/>
        <w:spacing w:after="0" w:line="283" w:lineRule="auto"/>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ordinary shares is entitled to one vote per share on all matters to be voted on by shareholders generally, including the appointment of directors;</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cumulative voting rights;</w:t>
      </w:r>
    </w:p>
    <w:p>
      <w:pPr>
        <w:spacing w:after="0" w:line="102" w:lineRule="exact"/>
        <w:rPr>
          <w:rFonts w:ascii="Times New Roman" w:cs="Times New Roman" w:eastAsia="Times New Roman" w:hAnsi="Times New Roman"/>
          <w:sz w:val="14"/>
          <w:szCs w:val="14"/>
          <w:color w:val="auto"/>
        </w:rPr>
      </w:pPr>
    </w:p>
    <w:p>
      <w:pPr>
        <w:ind w:left="2100" w:right="299" w:hanging="412"/>
        <w:spacing w:after="0" w:line="283" w:lineRule="auto"/>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our ordinary shares are entitled to dividends and other distributions as may be declared from time to time by us out of funds legally available for that purpose, if any;</w:t>
      </w:r>
    </w:p>
    <w:p>
      <w:pPr>
        <w:spacing w:after="0" w:line="51" w:lineRule="exact"/>
        <w:rPr>
          <w:rFonts w:ascii="Times New Roman" w:cs="Times New Roman" w:eastAsia="Times New Roman" w:hAnsi="Times New Roman"/>
          <w:sz w:val="14"/>
          <w:szCs w:val="14"/>
          <w:color w:val="auto"/>
        </w:rPr>
      </w:pPr>
    </w:p>
    <w:p>
      <w:pPr>
        <w:ind w:left="2100" w:right="499" w:hanging="412"/>
        <w:spacing w:after="0" w:line="283" w:lineRule="auto"/>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our liquidation or dissolution, the holders of ordinary shares will be entitled to share ratably in the distribution of all of our assets remaining available for distribution after satisfaction of all our liabilities; and</w:t>
      </w:r>
    </w:p>
    <w:p>
      <w:pPr>
        <w:spacing w:after="0" w:line="51" w:lineRule="exact"/>
        <w:rPr>
          <w:rFonts w:ascii="Times New Roman" w:cs="Times New Roman" w:eastAsia="Times New Roman" w:hAnsi="Times New Roman"/>
          <w:sz w:val="14"/>
          <w:szCs w:val="14"/>
          <w:color w:val="auto"/>
        </w:rPr>
      </w:pPr>
    </w:p>
    <w:p>
      <w:pPr>
        <w:ind w:left="2100" w:right="339" w:hanging="412"/>
        <w:spacing w:after="0" w:line="267" w:lineRule="auto"/>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Shareholders’ Register</w:t>
      </w:r>
    </w:p>
    <w:p>
      <w:pPr>
        <w:spacing w:after="0" w:line="94"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on registered shares belonging to another or a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such shares.</w:t>
      </w:r>
    </w:p>
    <w:p>
      <w:pPr>
        <w:spacing w:after="0" w:line="2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Corporate Objectives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Pursuant to the Articles of Association, our corporate objectives are:</w:t>
      </w:r>
    </w:p>
    <w:p>
      <w:pPr>
        <w:spacing w:after="0" w:line="102" w:lineRule="exact"/>
        <w:rPr>
          <w:sz w:val="20"/>
          <w:szCs w:val="20"/>
          <w:color w:val="auto"/>
        </w:rPr>
      </w:pPr>
    </w:p>
    <w:p>
      <w:pPr>
        <w:ind w:left="2100" w:hanging="328"/>
        <w:spacing w:after="0"/>
        <w:tabs>
          <w:tab w:leader="none" w:pos="21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discover, develop and commercialize treatments, including for hereditary angioedema;</w:t>
      </w:r>
    </w:p>
    <w:p>
      <w:pPr>
        <w:spacing w:after="0" w:line="102" w:lineRule="exact"/>
        <w:rPr>
          <w:rFonts w:ascii="Times New Roman" w:cs="Times New Roman" w:eastAsia="Times New Roman" w:hAnsi="Times New Roman"/>
          <w:sz w:val="14"/>
          <w:szCs w:val="14"/>
          <w:color w:val="auto"/>
        </w:rPr>
      </w:pPr>
    </w:p>
    <w:p>
      <w:pPr>
        <w:ind w:left="2100" w:right="439" w:hanging="328"/>
        <w:spacing w:after="0" w:line="267" w:lineRule="auto"/>
        <w:tabs>
          <w:tab w:leader="none" w:pos="21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62" w:lineRule="exact"/>
        <w:rPr>
          <w:rFonts w:ascii="Times New Roman" w:cs="Times New Roman" w:eastAsia="Times New Roman" w:hAnsi="Times New Roman"/>
          <w:sz w:val="14"/>
          <w:szCs w:val="14"/>
          <w:color w:val="auto"/>
        </w:rPr>
      </w:pPr>
    </w:p>
    <w:p>
      <w:pPr>
        <w:ind w:left="2100" w:right="779" w:hanging="328"/>
        <w:spacing w:after="0" w:line="283" w:lineRule="auto"/>
        <w:tabs>
          <w:tab w:leader="none" w:pos="21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incorporate, participate in, finance or hold any other interest in and to conduct the management or supervision of other entities, companies, partnerships and businesses;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acquire, to manage, to invest, to exploit, to encumber and to dispose of assets and liabilities;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furnish guarantees, to provide security, to warrant performance in any other way and to assume liability, whether jointly and severally or otherwise, in respect of obligations of group companies or other parties;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do anything which, in the widest sense, is connected with or may be conducive to the objects described above.</w:t>
      </w:r>
    </w:p>
    <w:p>
      <w:pPr>
        <w:spacing w:after="0" w:line="289" w:lineRule="exact"/>
        <w:rPr>
          <w:rFonts w:ascii="Times New Roman" w:cs="Times New Roman" w:eastAsia="Times New Roman" w:hAnsi="Times New Roman"/>
          <w:sz w:val="14"/>
          <w:szCs w:val="14"/>
          <w:color w:val="auto"/>
        </w:rPr>
      </w:pPr>
    </w:p>
    <w:p>
      <w:pPr>
        <w:ind w:left="1680" w:hanging="329"/>
        <w:spacing w:after="0"/>
        <w:tabs>
          <w:tab w:leader="none" w:pos="168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 to our Articles of Association</w:t>
      </w:r>
    </w:p>
    <w:p>
      <w:pPr>
        <w:spacing w:after="0" w:line="93" w:lineRule="exact"/>
        <w:rPr>
          <w:rFonts w:ascii="Times New Roman" w:cs="Times New Roman" w:eastAsia="Times New Roman" w:hAnsi="Times New Roman"/>
          <w:sz w:val="14"/>
          <w:szCs w:val="14"/>
          <w:b w:val="1"/>
          <w:bCs w:val="1"/>
          <w:color w:val="auto"/>
        </w:rPr>
      </w:pPr>
    </w:p>
    <w:p>
      <w:pPr>
        <w:ind w:left="17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 amendment to our Articles of Association would require a resolution of the general meeting upon proposal by the Board.</w:t>
      </w:r>
    </w:p>
    <w:p>
      <w:pPr>
        <w:spacing w:after="0" w:line="289" w:lineRule="exact"/>
        <w:rPr>
          <w:rFonts w:ascii="Times New Roman" w:cs="Times New Roman" w:eastAsia="Times New Roman" w:hAnsi="Times New Roman"/>
          <w:sz w:val="14"/>
          <w:szCs w:val="14"/>
          <w:b w:val="1"/>
          <w:bCs w:val="1"/>
          <w:color w:val="auto"/>
        </w:rPr>
      </w:pPr>
    </w:p>
    <w:p>
      <w:pPr>
        <w:ind w:left="1680" w:hanging="329"/>
        <w:spacing w:after="0"/>
        <w:tabs>
          <w:tab w:leader="none" w:pos="168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Limitations on the Rights to Own Ordinary Shares</w:t>
      </w:r>
    </w:p>
    <w:p>
      <w:pPr>
        <w:spacing w:after="0" w:line="93" w:lineRule="exact"/>
        <w:rPr>
          <w:rFonts w:ascii="Times New Roman" w:cs="Times New Roman" w:eastAsia="Times New Roman" w:hAnsi="Times New Roman"/>
          <w:sz w:val="14"/>
          <w:szCs w:val="14"/>
          <w:b w:val="1"/>
          <w:bCs w:val="1"/>
          <w:color w:val="auto"/>
        </w:rPr>
      </w:pPr>
    </w:p>
    <w:p>
      <w:pPr>
        <w:ind w:left="17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ordinary shares may be issued to individuals, corporations, trusts, estates of deceased individuals, partnerships and unincorporated</w:t>
      </w:r>
    </w:p>
    <w:p>
      <w:pPr>
        <w:spacing w:after="0" w:line="22"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associations of persons. Our Articles of Association contain no limitation on the rights to own our ordinary shares and no limitation on the rights of nonresidents of the Netherlands or foreign shareholders to hold or exercise voting rights.</w:t>
      </w:r>
    </w:p>
    <w:p>
      <w:pPr>
        <w:spacing w:after="0" w:line="254" w:lineRule="exact"/>
        <w:rPr>
          <w:sz w:val="20"/>
          <w:szCs w:val="20"/>
          <w:color w:val="auto"/>
        </w:rPr>
      </w:pPr>
    </w:p>
    <w:p>
      <w:pPr>
        <w:ind w:left="1680" w:hanging="329"/>
        <w:spacing w:after="0"/>
        <w:tabs>
          <w:tab w:leader="none" w:pos="168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Limitation on Liability and Indemnification Matters</w:t>
      </w:r>
    </w:p>
    <w:p>
      <w:pPr>
        <w:spacing w:after="0" w:line="94"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color w:val="auto"/>
        </w:rPr>
        <w:t>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68" w:lineRule="exact"/>
        <w:rPr>
          <w:sz w:val="20"/>
          <w:szCs w:val="20"/>
          <w:color w:val="auto"/>
        </w:rPr>
      </w:pPr>
    </w:p>
    <w:p>
      <w:pPr>
        <w:ind w:left="2100" w:right="51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competent court or arbitral tribunal has established, without having (or no longer having) the possibility for appeal, that the acts or omissions of such indemnified person that led to the financial</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39"/>
        <w:spacing w:after="0" w:line="267" w:lineRule="auto"/>
        <w:rPr>
          <w:sz w:val="20"/>
          <w:szCs w:val="20"/>
          <w:color w:val="auto"/>
        </w:rPr>
      </w:pPr>
      <w:r>
        <w:rPr>
          <w:rFonts w:ascii="Times New Roman" w:cs="Times New Roman" w:eastAsia="Times New Roman" w:hAnsi="Times New Roman"/>
          <w:sz w:val="14"/>
          <w:szCs w:val="14"/>
          <w:color w:val="auto"/>
        </w:rPr>
        <w:t>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62" w:lineRule="exact"/>
        <w:rPr>
          <w:sz w:val="20"/>
          <w:szCs w:val="20"/>
          <w:color w:val="auto"/>
        </w:rPr>
      </w:pPr>
    </w:p>
    <w:p>
      <w:pPr>
        <w:ind w:left="2100" w:right="31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51" w:lineRule="exact"/>
        <w:rPr>
          <w:rFonts w:ascii="Times New Roman" w:cs="Times New Roman" w:eastAsia="Times New Roman" w:hAnsi="Times New Roman"/>
          <w:sz w:val="14"/>
          <w:szCs w:val="14"/>
          <w:color w:val="auto"/>
        </w:rPr>
      </w:pPr>
    </w:p>
    <w:p>
      <w:pPr>
        <w:ind w:left="2100" w:right="259" w:hanging="328"/>
        <w:spacing w:after="0" w:line="261"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67"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financial losses, damages or expenses incurred in connection with a settlement of any proceedings effected without the Company’s prior consent.</w:t>
      </w:r>
    </w:p>
    <w:p>
      <w:pPr>
        <w:spacing w:after="0" w:line="125" w:lineRule="exact"/>
        <w:rPr>
          <w:sz w:val="20"/>
          <w:szCs w:val="20"/>
          <w:color w:val="auto"/>
        </w:rPr>
      </w:pPr>
    </w:p>
    <w:p>
      <w:pPr>
        <w:ind w:left="1360" w:right="759" w:firstLine="343"/>
        <w:spacing w:after="0" w:line="283" w:lineRule="auto"/>
        <w:rPr>
          <w:sz w:val="20"/>
          <w:szCs w:val="20"/>
          <w:color w:val="auto"/>
        </w:rPr>
      </w:pPr>
      <w:r>
        <w:rPr>
          <w:rFonts w:ascii="Times New Roman" w:cs="Times New Roman" w:eastAsia="Times New Roman" w:hAnsi="Times New Roman"/>
          <w:sz w:val="14"/>
          <w:szCs w:val="14"/>
          <w:color w:val="auto"/>
        </w:rPr>
        <w:t>Under our Articles of Association, our Board may stipulate additional terms, conditions and restrictions in relation to the indemnification described above.</w:t>
      </w:r>
    </w:p>
    <w:p>
      <w:pPr>
        <w:spacing w:after="0" w:line="239" w:lineRule="exact"/>
        <w:rPr>
          <w:sz w:val="20"/>
          <w:szCs w:val="20"/>
          <w:color w:val="auto"/>
        </w:rPr>
      </w:pPr>
    </w:p>
    <w:p>
      <w:pPr>
        <w:ind w:left="1680" w:hanging="329"/>
        <w:spacing w:after="0"/>
        <w:tabs>
          <w:tab w:leader="none" w:pos="168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Shareholders’ Meetings and Consents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General Meeting</w:t>
      </w:r>
    </w:p>
    <w:p>
      <w:pPr>
        <w:spacing w:after="0" w:line="9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General meetings may be held in the Netherlands, in any of the locations specified in our Articles of Association. If and when allowed pursuant to applicable law, those who convene the general meeting may also 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has decreased to an amount equal to or lower than half of our paid-in and called-up share capital, in order to discuss the measures to be taken if so required.</w:t>
      </w:r>
    </w:p>
    <w:p>
      <w:pPr>
        <w:spacing w:after="0" w:line="144"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144"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47"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3" w:lineRule="exact"/>
        <w:rPr>
          <w:sz w:val="20"/>
          <w:szCs w:val="20"/>
          <w:color w:val="auto"/>
        </w:rPr>
      </w:pPr>
    </w:p>
    <w:p>
      <w:pPr>
        <w:ind w:left="2100" w:right="439" w:hanging="328"/>
        <w:spacing w:after="0" w:line="283" w:lineRule="auto"/>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cannot reasonably believe that a continuation of the cooling-off period would contribute to careful policy-making; or</w:t>
      </w:r>
    </w:p>
    <w:p>
      <w:pPr>
        <w:spacing w:after="0" w:line="102" w:lineRule="exact"/>
        <w:rPr>
          <w:rFonts w:ascii="Times New Roman" w:cs="Times New Roman" w:eastAsia="Times New Roman" w:hAnsi="Times New Roman"/>
          <w:sz w:val="14"/>
          <w:szCs w:val="14"/>
          <w:color w:val="auto"/>
        </w:rPr>
      </w:pPr>
    </w:p>
    <w:p>
      <w:pPr>
        <w:jc w:val="both"/>
        <w:ind w:left="2100" w:right="279" w:hanging="328"/>
        <w:spacing w:after="0" w:line="267" w:lineRule="auto"/>
        <w:tabs>
          <w:tab w:leader="none" w:pos="21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All shareholders and others with meeting rights under Dutch law are authorized to attend the general</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Quorum and voting requirements</w:t>
      </w:r>
    </w:p>
    <w:p>
      <w:pPr>
        <w:spacing w:after="0" w:line="9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and the holders of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the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47"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w:t>
      </w:r>
    </w:p>
    <w:p>
      <w:pPr>
        <w:spacing w:after="0" w:line="255" w:lineRule="exact"/>
        <w:rPr>
          <w:sz w:val="20"/>
          <w:szCs w:val="20"/>
          <w:color w:val="auto"/>
        </w:rPr>
      </w:pPr>
    </w:p>
    <w:p>
      <w:pPr>
        <w:ind w:left="1680" w:hanging="329"/>
        <w:spacing w:after="0"/>
        <w:tabs>
          <w:tab w:leader="none" w:pos="168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Board</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Appointment of directors</w:t>
      </w:r>
    </w:p>
    <w:p>
      <w:pPr>
        <w:spacing w:after="0" w:line="94"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41"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Duties and liabilities of directors</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Subject to certain limitations under Dutch law, our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4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Our Board is entitled to represent our company. The power to represent our company also vests in our chief executive officer individually, as well as in any other two executive directors acting jointly.</w:t>
      </w:r>
    </w:p>
    <w:p>
      <w:pPr>
        <w:spacing w:after="0" w:line="239" w:lineRule="exact"/>
        <w:rPr>
          <w:sz w:val="20"/>
          <w:szCs w:val="20"/>
          <w:color w:val="auto"/>
        </w:rPr>
      </w:pPr>
    </w:p>
    <w:p>
      <w:pPr>
        <w:ind w:left="1680" w:hanging="329"/>
        <w:spacing w:after="0"/>
        <w:tabs>
          <w:tab w:leader="none" w:pos="168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Dividends and Other Distributions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Amount available for distribution</w:t>
      </w:r>
    </w:p>
    <w:p>
      <w:pPr>
        <w:spacing w:after="0" w:line="92" w:lineRule="exact"/>
        <w:rPr>
          <w:sz w:val="20"/>
          <w:szCs w:val="20"/>
          <w:color w:val="auto"/>
        </w:rPr>
      </w:pPr>
    </w:p>
    <w:p>
      <w:pPr>
        <w:ind w:left="1360" w:right="319" w:firstLine="343"/>
        <w:spacing w:after="0" w:line="262" w:lineRule="auto"/>
        <w:rPr>
          <w:sz w:val="20"/>
          <w:szCs w:val="20"/>
          <w:color w:val="auto"/>
        </w:rPr>
      </w:pPr>
      <w:r>
        <w:rPr>
          <w:rFonts w:ascii="Times New Roman" w:cs="Times New Roman" w:eastAsia="Times New Roman" w:hAnsi="Times New Roman"/>
          <w:sz w:val="14"/>
          <w:szCs w:val="14"/>
          <w:color w:val="auto"/>
        </w:rPr>
        <w:t>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w:t>
      </w:r>
    </w:p>
    <w:p>
      <w:pPr>
        <w:spacing w:after="0" w:line="141"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w:t>
      </w:r>
    </w:p>
    <w:p>
      <w:pPr>
        <w:spacing w:after="0" w:line="136"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Our Board is permitted, subject to certain requirements and applicable restrictions of Dutch law, to declare interim dividends without the approval of the general meeting.</w:t>
      </w:r>
    </w:p>
    <w:p>
      <w:pPr>
        <w:spacing w:after="0" w:line="125" w:lineRule="exact"/>
        <w:rPr>
          <w:sz w:val="20"/>
          <w:szCs w:val="20"/>
          <w:color w:val="auto"/>
        </w:rPr>
      </w:pPr>
    </w:p>
    <w:p>
      <w:pPr>
        <w:jc w:val="both"/>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Exchange controls</w:t>
      </w:r>
    </w:p>
    <w:p>
      <w:pPr>
        <w:spacing w:after="0" w:line="9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4"/>
          <w:szCs w:val="14"/>
          <w:i w:val="1"/>
          <w:iCs w:val="1"/>
          <w:color w:val="auto"/>
        </w:rPr>
        <w:t>Sanctiewet 1977</w:t>
      </w:r>
      <w:r>
        <w:rPr>
          <w:rFonts w:ascii="Times New Roman" w:cs="Times New Roman" w:eastAsia="Times New Roman" w:hAnsi="Times New Roman"/>
          <w:sz w:val="14"/>
          <w:szCs w:val="14"/>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Squeeze-out procedures</w:t>
      </w:r>
    </w:p>
    <w:p>
      <w:pPr>
        <w:spacing w:after="0" w:line="9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by means of a writ of summons served upon each of the other shareholders in accordance with the provisions of the Dutch Code of Civil Procedure</w:t>
      </w:r>
    </w:p>
    <w:p>
      <w:pPr>
        <w:spacing w:after="0" w:line="22" w:lineRule="exact"/>
        <w:rPr>
          <w:sz w:val="20"/>
          <w:szCs w:val="20"/>
          <w:color w:val="auto"/>
        </w:rPr>
      </w:pPr>
    </w:p>
    <w:p>
      <w:pPr>
        <w:ind w:left="1360" w:right="319"/>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Wetboek van Burgerlijke Rechtsvordering</w:t>
      </w:r>
      <w:r>
        <w:rPr>
          <w:rFonts w:ascii="Times New Roman" w:cs="Times New Roman" w:eastAsia="Times New Roman" w:hAnsi="Times New Roman"/>
          <w:sz w:val="14"/>
          <w:szCs w:val="14"/>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59" w:lineRule="exact"/>
        <w:rPr>
          <w:sz w:val="20"/>
          <w:szCs w:val="20"/>
          <w:color w:val="auto"/>
        </w:rPr>
      </w:pPr>
    </w:p>
    <w:p>
      <w:pPr>
        <w:ind w:left="1680" w:hanging="329"/>
        <w:spacing w:after="0"/>
        <w:tabs>
          <w:tab w:leader="none" w:pos="168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Dissolution and Liquidation</w:t>
      </w:r>
    </w:p>
    <w:p>
      <w:pPr>
        <w:spacing w:after="0" w:line="9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2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Dutch Financial Reporting Supervision Act</w:t>
      </w:r>
    </w:p>
    <w:p>
      <w:pPr>
        <w:spacing w:after="0" w:line="92" w:lineRule="exact"/>
        <w:rPr>
          <w:sz w:val="20"/>
          <w:szCs w:val="20"/>
          <w:color w:val="auto"/>
        </w:rPr>
      </w:pPr>
    </w:p>
    <w:p>
      <w:pPr>
        <w:ind w:left="1360" w:right="419"/>
        <w:spacing w:after="0" w:line="268" w:lineRule="auto"/>
        <w:rPr>
          <w:sz w:val="20"/>
          <w:szCs w:val="20"/>
          <w:color w:val="auto"/>
        </w:rPr>
      </w:pPr>
      <w:r>
        <w:rPr>
          <w:rFonts w:ascii="Times New Roman" w:cs="Times New Roman" w:eastAsia="Times New Roman" w:hAnsi="Times New Roman"/>
          <w:sz w:val="14"/>
          <w:szCs w:val="14"/>
          <w:color w:val="auto"/>
        </w:rPr>
        <w:t>On the basis of the Dutch Financial Reporting Supervision Act (</w:t>
      </w:r>
      <w:r>
        <w:rPr>
          <w:rFonts w:ascii="Times New Roman" w:cs="Times New Roman" w:eastAsia="Times New Roman" w:hAnsi="Times New Roman"/>
          <w:sz w:val="14"/>
          <w:szCs w:val="14"/>
          <w:i w:val="1"/>
          <w:iCs w:val="1"/>
          <w:color w:val="auto"/>
        </w:rPr>
        <w:t>Wet toezicht financiële verslaggeving</w:t>
      </w:r>
      <w:r>
        <w:rPr>
          <w:rFonts w:ascii="Times New Roman" w:cs="Times New Roman" w:eastAsia="Times New Roman" w:hAnsi="Times New Roman"/>
          <w:sz w:val="14"/>
          <w:szCs w:val="14"/>
          <w:color w:val="auto"/>
        </w:rPr>
        <w:t>), or the FRSA, the Dutch Authority for the Financial Markets (</w:t>
      </w:r>
      <w:r>
        <w:rPr>
          <w:rFonts w:ascii="Times New Roman" w:cs="Times New Roman" w:eastAsia="Times New Roman" w:hAnsi="Times New Roman"/>
          <w:sz w:val="14"/>
          <w:szCs w:val="14"/>
          <w:i w:val="1"/>
          <w:iCs w:val="1"/>
          <w:color w:val="auto"/>
        </w:rPr>
        <w:t>Stichting Autoriteit Financiële Markten</w:t>
      </w:r>
      <w:r>
        <w:rPr>
          <w:rFonts w:ascii="Times New Roman" w:cs="Times New Roman" w:eastAsia="Times New Roman" w:hAnsi="Times New Roman"/>
          <w:sz w:val="14"/>
          <w:szCs w:val="14"/>
          <w:color w:val="auto"/>
        </w:rPr>
        <w:t>), or AFM, supervises the application of financial reporting standards by Dutch companies whose securities are listed on a Dutch or foreign stock exchange.</w:t>
      </w:r>
    </w:p>
    <w:p>
      <w:pPr>
        <w:spacing w:after="0" w:line="136"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w:t>
      </w:r>
    </w:p>
    <w:p>
      <w:pPr>
        <w:spacing w:after="0" w:line="1" w:lineRule="exact"/>
        <w:rPr>
          <w:sz w:val="20"/>
          <w:szCs w:val="20"/>
          <w:color w:val="auto"/>
        </w:rPr>
      </w:pPr>
    </w:p>
    <w:p>
      <w:pPr>
        <w:ind w:left="1360" w:right="299" w:hanging="9"/>
        <w:spacing w:after="0" w:line="254" w:lineRule="auto"/>
        <w:tabs>
          <w:tab w:leader="none" w:pos="156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COMPARISON OF DUTCH LAW AND OUR ARTICLES OF ASSOCIATION AND</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 CORPORATE LAW</w:t>
      </w:r>
    </w:p>
    <w:p>
      <w:pPr>
        <w:spacing w:after="0" w:line="16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Dutch Corporate Governance Code</w:t>
      </w:r>
    </w:p>
    <w:p>
      <w:pPr>
        <w:spacing w:after="0" w:line="92"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As a listed Dutch public company with limited liability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 We do not comply with all best practice provisions of the DCGC. As of the date of this prospectus, our main deviations from the DCGC are summarized below, but we cannot exclude the possibility of deviating from additional provisions of the DCGC after the date of this prospectus, including in order to follow market practice or governance practices in the United States.</w:t>
      </w:r>
    </w:p>
    <w:p>
      <w:pPr>
        <w:spacing w:after="0" w:line="143"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DCGC recommends against providing equity awards as part of the compensation of a non-executive director. However, consistent with U.S.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market practice, we have granted equity awards to our non-executive directors.</w:t>
      </w:r>
    </w:p>
    <w:p>
      <w:pPr>
        <w:spacing w:after="0" w:line="161"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Our equity incentive plan allows us to set the terms and conditions of equity awards granted thereunder. Under our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Duties of Directors</w:t>
      </w:r>
    </w:p>
    <w:p>
      <w:pPr>
        <w:spacing w:after="0" w:line="94"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We have a one-tier board structure consisting of a board of directors comprising one or more executive directors and one or more non-executive directors. Under Dutch law, our Board is charged with</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applicable.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w:t>
      </w:r>
    </w:p>
    <w:p>
      <w:pPr>
        <w:spacing w:after="0" w:line="14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Our Board is entitled to represent the Company. The power to represent our company also vests in our chief executive officer individually, as well as in any other two executive directors acting jointly.</w:t>
      </w:r>
    </w:p>
    <w:p>
      <w:pPr>
        <w:spacing w:after="0" w:line="125"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36"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Director terms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The DCGC provides the following best practice recommendations on the terms for tenure of our directors:</w:t>
      </w:r>
    </w:p>
    <w:p>
      <w:pPr>
        <w:spacing w:after="0" w:line="102" w:lineRule="exact"/>
        <w:rPr>
          <w:sz w:val="20"/>
          <w:szCs w:val="20"/>
          <w:color w:val="auto"/>
        </w:rPr>
      </w:pPr>
    </w:p>
    <w:p>
      <w:pPr>
        <w:ind w:left="2100" w:right="359" w:hanging="328"/>
        <w:spacing w:after="0" w:line="283" w:lineRule="auto"/>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directors should be appointed for a maximum period of four years, without limiting the number of consecutive terms executive directors may serve.</w:t>
      </w:r>
    </w:p>
    <w:p>
      <w:pPr>
        <w:spacing w:after="0" w:line="51"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w:t>
      </w:r>
    </w:p>
    <w:p>
      <w:pPr>
        <w:spacing w:after="0" w:line="136"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Director vacancies</w:t>
      </w:r>
    </w:p>
    <w:p>
      <w:pPr>
        <w:spacing w:after="0" w:line="94"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14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Under Dutch law, directors are appointed and re-appointed by the general meeting. Under our Articles of Association, directors are appointed by the general meeting upon the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w:t>
      </w:r>
    </w:p>
    <w:p>
      <w:pPr>
        <w:spacing w:after="0" w:line="1" w:lineRule="exact"/>
        <w:rPr>
          <w:sz w:val="20"/>
          <w:szCs w:val="20"/>
          <w:color w:val="auto"/>
        </w:rPr>
      </w:pPr>
    </w:p>
    <w:p>
      <w:pPr>
        <w:ind w:left="1360" w:right="279" w:hanging="9"/>
        <w:spacing w:after="0" w:line="261" w:lineRule="auto"/>
        <w:tabs>
          <w:tab w:leader="none" w:pos="156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directs that a particular class of stock is to elect such director, in which case any other directors elected by such class, or a sole remaining director elected by such class, will fill such vacancy.</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Conflict-of-interest transactions</w:t>
      </w:r>
    </w:p>
    <w:p>
      <w:pPr>
        <w:spacing w:after="0" w:line="94"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The DCGC provides the following best practice recommendations in relation to conflicts of interests in respect of directors:</w:t>
      </w:r>
    </w:p>
    <w:p>
      <w:pPr>
        <w:spacing w:after="0" w:line="102" w:lineRule="exact"/>
        <w:rPr>
          <w:sz w:val="20"/>
          <w:szCs w:val="20"/>
          <w:color w:val="auto"/>
        </w:rPr>
      </w:pPr>
    </w:p>
    <w:p>
      <w:pPr>
        <w:ind w:left="2100" w:right="359" w:hanging="328"/>
        <w:spacing w:after="0" w:line="259" w:lineRule="auto"/>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should report any conflict of interest or potential conflict of interest in a transaction that is of material significance to the company and/or to such person to the chairperson of the Board without 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w:t>
      </w:r>
    </w:p>
    <w:p>
      <w:pPr>
        <w:spacing w:after="0" w:line="67"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should decide, outside the presence of the director concerned, whether there is a conflict of interest;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 which there are conflicts of interest with directors should be agreed on terms that are customary in the market; and</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to enter into transactions in which there are conflicts of interest with directors that are of material significance to the Company and/or to the relevant directors should require the approval of the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79"/>
        <w:spacing w:after="0" w:line="283" w:lineRule="auto"/>
        <w:rPr>
          <w:sz w:val="20"/>
          <w:szCs w:val="20"/>
          <w:color w:val="auto"/>
        </w:rPr>
      </w:pPr>
      <w:r>
        <w:rPr>
          <w:rFonts w:ascii="Times New Roman" w:cs="Times New Roman" w:eastAsia="Times New Roman" w:hAnsi="Times New Roman"/>
          <w:sz w:val="14"/>
          <w:szCs w:val="14"/>
          <w:color w:val="auto"/>
        </w:rPr>
        <w:t>Board. Such transactions should be published in our statutory annual report, together with a description of the conflict of interest and a declaration that the relevant best practice provisions of the DCGC have been complied with.</w:t>
      </w:r>
    </w:p>
    <w:p>
      <w:pPr>
        <w:spacing w:after="0" w:line="125"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transactions involving a Delaware corporation and an interested director of that corporation would not be voidable if:</w:t>
      </w:r>
    </w:p>
    <w:p>
      <w:pPr>
        <w:spacing w:after="0" w:line="52" w:lineRule="exact"/>
        <w:rPr>
          <w:sz w:val="20"/>
          <w:szCs w:val="20"/>
          <w:color w:val="auto"/>
        </w:rPr>
      </w:pPr>
    </w:p>
    <w:p>
      <w:pPr>
        <w:ind w:left="2100" w:right="45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facts are disclosed or known as to the director’s relationship or interest and the transaction is specifically approved in good faith by vote of the majority of shares entitled to vote thereon; or</w:t>
      </w:r>
    </w:p>
    <w:p>
      <w:pPr>
        <w:spacing w:after="0" w:line="51"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fair to the corporation at the time it is authorized by the board of directors, a committee of the board of directors or the stockholders.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Proxy voting by directors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An absent director may issue a proxy for a specific Board meeting but only to another director in writing or by electronic means.</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A director of a Delaware corporation may not issue a proxy representing the director’s voting rights as a director.</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Shareholders Rights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and the holders of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the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4"/>
          <w:szCs w:val="14"/>
          <w:i w:val="1"/>
          <w:iCs w:val="1"/>
          <w:color w:val="auto"/>
        </w:rPr>
        <w:t>vruchtgebruik</w:t>
      </w:r>
      <w:r>
        <w:rPr>
          <w:rFonts w:ascii="Times New Roman" w:cs="Times New Roman" w:eastAsia="Times New Roman" w:hAnsi="Times New Roman"/>
          <w:sz w:val="14"/>
          <w:szCs w:val="14"/>
          <w:color w:val="auto"/>
        </w:rPr>
        <w:t>) or a right of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44" w:lineRule="exact"/>
        <w:rPr>
          <w:sz w:val="20"/>
          <w:szCs w:val="20"/>
          <w:color w:val="auto"/>
        </w:rPr>
      </w:pPr>
    </w:p>
    <w:p>
      <w:pPr>
        <w:ind w:left="1360" w:right="219" w:firstLine="343"/>
        <w:spacing w:after="0" w:line="237" w:lineRule="auto"/>
        <w:rPr>
          <w:sz w:val="20"/>
          <w:szCs w:val="20"/>
          <w:color w:val="auto"/>
        </w:rPr>
      </w:pPr>
      <w:r>
        <w:rPr>
          <w:rFonts w:ascii="Times New Roman" w:cs="Times New Roman" w:eastAsia="Times New Roman" w:hAnsi="Times New Roman"/>
          <w:sz w:val="14"/>
          <w:szCs w:val="14"/>
          <w:color w:val="auto"/>
        </w:rPr>
        <w:t>For each general meeting, the Board may determine that a record date will be applied in order to establish which shareholders are entitled to attend and vote at the general meeting. Such record date shall be the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55"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each stockholder is entitled to one vote per share of stock, unless the certificate of incorporation provides otherwise. In addition, the certificate of incorporation</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36"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Shareholder proposals</w:t>
      </w:r>
    </w:p>
    <w:p>
      <w:pPr>
        <w:spacing w:after="0" w:line="94"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45"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agenda for a general meeting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36"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3" w:lineRule="exact"/>
        <w:rPr>
          <w:sz w:val="20"/>
          <w:szCs w:val="20"/>
          <w:color w:val="auto"/>
        </w:rPr>
      </w:pPr>
    </w:p>
    <w:p>
      <w:pPr>
        <w:ind w:left="2100" w:right="439" w:hanging="328"/>
        <w:spacing w:after="0" w:line="283"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cannot reasonably believe that a continuation of the cooling-off period would contribute to careful policy-making; or</w:t>
      </w:r>
    </w:p>
    <w:p>
      <w:pPr>
        <w:spacing w:after="0" w:line="102" w:lineRule="exact"/>
        <w:rPr>
          <w:rFonts w:ascii="Times New Roman" w:cs="Times New Roman" w:eastAsia="Times New Roman" w:hAnsi="Times New Roman"/>
          <w:sz w:val="14"/>
          <w:szCs w:val="14"/>
          <w:color w:val="auto"/>
        </w:rPr>
      </w:pPr>
    </w:p>
    <w:p>
      <w:pPr>
        <w:jc w:val="both"/>
        <w:ind w:left="2100" w:right="279" w:hanging="328"/>
        <w:spacing w:after="0" w:line="267"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6"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Action by written consent</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shareholders’ resolutions may be adopted in writing without holding a meeting of shareholders, provided that</w:t>
      </w:r>
    </w:p>
    <w:p>
      <w:pPr>
        <w:spacing w:after="0" w:line="22" w:lineRule="exact"/>
        <w:rPr>
          <w:sz w:val="20"/>
          <w:szCs w:val="20"/>
          <w:color w:val="auto"/>
        </w:rPr>
      </w:pPr>
    </w:p>
    <w:p>
      <w:pPr>
        <w:ind w:left="1360" w:right="399" w:hanging="9"/>
        <w:spacing w:after="0" w:line="254" w:lineRule="auto"/>
        <w:tabs>
          <w:tab w:leader="none" w:pos="152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46"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Although permitted by Delaware law, publicly listed companies do not typically permit stockholders of a corporation to take action by written consent.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Appraisal rights</w:t>
      </w:r>
    </w:p>
    <w:p>
      <w:pPr>
        <w:spacing w:after="0" w:line="94"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Delaware General Corporation Law provides for stockholder appraisal rights, or the right to demand payment in cash of the judicially determined fair value of the stockholder’s shares, in connection with certain mergers and consolidations.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Shareholder suits</w:t>
      </w:r>
    </w:p>
    <w:p>
      <w:pPr>
        <w:spacing w:after="0" w:line="94"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1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Articles of Association provide that the sole and exclusive forum for any complaint asserting a cause of action arising under the U.S.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Securities Act of 1933, as amended, to the fullest extent permitted by applicable law, shall be the U.S. federal district courts.</w:t>
      </w:r>
    </w:p>
    <w:p>
      <w:pPr>
        <w:spacing w:after="0" w:line="16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Repurchase of shares</w:t>
      </w:r>
    </w:p>
    <w:p>
      <w:pPr>
        <w:spacing w:after="0" w:line="94"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Times New Roman" w:cs="Times New Roman" w:eastAsia="Times New Roman" w:hAnsi="Times New Roman"/>
          <w:sz w:val="14"/>
          <w:szCs w:val="14"/>
          <w:i w:val="1"/>
          <w:iCs w:val="1"/>
          <w:color w:val="auto"/>
        </w:rPr>
        <w:t>pandrecht</w:t>
      </w:r>
      <w:r>
        <w:rPr>
          <w:rFonts w:ascii="Times New Roman" w:cs="Times New Roman" w:eastAsia="Times New Roman" w:hAnsi="Times New Roman"/>
          <w:sz w:val="14"/>
          <w:szCs w:val="14"/>
          <w:color w:val="auto"/>
        </w:rPr>
        <w:t>) or which are held by a subsidiary of the company, would not exceed 50% of its then-current issued share capital. Such company may only acquire its own shares if its general meeting has granted the Board the authority to effect such acquisitions.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23, 2023, our general meeting adopted a resolution pursuant to which our Board is authorized, for a period of 18 months following June 23, 2023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4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No authorization of the general meeting is required if fully paid ordinary shares are acquired by us with the intention of transferring such ordinary shares to our employees under an applicable employee stock purchase plan.</w:t>
      </w:r>
    </w:p>
    <w:p>
      <w:pPr>
        <w:spacing w:after="0" w:line="125"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various protective measures are possible and permissible within the boundaries set by Dutch law and Dutch case law.</w:t>
      </w:r>
    </w:p>
    <w:p>
      <w:pPr>
        <w:spacing w:after="0" w:line="41"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In this respect, certain provisions of our Articles of Association may make it more difficult for a third-party to acquire control of us or effect a change in the composition of our Board. These include:</w:t>
      </w:r>
    </w:p>
    <w:p>
      <w:pPr>
        <w:spacing w:after="0" w:line="52" w:lineRule="exact"/>
        <w:rPr>
          <w:sz w:val="20"/>
          <w:szCs w:val="20"/>
          <w:color w:val="auto"/>
        </w:rPr>
      </w:pPr>
    </w:p>
    <w:p>
      <w:pPr>
        <w:ind w:left="2100" w:right="239" w:hanging="328"/>
        <w:spacing w:after="0" w:line="267"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our directors can only be dismissed at the general meeting by a two-thirds majority of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4"/>
          <w:szCs w:val="14"/>
          <w:color w:val="auto"/>
        </w:rPr>
      </w:pPr>
    </w:p>
    <w:p>
      <w:pPr>
        <w:ind w:left="2100" w:right="579" w:hanging="328"/>
        <w:spacing w:after="0" w:line="267"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the issued share capital (in which case the Board shall make a new nomination);</w:t>
      </w:r>
    </w:p>
    <w:p>
      <w:pPr>
        <w:spacing w:after="0" w:line="6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which allows the former chairperson of our Board or our former chief executive officer to be charged with our management if all of our directors are absent or incapacitated; and</w:t>
      </w:r>
    </w:p>
    <w:p>
      <w:pPr>
        <w:spacing w:after="0" w:line="51"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certain matters, including an amendment of our Articles of Association, may only be resolved upon by our general meeting if proposed by our Board.</w:t>
      </w:r>
    </w:p>
    <w:p>
      <w:pPr>
        <w:spacing w:after="0" w:line="125"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Dutch law also allows for staggered multi-year terms of our directors, as a result of which only part of our directors may be subject to appointment or re-appointment in any given year.</w:t>
      </w:r>
    </w:p>
    <w:p>
      <w:pPr>
        <w:spacing w:after="0" w:line="125" w:lineRule="exact"/>
        <w:rPr>
          <w:sz w:val="20"/>
          <w:szCs w:val="20"/>
          <w:color w:val="auto"/>
        </w:rPr>
      </w:pPr>
    </w:p>
    <w:p>
      <w:pPr>
        <w:jc w:val="both"/>
        <w:ind w:left="1360" w:right="239" w:firstLine="343"/>
        <w:spacing w:after="0" w:line="324" w:lineRule="auto"/>
        <w:rPr>
          <w:sz w:val="20"/>
          <w:szCs w:val="20"/>
          <w:color w:val="auto"/>
        </w:rPr>
      </w:pPr>
      <w:r>
        <w:rPr>
          <w:rFonts w:ascii="Times New Roman" w:cs="Times New Roman" w:eastAsia="Times New Roman" w:hAnsi="Times New Roman"/>
          <w:sz w:val="13"/>
          <w:szCs w:val="13"/>
          <w:color w:val="auto"/>
        </w:rPr>
        <w:t>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3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62" w:lineRule="exact"/>
        <w:rPr>
          <w:sz w:val="20"/>
          <w:szCs w:val="20"/>
          <w:color w:val="auto"/>
        </w:rPr>
      </w:pPr>
    </w:p>
    <w:p>
      <w:pPr>
        <w:ind w:left="2100" w:right="39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of the corporation approved either the business combination or the transaction which resulted in the stockholder becoming an interested stockholder;</w:t>
      </w:r>
    </w:p>
    <w:p>
      <w:pPr>
        <w:spacing w:after="0" w:line="51"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2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Inspection of Books and Records</w:t>
      </w:r>
    </w:p>
    <w:p>
      <w:pPr>
        <w:spacing w:after="0" w:line="94"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The Board must provide the general meeting all information that it requires, unless this would be contrary to an overriding interest of our Company. If the Board invokes such an overriding interest, it must give reasons.</w:t>
      </w:r>
    </w:p>
    <w:p>
      <w:pPr>
        <w:spacing w:after="0" w:line="125"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any stockholder may inspect for any proper purpose certain of the corporation’s books and records during the corporation’s usual hours of business.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Dismissal of Directors</w:t>
      </w:r>
    </w:p>
    <w:p>
      <w:pPr>
        <w:spacing w:after="0" w:line="94" w:lineRule="exact"/>
        <w:rPr>
          <w:sz w:val="20"/>
          <w:szCs w:val="20"/>
          <w:color w:val="auto"/>
        </w:rPr>
      </w:pPr>
    </w:p>
    <w:p>
      <w:pPr>
        <w:jc w:val="both"/>
        <w:ind w:left="1360" w:right="27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Issuance of Shares</w:t>
      </w:r>
    </w:p>
    <w:p>
      <w:pPr>
        <w:spacing w:after="0" w:line="9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w:t>
      </w:r>
    </w:p>
    <w:p>
      <w:pPr>
        <w:spacing w:after="0" w:line="136"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On February 1, 2021, our general meeting adopted a resolution pursuant to which our Board is authorized, for a period of five years following February 5, 2021, to issue shares or grant rights to subscribe for shares up to our authorized share capital from time to time. We may not subscribe for our own shares on issue.</w:t>
      </w:r>
    </w:p>
    <w:p>
      <w:pPr>
        <w:spacing w:after="0" w:line="136" w:lineRule="exact"/>
        <w:rPr>
          <w:sz w:val="20"/>
          <w:szCs w:val="20"/>
          <w:color w:val="auto"/>
        </w:rPr>
      </w:pPr>
    </w:p>
    <w:p>
      <w:pPr>
        <w:ind w:left="1360" w:right="75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Pre-emptive Rights</w:t>
      </w:r>
    </w:p>
    <w:p>
      <w:pPr>
        <w:spacing w:after="0" w:line="94"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w:t>
      </w:r>
    </w:p>
    <w:p>
      <w:pPr>
        <w:spacing w:after="0" w:line="14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On February 1, 2021, our general meeting authorized our Board, for a period of five years following February 5, 2021, to limit or exclude preemptive rights in relation to an issuance of shares or a grant of rights to subscribe for shares that the Board is authorized to resolve upon. See above under “—Issuance of Shares.”</w:t>
      </w:r>
    </w:p>
    <w:p>
      <w:pPr>
        <w:spacing w:after="0" w:line="136"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4"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w:t>
      </w:r>
    </w:p>
    <w:p>
      <w:pPr>
        <w:spacing w:after="0" w:line="144"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Under our Articles of Association, our Board may decide that all or part of the profits shown in our adopted statutory annual accounts will be added to our reserves. After reservation of any such profits, any remaining</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w:t>
      </w:r>
    </w:p>
    <w:p>
      <w:pPr>
        <w:spacing w:after="0" w:line="136" w:lineRule="exact"/>
        <w:rPr>
          <w:sz w:val="20"/>
          <w:szCs w:val="20"/>
          <w:color w:val="auto"/>
        </w:rPr>
      </w:pPr>
    </w:p>
    <w:p>
      <w:pPr>
        <w:jc w:val="both"/>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359" w:firstLine="343"/>
        <w:spacing w:after="0" w:line="259"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Shareholder Vote on Certain Reorganizations</w:t>
      </w:r>
    </w:p>
    <w:p>
      <w:pPr>
        <w:spacing w:after="0" w:line="94"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Under Dutch law, the general meeting must approve resolutions of the Board relating to a significant change in the identity or the character of the Company or the business of the Company, which includes:</w:t>
      </w:r>
    </w:p>
    <w:p>
      <w:pPr>
        <w:spacing w:after="0" w:line="52" w:lineRule="exact"/>
        <w:rPr>
          <w:sz w:val="20"/>
          <w:szCs w:val="20"/>
          <w:color w:val="auto"/>
        </w:rPr>
      </w:pPr>
    </w:p>
    <w:p>
      <w:pPr>
        <w:ind w:left="2100" w:hanging="328"/>
        <w:spacing w:after="0"/>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of the business or virtually the entire business to a third-party;</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67"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6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36"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The absence of such approval shall result in the relevant resolution being null and void but shall not affect the powers of representation of the Board or of the executive directors.</w:t>
      </w:r>
    </w:p>
    <w:p>
      <w:pPr>
        <w:spacing w:after="0" w:line="12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41"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Remuneration of Directors</w:t>
      </w:r>
    </w:p>
    <w:p>
      <w:pPr>
        <w:spacing w:after="0" w:line="94"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u w:val="single" w:color="auto"/>
          <w:color w:val="auto"/>
        </w:rPr>
        <w:t>The Netherlands</w:t>
      </w:r>
      <w:r>
        <w:rPr>
          <w:rFonts w:ascii="Times New Roman" w:cs="Times New Roman" w:eastAsia="Times New Roman" w:hAnsi="Times New Roman"/>
          <w:sz w:val="14"/>
          <w:szCs w:val="14"/>
          <w:color w:val="auto"/>
        </w:rPr>
        <w:t>. 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45"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u w:val="single" w:color="auto"/>
          <w:color w:val="auto"/>
        </w:rPr>
        <w:t>Delaware</w:t>
      </w:r>
      <w:r>
        <w:rPr>
          <w:rFonts w:ascii="Times New Roman" w:cs="Times New Roman" w:eastAsia="Times New Roman" w:hAnsi="Times New Roman"/>
          <w:sz w:val="14"/>
          <w:szCs w:val="14"/>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8"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44"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36"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62" w:lineRule="exact"/>
        <w:rPr>
          <w:sz w:val="20"/>
          <w:szCs w:val="20"/>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classification as senior or subordinated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of the specific series of debt securities relative to other outstanding indebtedness, including subsidiaries’ debt;</w:t>
      </w:r>
    </w:p>
    <w:p>
      <w:pPr>
        <w:spacing w:after="0" w:line="102" w:lineRule="exact"/>
        <w:rPr>
          <w:rFonts w:ascii="Times New Roman" w:cs="Times New Roman" w:eastAsia="Times New Roman" w:hAnsi="Times New Roman"/>
          <w:sz w:val="14"/>
          <w:szCs w:val="14"/>
          <w:color w:val="auto"/>
        </w:rPr>
      </w:pPr>
    </w:p>
    <w:p>
      <w:pPr>
        <w:ind w:left="2100" w:right="859" w:hanging="328"/>
        <w:spacing w:after="0" w:line="283"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and authorized denominations;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may be payable;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at which the debt securities shall bear interest, if any;</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shall accrue, on which such interest shall be payable, and on which a record shall be taken for the determination of holders of the debt securities to whom interest is payable;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and interest shall be payable;</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51"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of the Company to redeem, purchase or repay any debt securities pursuant to any mandatory redemption, sinking fund or other provisions or at the option of a holder of the debt securities;</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and any higher integral multiple of $1,000, the denominations in which the debt securities will be issuable;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the currency or currencies, in which payment of the principal and interest shall be payable;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global securities;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for the defeasance of the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U.S. federal income tax consequences; and</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specific terms, including any deletions from, modifications of or additions to the events of default or covenants described below or in the applicable indenture.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Senior Debt</w:t>
      </w:r>
    </w:p>
    <w:p>
      <w:pPr>
        <w:spacing w:after="0" w:line="94"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Subordinated Debt</w:t>
      </w:r>
    </w:p>
    <w:p>
      <w:pPr>
        <w:spacing w:after="0" w:line="9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70" w:lineRule="exact"/>
        <w:rPr>
          <w:sz w:val="20"/>
          <w:szCs w:val="20"/>
          <w:color w:val="auto"/>
        </w:rPr>
      </w:pPr>
    </w:p>
    <w:p>
      <w:pPr>
        <w:ind w:left="2100" w:right="379" w:hanging="328"/>
        <w:spacing w:after="0" w:line="283" w:lineRule="auto"/>
        <w:tabs>
          <w:tab w:leader="none" w:pos="2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Dutch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51" w:lineRule="exact"/>
        <w:rPr>
          <w:rFonts w:ascii="Times New Roman" w:cs="Times New Roman" w:eastAsia="Times New Roman" w:hAnsi="Times New Roman"/>
          <w:sz w:val="14"/>
          <w:szCs w:val="14"/>
          <w:color w:val="auto"/>
        </w:rPr>
      </w:pPr>
    </w:p>
    <w:p>
      <w:pPr>
        <w:ind w:left="2100" w:right="259" w:hanging="328"/>
        <w:spacing w:after="0" w:line="259" w:lineRule="auto"/>
        <w:tabs>
          <w:tab w:leader="none" w:pos="2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67"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Authentication and Delivery</w:t>
      </w:r>
    </w:p>
    <w:p>
      <w:pPr>
        <w:spacing w:after="0" w:line="94"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color w:val="auto"/>
        </w:rPr>
        <w:t>We will deliver the debt securities to the trustee for authentication, and the trustee will authenticate and deliver the debt securities upon our written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order.</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When we use the term “Event of Default” in the indentures with respect to the debt securities of any series, set forth below are some examples of what we mean:</w:t>
      </w:r>
    </w:p>
    <w:p>
      <w:pPr>
        <w:spacing w:after="0" w:line="52" w:lineRule="exact"/>
        <w:rPr>
          <w:sz w:val="20"/>
          <w:szCs w:val="20"/>
          <w:color w:val="auto"/>
        </w:rPr>
      </w:pPr>
    </w:p>
    <w:p>
      <w:pPr>
        <w:ind w:left="5580" w:right="1339" w:hanging="3892"/>
        <w:spacing w:after="0" w:line="456" w:lineRule="auto"/>
        <w:tabs>
          <w:tab w:leader="none" w:pos="211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on the debt securities when it becomes due and payable at maturity or otherwise; 29</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459" w:hanging="412"/>
        <w:spacing w:after="0" w:line="283" w:lineRule="auto"/>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interest on the debt securities when it becomes due and payable, and such default continues for a period of 30 days;</w:t>
      </w:r>
    </w:p>
    <w:p>
      <w:pPr>
        <w:spacing w:after="0" w:line="51" w:lineRule="exact"/>
        <w:rPr>
          <w:rFonts w:ascii="Times New Roman" w:cs="Times New Roman" w:eastAsia="Times New Roman" w:hAnsi="Times New Roman"/>
          <w:sz w:val="14"/>
          <w:szCs w:val="14"/>
          <w:color w:val="auto"/>
        </w:rPr>
      </w:pPr>
    </w:p>
    <w:p>
      <w:pPr>
        <w:ind w:left="2100" w:right="359" w:hanging="412"/>
        <w:spacing w:after="0" w:line="267" w:lineRule="auto"/>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62" w:lineRule="exact"/>
        <w:rPr>
          <w:rFonts w:ascii="Times New Roman" w:cs="Times New Roman" w:eastAsia="Times New Roman" w:hAnsi="Times New Roman"/>
          <w:sz w:val="14"/>
          <w:szCs w:val="14"/>
          <w:color w:val="auto"/>
        </w:rPr>
      </w:pPr>
    </w:p>
    <w:p>
      <w:pPr>
        <w:ind w:left="2100" w:right="239" w:hanging="412"/>
        <w:spacing w:after="0" w:line="283" w:lineRule="auto"/>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certain events of bankruptcy, insolvency, or similar proceedings with respect to us or any substantial part of our property; or</w:t>
      </w:r>
    </w:p>
    <w:p>
      <w:pPr>
        <w:spacing w:after="0" w:line="51" w:lineRule="exact"/>
        <w:rPr>
          <w:rFonts w:ascii="Times New Roman" w:cs="Times New Roman" w:eastAsia="Times New Roman" w:hAnsi="Times New Roman"/>
          <w:sz w:val="14"/>
          <w:szCs w:val="14"/>
          <w:color w:val="auto"/>
        </w:rPr>
      </w:pPr>
    </w:p>
    <w:p>
      <w:pPr>
        <w:ind w:left="2100" w:hanging="412"/>
        <w:spacing w:after="0"/>
        <w:tabs>
          <w:tab w:leader="none" w:pos="21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Events of Default that may be set forth in the applicable prospectus supplement.</w:t>
      </w:r>
    </w:p>
    <w:p>
      <w:pPr>
        <w:spacing w:after="0" w:line="176" w:lineRule="exact"/>
        <w:rPr>
          <w:sz w:val="20"/>
          <w:szCs w:val="20"/>
          <w:color w:val="auto"/>
        </w:rPr>
      </w:pPr>
    </w:p>
    <w:p>
      <w:pPr>
        <w:ind w:left="1360" w:right="419" w:firstLine="343"/>
        <w:spacing w:after="0" w:line="259" w:lineRule="auto"/>
        <w:rPr>
          <w:sz w:val="20"/>
          <w:szCs w:val="20"/>
          <w:color w:val="auto"/>
        </w:rPr>
      </w:pPr>
      <w:r>
        <w:rPr>
          <w:rFonts w:ascii="Times New Roman" w:cs="Times New Roman" w:eastAsia="Times New Roman" w:hAnsi="Times New Roman"/>
          <w:sz w:val="14"/>
          <w:szCs w:val="14"/>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36"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Satisfaction, Discharge and Defeasance</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may discharge our obligations under each indenture, except as to:</w:t>
      </w:r>
    </w:p>
    <w:p>
      <w:pPr>
        <w:spacing w:after="0" w:line="102" w:lineRule="exact"/>
        <w:rPr>
          <w:sz w:val="20"/>
          <w:szCs w:val="20"/>
          <w:color w:val="auto"/>
        </w:rPr>
      </w:pPr>
    </w:p>
    <w:p>
      <w:pPr>
        <w:ind w:left="2100" w:hanging="328"/>
        <w:spacing w:after="0"/>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registration of transfer and exchange of debt securities, and our right of optional redemption, if 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substitution of mutilated, defaced, destroyed, lost or stolen debt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holders of the debt securities to receive payments of principal and interest;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obligations and immunities of the trustee; and</w:t>
      </w:r>
    </w:p>
    <w:p>
      <w:pPr>
        <w:spacing w:after="0" w:line="10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the holders of the debt securities as beneficiaries with respect to the property deposited with the trustee payable to them (as described below);</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when:</w:t>
      </w:r>
    </w:p>
    <w:p>
      <w:pPr>
        <w:spacing w:after="0" w:line="102" w:lineRule="exact"/>
        <w:rPr>
          <w:sz w:val="20"/>
          <w:szCs w:val="20"/>
          <w:color w:val="auto"/>
        </w:rPr>
      </w:pPr>
    </w:p>
    <w:p>
      <w:pPr>
        <w:ind w:left="2100" w:hanging="328"/>
        <w:spacing w:after="0"/>
        <w:tabs>
          <w:tab w:leader="none" w:pos="21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2" w:lineRule="exact"/>
        <w:rPr>
          <w:rFonts w:ascii="Times New Roman" w:cs="Times New Roman" w:eastAsia="Times New Roman" w:hAnsi="Times New Roman"/>
          <w:sz w:val="14"/>
          <w:szCs w:val="14"/>
          <w:color w:val="auto"/>
        </w:rPr>
      </w:pPr>
    </w:p>
    <w:p>
      <w:pPr>
        <w:ind w:left="2460" w:right="719" w:hanging="257"/>
        <w:spacing w:after="0" w:line="283" w:lineRule="auto"/>
        <w:tabs>
          <w:tab w:leader="none" w:pos="246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of any series issued that have been authenticated and delivered have been delivered by us to the trustee for cancellation; or</w:t>
      </w:r>
    </w:p>
    <w:p>
      <w:pPr>
        <w:spacing w:after="0" w:line="51" w:lineRule="exact"/>
        <w:rPr>
          <w:rFonts w:ascii="Times New Roman" w:cs="Times New Roman" w:eastAsia="Times New Roman" w:hAnsi="Times New Roman"/>
          <w:sz w:val="14"/>
          <w:szCs w:val="14"/>
          <w:color w:val="auto"/>
        </w:rPr>
      </w:pPr>
    </w:p>
    <w:p>
      <w:pPr>
        <w:ind w:left="2460" w:right="519" w:hanging="257"/>
        <w:spacing w:after="0" w:line="261" w:lineRule="auto"/>
        <w:tabs>
          <w:tab w:leader="none" w:pos="246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460" w:right="699"/>
        <w:spacing w:after="0" w:line="283" w:lineRule="auto"/>
        <w:rPr>
          <w:sz w:val="20"/>
          <w:szCs w:val="20"/>
          <w:color w:val="auto"/>
        </w:rPr>
      </w:pPr>
      <w:r>
        <w:rPr>
          <w:rFonts w:ascii="Times New Roman" w:cs="Times New Roman" w:eastAsia="Times New Roman" w:hAnsi="Times New Roman"/>
          <w:sz w:val="14"/>
          <w:szCs w:val="14"/>
          <w:color w:val="auto"/>
        </w:rPr>
        <w:t>sufficient to pay at maturity or upon redemption all debt securities of such series not delivered to the trustee for cancellation, including principal and interest due or to become due on or prior to such date of maturity or redemption;</w:t>
      </w:r>
    </w:p>
    <w:p>
      <w:pPr>
        <w:spacing w:after="0" w:line="52" w:lineRule="exact"/>
        <w:rPr>
          <w:sz w:val="20"/>
          <w:szCs w:val="20"/>
          <w:color w:val="auto"/>
        </w:rPr>
      </w:pPr>
    </w:p>
    <w:p>
      <w:pPr>
        <w:ind w:left="2460" w:hanging="257"/>
        <w:spacing w:after="0"/>
        <w:tabs>
          <w:tab w:leader="none" w:pos="24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then due and payable under such indenture; and</w:t>
      </w:r>
    </w:p>
    <w:p>
      <w:pPr>
        <w:spacing w:after="0" w:line="102" w:lineRule="exact"/>
        <w:rPr>
          <w:rFonts w:ascii="Times New Roman" w:cs="Times New Roman" w:eastAsia="Times New Roman" w:hAnsi="Times New Roman"/>
          <w:sz w:val="14"/>
          <w:szCs w:val="14"/>
          <w:color w:val="auto"/>
        </w:rPr>
      </w:pPr>
    </w:p>
    <w:p>
      <w:pPr>
        <w:ind w:left="2460" w:right="459" w:hanging="257"/>
        <w:spacing w:after="0" w:line="283" w:lineRule="auto"/>
        <w:tabs>
          <w:tab w:leader="none" w:pos="24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25"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order to exercise legal defeasance or covenant defeasance with respect to outstanding debt securities of any series:</w:t>
      </w:r>
    </w:p>
    <w:p>
      <w:pPr>
        <w:spacing w:after="0" w:line="102" w:lineRule="exact"/>
        <w:rPr>
          <w:sz w:val="20"/>
          <w:szCs w:val="20"/>
          <w:color w:val="auto"/>
        </w:rPr>
      </w:pPr>
    </w:p>
    <w:p>
      <w:pPr>
        <w:ind w:left="2100" w:right="619" w:hanging="328"/>
        <w:spacing w:after="0" w:line="267"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in an amount;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obligations; or</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61"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money and U.S. government obligations, 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67" w:lineRule="exact"/>
        <w:rPr>
          <w:rFonts w:ascii="Times New Roman" w:cs="Times New Roman" w:eastAsia="Times New Roman" w:hAnsi="Times New Roman"/>
          <w:sz w:val="14"/>
          <w:szCs w:val="14"/>
          <w:color w:val="auto"/>
        </w:rPr>
      </w:pPr>
    </w:p>
    <w:p>
      <w:pPr>
        <w:jc w:val="both"/>
        <w:ind w:left="2100" w:right="399" w:hanging="328"/>
        <w:spacing w:after="0" w:line="267"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62"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relating to bankruptcy or insolvency and, in the case of a covenant defeasance, no other default has occurred and is continuing at any time;</w:t>
      </w:r>
    </w:p>
    <w:p>
      <w:pPr>
        <w:spacing w:after="0" w:line="51"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51"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stating that all conditions precedent with respect to the defeasance have been complied with.</w:t>
      </w:r>
    </w:p>
    <w:p>
      <w:pPr>
        <w:spacing w:after="0" w:line="12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color w:val="auto"/>
        </w:rPr>
        <w:t>We are required to furnish to each trustee an annual statement as to compliance with all conditions and covenants under the indenture.</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8"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36"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any warrants we offer will include specific terms relating to the offering. These terms will include some or all of the following:</w:t>
      </w:r>
    </w:p>
    <w:p>
      <w:pPr>
        <w:spacing w:after="0" w:line="52" w:lineRule="exact"/>
        <w:rPr>
          <w:sz w:val="20"/>
          <w:szCs w:val="20"/>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 offered;</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number and terms of the debt securities, ordinary shares or other securities purchasable upon exercise of the warrants and procedures by which those numbers may be adjusted;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 warrants;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or periods during which the warrants are exercisable;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securities with which the warrants are issued;</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83" w:lineRule="auto"/>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warrants are issued as a unit with another security, the date on and after which the warrants and the other security will be separately transferable;</w:t>
      </w:r>
    </w:p>
    <w:p>
      <w:pPr>
        <w:spacing w:after="0" w:line="51"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exercise price is not payable in U.S. dollars, the foreign currency, currency unit or composite currency in which the exercise price is denominated;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minimum or maximum amount of warrants that may be exercised at any one time;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relating to the modification of the warrants;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procedures and limitations relating to the transferability, exchange or exercise of the warrants;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the warrants.</w:t>
      </w:r>
    </w:p>
    <w:p>
      <w:pPr>
        <w:spacing w:after="0" w:line="176"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The terms of any warrants to be issued and a description of the material provisions of the applicable warrant agreement will be set forth in the applicable prospectus supplement.</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78"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125"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Each purchase contract will entitle the holder thereof to purchase or sell, and obligate us to sell or purchase, on specified dates, such securities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4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8"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As specified in the applicable prospectus supplement, we may issue units consisting of one or more ordinary shares, debt securities, warrants, purchase contracts or any combination of such securities. The applicable prospectus supplement will describe:</w:t>
      </w:r>
    </w:p>
    <w:p>
      <w:pPr>
        <w:spacing w:after="0" w:line="52" w:lineRule="exact"/>
        <w:rPr>
          <w:sz w:val="20"/>
          <w:szCs w:val="20"/>
          <w:color w:val="auto"/>
        </w:rPr>
      </w:pPr>
    </w:p>
    <w:p>
      <w:pPr>
        <w:ind w:left="2100" w:right="699" w:hanging="328"/>
        <w:spacing w:after="0" w:line="283" w:lineRule="auto"/>
        <w:tabs>
          <w:tab w:leader="none" w:pos="21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the ordinary shares, debt securities, warrants and/or purchase contracts comprising the units, including whether and under what circumstances the securities comprising the units may be traded separately;</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FORMS OF SECURITIES</w:t>
      </w:r>
    </w:p>
    <w:p>
      <w:pPr>
        <w:spacing w:after="0" w:line="178"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Registered Global Securities</w:t>
      </w:r>
    </w:p>
    <w:p>
      <w:pPr>
        <w:spacing w:after="0" w:line="9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44"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6"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47"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Pharvaris N.V., its affiliates, the trustees, the warrant agents, the unit agents or any other agent of Pharvaris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may sell the securities in one or more of the following ways (or in any combination) from time to time:</w:t>
      </w:r>
    </w:p>
    <w:p>
      <w:pPr>
        <w:spacing w:after="0" w:line="102" w:lineRule="exact"/>
        <w:rPr>
          <w:sz w:val="20"/>
          <w:szCs w:val="20"/>
          <w:color w:val="auto"/>
        </w:rPr>
      </w:pPr>
    </w:p>
    <w:p>
      <w:pPr>
        <w:ind w:left="2100" w:hanging="328"/>
        <w:spacing w:after="0"/>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 limited number of purchasers or to a single purchaser;</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to or through a market maker or into an existing trading market on an exchange or otherwise;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by applicable law and described in the applicable prospectus supplement.</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prospectus supplement will state the terms of the offering of the securities, including:</w:t>
      </w:r>
    </w:p>
    <w:p>
      <w:pPr>
        <w:spacing w:after="0" w:line="102" w:lineRule="exact"/>
        <w:rPr>
          <w:sz w:val="20"/>
          <w:szCs w:val="20"/>
          <w:color w:val="auto"/>
        </w:rPr>
      </w:pPr>
    </w:p>
    <w:p>
      <w:pPr>
        <w:ind w:left="2100" w:hanging="328"/>
        <w:spacing w:after="0"/>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such securities and the proceeds to be received by us, if 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Any public offering price and any discounts or concessions allowed or reallowed or paid to dealers may be changed from time to time.</w:t>
      </w:r>
    </w:p>
    <w:p>
      <w:pPr>
        <w:spacing w:after="0" w:line="176"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If underwriters are used in the sale, the securities will be acquired by the underwriters for their own account and may be resold from time to time in one or more transactions, including:</w:t>
      </w:r>
    </w:p>
    <w:p>
      <w:pPr>
        <w:spacing w:after="0" w:line="52" w:lineRule="exact"/>
        <w:rPr>
          <w:sz w:val="20"/>
          <w:szCs w:val="20"/>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transactions;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public offering price or prices, which may be changed;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6"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25"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securities may be sold through agents from time to time. The prospectus supplement will name any agent involved in the offer or sale of the securities and any commissions paid to them. Generally, any agent will be acting on commercially reasonable efforts basis for the period of its appointment.</w:t>
      </w:r>
    </w:p>
    <w:p>
      <w:pPr>
        <w:spacing w:after="0" w:line="13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4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41"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5" w:lineRule="exact"/>
        <w:rPr>
          <w:sz w:val="20"/>
          <w:szCs w:val="20"/>
          <w:color w:val="auto"/>
        </w:rPr>
      </w:pPr>
    </w:p>
    <w:p>
      <w:pPr>
        <w:ind w:left="1360" w:right="599" w:firstLine="343"/>
        <w:spacing w:after="0" w:line="267" w:lineRule="auto"/>
        <w:rPr>
          <w:sz w:val="20"/>
          <w:szCs w:val="20"/>
          <w:color w:val="auto"/>
        </w:rPr>
      </w:pPr>
      <w:r>
        <w:rPr>
          <w:rFonts w:ascii="Times New Roman" w:cs="Times New Roman" w:eastAsia="Times New Roman" w:hAnsi="Times New Roman"/>
          <w:sz w:val="14"/>
          <w:szCs w:val="14"/>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36"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Underwriters and agents may be customers of, engage in transactions with, or perform services for us and our affiliates in the ordinary course of business.</w:t>
      </w:r>
    </w:p>
    <w:p>
      <w:pPr>
        <w:spacing w:after="0" w:line="12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other than our ordinary shares,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8" w:lineRule="exact"/>
        <w:rPr>
          <w:sz w:val="20"/>
          <w:szCs w:val="20"/>
          <w:color w:val="auto"/>
        </w:rPr>
      </w:pPr>
    </w:p>
    <w:p>
      <w:pPr>
        <w:jc w:val="both"/>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incorporate by reference the following documents or information that we have filed with the SEC:</w:t>
      </w:r>
    </w:p>
    <w:p>
      <w:pPr>
        <w:spacing w:after="0" w:line="102" w:lineRule="exact"/>
        <w:rPr>
          <w:sz w:val="20"/>
          <w:szCs w:val="20"/>
          <w:color w:val="auto"/>
        </w:rPr>
      </w:pPr>
    </w:p>
    <w:p>
      <w:pPr>
        <w:ind w:left="2100" w:hanging="328"/>
        <w:spacing w:after="0"/>
        <w:tabs>
          <w:tab w:leader="none" w:pos="21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20-F for the fiscal year ended December 31, 2023 filed on </w:t>
      </w:r>
      <w:hyperlink r:id="rId105">
        <w:r>
          <w:rPr>
            <w:rFonts w:ascii="Times New Roman" w:cs="Times New Roman" w:eastAsia="Times New Roman" w:hAnsi="Times New Roman"/>
            <w:sz w:val="14"/>
            <w:szCs w:val="14"/>
            <w:u w:val="single" w:color="auto"/>
            <w:color w:val="0000EE"/>
          </w:rPr>
          <w:t>April 10, 2024</w:t>
        </w:r>
      </w:hyperlink>
      <w:r>
        <w:rPr>
          <w:rFonts w:ascii="Times New Roman" w:cs="Times New Roman" w:eastAsia="Times New Roman" w:hAnsi="Times New Roman"/>
          <w:sz w:val="14"/>
          <w:szCs w:val="14"/>
          <w:color w:val="auto"/>
        </w:rPr>
        <w:t>;</w:t>
      </w:r>
    </w:p>
    <w:p>
      <w:pPr>
        <w:spacing w:after="0" w:line="102" w:lineRule="exact"/>
        <w:rPr>
          <w:rFonts w:ascii="Times New Roman" w:cs="Times New Roman" w:eastAsia="Times New Roman" w:hAnsi="Times New Roman"/>
          <w:sz w:val="14"/>
          <w:szCs w:val="14"/>
          <w:color w:val="auto"/>
        </w:rPr>
      </w:pPr>
    </w:p>
    <w:p>
      <w:pPr>
        <w:ind w:left="2100" w:right="859" w:hanging="328"/>
        <w:spacing w:after="0" w:line="283" w:lineRule="auto"/>
        <w:tabs>
          <w:tab w:leader="none" w:pos="2100" w:val="left"/>
        </w:tabs>
        <w:numPr>
          <w:ilvl w:val="0"/>
          <w:numId w:val="6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Forms 6-K filed on </w:t>
      </w:r>
      <w:hyperlink r:id="rId106">
        <w:r>
          <w:rPr>
            <w:rFonts w:ascii="Times New Roman" w:cs="Times New Roman" w:eastAsia="Times New Roman" w:hAnsi="Times New Roman"/>
            <w:sz w:val="14"/>
            <w:szCs w:val="14"/>
            <w:u w:val="single" w:color="auto"/>
            <w:color w:val="0000EE"/>
          </w:rPr>
          <w:t>January 8,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(other than exhibit 99.2), </w:t>
      </w:r>
      <w:hyperlink r:id="rId107">
        <w:r>
          <w:rPr>
            <w:rFonts w:ascii="Times New Roman" w:cs="Times New Roman" w:eastAsia="Times New Roman" w:hAnsi="Times New Roman"/>
            <w:sz w:val="14"/>
            <w:szCs w:val="14"/>
            <w:u w:val="single" w:color="auto"/>
            <w:color w:val="0000EE"/>
          </w:rPr>
          <w:t>January 22,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(other than exhibit 99.2), </w:t>
      </w:r>
      <w:hyperlink r:id="rId108">
        <w:r>
          <w:rPr>
            <w:rFonts w:ascii="Times New Roman" w:cs="Times New Roman" w:eastAsia="Times New Roman" w:hAnsi="Times New Roman"/>
            <w:sz w:val="14"/>
            <w:szCs w:val="14"/>
            <w:u w:val="single" w:color="auto"/>
            <w:color w:val="0000EE"/>
          </w:rPr>
          <w:t>February 7, 2024</w:t>
        </w:r>
      </w:hyperlink>
      <w:r>
        <w:rPr>
          <w:rFonts w:ascii="Times New Roman" w:cs="Times New Roman" w:eastAsia="Times New Roman" w:hAnsi="Times New Roman"/>
          <w:sz w:val="14"/>
          <w:szCs w:val="14"/>
          <w:color w:val="auto"/>
        </w:rPr>
        <w:t xml:space="preserve">, </w:t>
      </w:r>
      <w:hyperlink r:id="rId109">
        <w:r>
          <w:rPr>
            <w:rFonts w:ascii="Times New Roman" w:cs="Times New Roman" w:eastAsia="Times New Roman" w:hAnsi="Times New Roman"/>
            <w:sz w:val="14"/>
            <w:szCs w:val="14"/>
            <w:u w:val="single" w:color="auto"/>
            <w:color w:val="0000EE"/>
          </w:rPr>
          <w:t>February 16, 2024</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(other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than exhibits 99.4 and 99.5),</w:t>
      </w:r>
      <w:r>
        <w:rPr>
          <w:rFonts w:ascii="Times New Roman" w:cs="Times New Roman" w:eastAsia="Times New Roman" w:hAnsi="Times New Roman"/>
          <w:sz w:val="14"/>
          <w:szCs w:val="14"/>
          <w:color w:val="0000EE"/>
        </w:rPr>
        <w:t xml:space="preserve"> </w:t>
      </w:r>
      <w:hyperlink r:id="rId110">
        <w:r>
          <w:rPr>
            <w:rFonts w:ascii="Times New Roman" w:cs="Times New Roman" w:eastAsia="Times New Roman" w:hAnsi="Times New Roman"/>
            <w:sz w:val="14"/>
            <w:szCs w:val="14"/>
            <w:u w:val="single" w:color="auto"/>
            <w:color w:val="0000EE"/>
          </w:rPr>
          <w:t xml:space="preserve">March 6, 2024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11">
        <w:r>
          <w:rPr>
            <w:rFonts w:ascii="Times New Roman" w:cs="Times New Roman" w:eastAsia="Times New Roman" w:hAnsi="Times New Roman"/>
            <w:sz w:val="14"/>
            <w:szCs w:val="14"/>
            <w:u w:val="single" w:color="auto"/>
            <w:color w:val="0000EE"/>
          </w:rPr>
          <w:t xml:space="preserve">April 10, 2024 </w:t>
        </w:r>
      </w:hyperlink>
      <w:r>
        <w:rPr>
          <w:rFonts w:ascii="Times New Roman" w:cs="Times New Roman" w:eastAsia="Times New Roman" w:hAnsi="Times New Roman"/>
          <w:sz w:val="14"/>
          <w:szCs w:val="14"/>
          <w:color w:val="000000"/>
        </w:rPr>
        <w:t>(other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than exhibit 99.1);</w:t>
      </w:r>
    </w:p>
    <w:p>
      <w:pPr>
        <w:spacing w:after="0" w:line="51" w:lineRule="exact"/>
        <w:rPr>
          <w:rFonts w:ascii="Times New Roman" w:cs="Times New Roman" w:eastAsia="Times New Roman" w:hAnsi="Times New Roman"/>
          <w:sz w:val="14"/>
          <w:szCs w:val="14"/>
          <w:color w:val="0000EE"/>
        </w:rPr>
      </w:pPr>
    </w:p>
    <w:p>
      <w:pPr>
        <w:ind w:left="2100" w:right="519" w:hanging="328"/>
        <w:spacing w:after="0" w:line="267" w:lineRule="auto"/>
        <w:tabs>
          <w:tab w:leader="none" w:pos="21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contained in our registration statement on </w:t>
      </w:r>
      <w:hyperlink r:id="rId58">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February 4, 2021, as updated by the description of our ordinary shares filed as </w:t>
      </w:r>
      <w:hyperlink r:id="rId112">
        <w:r>
          <w:rPr>
            <w:rFonts w:ascii="Times New Roman" w:cs="Times New Roman" w:eastAsia="Times New Roman" w:hAnsi="Times New Roman"/>
            <w:sz w:val="14"/>
            <w:szCs w:val="14"/>
            <w:u w:val="single" w:color="auto"/>
            <w:color w:val="0000EE"/>
          </w:rPr>
          <w:t>Exhibit 2.1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20-F for the fiscal year ended December 31, 2023.</w:t>
      </w:r>
    </w:p>
    <w:p>
      <w:pPr>
        <w:spacing w:after="0" w:line="136" w:lineRule="exact"/>
        <w:rPr>
          <w:rFonts w:ascii="Times New Roman" w:cs="Times New Roman" w:eastAsia="Times New Roman" w:hAnsi="Times New Roman"/>
          <w:sz w:val="14"/>
          <w:szCs w:val="14"/>
          <w:color w:val="auto"/>
        </w:rPr>
      </w:pPr>
    </w:p>
    <w:p>
      <w:pPr>
        <w:jc w:val="both"/>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6-K that it is being incorporated by reference into this prospectus.</w:t>
      </w:r>
    </w:p>
    <w:p>
      <w:pPr>
        <w:spacing w:after="0" w:line="141" w:lineRule="exact"/>
        <w:rPr>
          <w:rFonts w:ascii="Times New Roman" w:cs="Times New Roman" w:eastAsia="Times New Roman" w:hAnsi="Times New Roman"/>
          <w:sz w:val="14"/>
          <w:szCs w:val="14"/>
          <w:color w:val="auto"/>
        </w:rPr>
      </w:pPr>
    </w:p>
    <w:p>
      <w:pPr>
        <w:jc w:val="both"/>
        <w:ind w:left="1360" w:right="259" w:firstLine="343"/>
        <w:spacing w:after="0" w:line="297" w:lineRule="auto"/>
        <w:rPr>
          <w:sz w:val="20"/>
          <w:szCs w:val="20"/>
          <w:color w:val="auto"/>
        </w:rPr>
      </w:pPr>
      <w:r>
        <w:rPr>
          <w:rFonts w:ascii="Times New Roman" w:cs="Times New Roman" w:eastAsia="Times New Roman" w:hAnsi="Times New Roman"/>
          <w:sz w:val="13"/>
          <w:szCs w:val="13"/>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at Emmy Noetherweg 2, 2333 BK Leiden, The Netherlands or via telephone at +31 (0)71 203 6410.</w:t>
      </w:r>
    </w:p>
    <w:p>
      <w:pPr>
        <w:spacing w:after="0" w:line="66"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ENFORCEMENT OF JUDGMENTS</w:t>
      </w:r>
    </w:p>
    <w:p>
      <w:pPr>
        <w:spacing w:after="0" w:line="178"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4"/>
          <w:szCs w:val="14"/>
          <w:i w:val="1"/>
          <w:iCs w:val="1"/>
          <w:color w:val="auto"/>
        </w:rPr>
        <w:t>functionarissen</w:t>
      </w:r>
      <w:r>
        <w:rPr>
          <w:rFonts w:ascii="Times New Roman" w:cs="Times New Roman" w:eastAsia="Times New Roman" w:hAnsi="Times New Roman"/>
          <w:sz w:val="14"/>
          <w:szCs w:val="14"/>
          <w:color w:val="auto"/>
        </w:rPr>
        <w:t>) (including our directors and executive officers) are governed in certain respects by the laws of the Netherlands.</w:t>
      </w:r>
    </w:p>
    <w:p>
      <w:pPr>
        <w:spacing w:after="0" w:line="136" w:lineRule="exact"/>
        <w:rPr>
          <w:sz w:val="20"/>
          <w:szCs w:val="20"/>
          <w:color w:val="auto"/>
        </w:rPr>
      </w:pPr>
    </w:p>
    <w:p>
      <w:pPr>
        <w:jc w:val="both"/>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41"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Also, service of process against non-residents of the United States can in principle (absent, for example, a valid choice of domicile) not be effected in the United States.</w:t>
      </w:r>
    </w:p>
    <w:p>
      <w:pPr>
        <w:spacing w:after="0" w:line="12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Furthermore, substantially all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4"/>
          <w:szCs w:val="14"/>
          <w:i w:val="1"/>
          <w:iCs w:val="1"/>
          <w:color w:val="auto"/>
        </w:rPr>
        <w:t>behoorlijke rechtspleging</w:t>
      </w:r>
      <w:r>
        <w:rPr>
          <w:rFonts w:ascii="Times New Roman" w:cs="Times New Roman" w:eastAsia="Times New Roman" w:hAnsi="Times New Roman"/>
          <w:sz w:val="14"/>
          <w:szCs w:val="14"/>
          <w:color w:val="auto"/>
        </w:rPr>
        <w:t>), (iii) binding effect of such United States judgment is not contrary to Dutch public order (</w:t>
      </w:r>
      <w:r>
        <w:rPr>
          <w:rFonts w:ascii="Times New Roman" w:cs="Times New Roman" w:eastAsia="Times New Roman" w:hAnsi="Times New Roman"/>
          <w:sz w:val="14"/>
          <w:szCs w:val="14"/>
          <w:i w:val="1"/>
          <w:iCs w:val="1"/>
          <w:color w:val="auto"/>
        </w:rPr>
        <w:t>openbare orde</w:t>
      </w:r>
      <w:r>
        <w:rPr>
          <w:rFonts w:ascii="Times New Roman" w:cs="Times New Roman" w:eastAsia="Times New Roman" w:hAnsi="Times New Roman"/>
          <w:sz w:val="14"/>
          <w:szCs w:val="14"/>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47" w:lineRule="exact"/>
        <w:rPr>
          <w:sz w:val="20"/>
          <w:szCs w:val="20"/>
          <w:color w:val="auto"/>
        </w:rPr>
      </w:pPr>
    </w:p>
    <w:p>
      <w:pPr>
        <w:ind w:left="1360" w:right="459" w:firstLine="343"/>
        <w:spacing w:after="0" w:line="259" w:lineRule="auto"/>
        <w:rPr>
          <w:sz w:val="20"/>
          <w:szCs w:val="20"/>
          <w:color w:val="auto"/>
        </w:rPr>
      </w:pPr>
      <w:r>
        <w:rPr>
          <w:rFonts w:ascii="Times New Roman" w:cs="Times New Roman" w:eastAsia="Times New Roman" w:hAnsi="Times New Roman"/>
          <w:sz w:val="14"/>
          <w:szCs w:val="14"/>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or experience difficulty, to enforce a judgment obtained in a United States court against us or our officers.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78"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5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1"/>
          <w:szCs w:val="11"/>
          <w:b w:val="1"/>
          <w:bCs w:val="1"/>
          <w:color w:val="auto"/>
        </w:rPr>
        <w:t>Amount</w:t>
      </w:r>
    </w:p>
    <w:p>
      <w:pPr>
        <w:spacing w:after="0" w:line="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1"/>
          <w:szCs w:val="11"/>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-3175</wp:posOffset>
            </wp:positionV>
            <wp:extent cx="52768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527685"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-92075</wp:posOffset>
            </wp:positionV>
            <wp:extent cx="3701415" cy="1066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Printing and engraving expenses</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108585</wp:posOffset>
            </wp:positionV>
            <wp:extent cx="60134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right"/>
        <w:ind w:right="1659"/>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            *</w:t>
      </w:r>
    </w:p>
    <w:p>
      <w:pPr>
        <w:spacing w:after="0" w:line="22"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2768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27685" cy="6985"/>
                    </a:xfrm>
                    <a:prstGeom prst="rect">
                      <a:avLst/>
                    </a:prstGeom>
                    <a:noFill/>
                  </pic:spPr>
                </pic:pic>
              </a:graphicData>
            </a:graphic>
          </wp:anchor>
        </w:drawing>
      </w:r>
    </w:p>
    <w:p>
      <w:pPr>
        <w:ind w:left="765" w:hanging="765"/>
        <w:spacing w:after="0"/>
        <w:tabs>
          <w:tab w:leader="none" w:pos="765"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52768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276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52768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527685" cy="698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6955" w:space="720"/>
            <w:col w:w="2484"/>
          </w:cols>
          <w:pgMar w:left="300" w:top="386" w:right="1440" w:bottom="1440" w:gutter="0" w:footer="0" w:header="0"/>
          <w:type w:val="continuous"/>
        </w:sectPr>
      </w:pPr>
    </w:p>
    <w:p>
      <w:pPr>
        <w:ind w:left="1680" w:hanging="329"/>
        <w:spacing w:after="0"/>
        <w:tabs>
          <w:tab w:leader="none" w:pos="16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3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validity of the ordinary shares and certain other matters of Dutch law will be passed upon for us by NautaDutilh N.V. Certain matters of U.S.</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federal and New York State law will be passed upon for us by Kirkland &amp; Ellis LLP, New York, New York.</w:t>
      </w:r>
    </w:p>
    <w:p>
      <w:pPr>
        <w:spacing w:after="0" w:line="3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20-F for the year ended December 31, 2023 have been so incorporated in reliance on the report of PricewaterhouseCoopers Accountants N.V., an independent registered public accounting firm, given on the authority of said firm as experts in auditing and accounting.</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196215</wp:posOffset>
            </wp:positionV>
            <wp:extent cx="545211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452110" cy="1333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236220</wp:posOffset>
            </wp:positionV>
            <wp:extent cx="54521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3,874,664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135255</wp:posOffset>
            </wp:positionV>
            <wp:extent cx="1870710"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18707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b w:val="1"/>
          <w:bCs w:val="1"/>
          <w:color w:val="auto"/>
        </w:rPr>
        <w:t>Pharvaris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704850</wp:posOffset>
            </wp:positionV>
            <wp:extent cx="114935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199390</wp:posOffset>
            </wp:positionV>
            <wp:extent cx="114935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Morgan Stanley</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Leerink Partners</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Cantor</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676275</wp:posOffset>
            </wp:positionV>
            <wp:extent cx="114935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335915</wp:posOffset>
            </wp:positionV>
            <wp:extent cx="545211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389255</wp:posOffset>
            </wp:positionV>
            <wp:extent cx="545211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545211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82" w:name="page83"/>
    <w:bookmarkEnd w:id="82"/>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Pharvaris N.V.</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5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EUR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4,455,863</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$ 29.68</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$ 18,263.73</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132,250,013.84</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0.12 par</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$ 18,263.73</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132,250,013.84</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$ 18,263.73</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260" w:hanging="184"/>
        <w:spacing w:after="0" w:line="229" w:lineRule="auto"/>
        <w:tabs>
          <w:tab w:leader="none" w:pos="220" w:val="left"/>
        </w:tabs>
        <w:numPr>
          <w:ilvl w:val="0"/>
          <w:numId w:val="72"/>
        </w:numPr>
        <w:rPr>
          <w:rFonts w:ascii="Arial" w:cs="Arial" w:eastAsia="Arial" w:hAnsi="Arial"/>
          <w:sz w:val="21"/>
          <w:szCs w:val="21"/>
          <w:color w:val="auto"/>
          <w:vertAlign w:val="superscript"/>
        </w:rPr>
      </w:pPr>
      <w:r>
        <w:rPr>
          <w:rFonts w:ascii="Arial" w:cs="Arial" w:eastAsia="Arial" w:hAnsi="Arial"/>
          <w:sz w:val="17"/>
          <w:szCs w:val="17"/>
          <w:color w:val="auto"/>
        </w:rPr>
        <w:t>(a) The registration fee is calculated in accordance with Rule 457(r) under the Securities Act of 1933, as amended (the "Securities Act"). This "Calculation of Filing Fee" table shall be deemed to update the "Calculation of Filing Fee" table in Pharvaris N.V.'s Registration Statement on Form F-3 (No. 333-278650), in accordance with Rules 456(b) and 457(r) under the Securities Act. (b) Includes 581,199 ordinary shares that the underwriters have an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819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2"/>
          </w:tcPr>
          <w:p>
            <w:pPr>
              <w:ind w:left="58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9"/>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maximum aggregate offering price of the securities to which the prospectus relates is $132,250,013.84.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72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lowerRoman"/>
      <w:start w:val="2"/>
    </w:lvl>
  </w:abstractNum>
  <w:abstractNum w:abstractNumId="10">
    <w:nsid w:val="3855585C"/>
    <w:multiLevelType w:val="hybridMultilevel"/>
    <w:lvl w:ilvl="0">
      <w:lvlJc w:val="left"/>
      <w:lvlText w:val="(%1)"/>
      <w:numFmt w:val="lowerRoman"/>
      <w:start w:val="1"/>
    </w:lvl>
  </w:abstractNum>
  <w:abstractNum w:abstractNumId="11">
    <w:nsid w:val="70A64E2A"/>
    <w:multiLevelType w:val="hybridMultilevel"/>
    <w:lvl w:ilvl="0">
      <w:lvlJc w:val="left"/>
      <w:lvlText w:val="(%1)"/>
      <w:numFmt w:val="lowerRoman"/>
      <w:start w:val="3"/>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lowerRoman"/>
      <w:start w:val="1"/>
    </w:lvl>
  </w:abstractNum>
  <w:abstractNum w:abstractNumId="14">
    <w:nsid w:val="1D4ED43B"/>
    <w:multiLevelType w:val="hybridMultilevel"/>
    <w:lvl w:ilvl="0">
      <w:lvlJc w:val="left"/>
      <w:lvlText w:val="(%1)"/>
      <w:numFmt w:val="lowerRoman"/>
      <w:start w:val="6"/>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lowerRoman"/>
      <w:start w:val="1"/>
    </w:lvl>
  </w:abstractNum>
  <w:abstractNum w:abstractNumId="17">
    <w:nsid w:val="57E4CCAF"/>
    <w:multiLevelType w:val="hybridMultilevel"/>
    <w:lvl w:ilvl="0">
      <w:lvlJc w:val="left"/>
      <w:lvlText w:val="(%1)"/>
      <w:numFmt w:val="lowerRoman"/>
      <w:start w:val="1"/>
    </w:lvl>
  </w:abstractNum>
  <w:abstractNum w:abstractNumId="18">
    <w:nsid w:val="7A6D8D3C"/>
    <w:multiLevelType w:val="hybridMultilevel"/>
    <w:lvl w:ilvl="0">
      <w:lvlJc w:val="left"/>
      <w:lvlText w:val="(%1)"/>
      <w:numFmt w:val="lowerRoman"/>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1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2"/>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upperLetter"/>
      <w:start w:val="2"/>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upperLetter"/>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upperLetter"/>
      <w:start w:val="1"/>
    </w:lvl>
    <w:lvl w:ilvl="1">
      <w:lvlJc w:val="left"/>
      <w:lvlText w:val="•"/>
      <w:numFmt w:val="bullet"/>
      <w:start w:val="1"/>
    </w:lvl>
  </w:abstractNum>
  <w:abstractNum w:abstractNumId="36">
    <w:nsid w:val="4F4EF005"/>
    <w:multiLevelType w:val="hybridMultilevel"/>
    <w:lvl w:ilvl="0">
      <w:lvlJc w:val="left"/>
      <w:lvlText w:val="%1."/>
      <w:numFmt w:val="upperLetter"/>
      <w:start w:val="4"/>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upperLetter"/>
      <w:start w:val="5"/>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upperLetter"/>
      <w:start w:val="6"/>
    </w:lvl>
  </w:abstractNum>
  <w:abstractNum w:abstractNumId="42">
    <w:nsid w:val="180115BE"/>
    <w:multiLevelType w:val="hybridMultilevel"/>
    <w:lvl w:ilvl="0">
      <w:lvlJc w:val="left"/>
      <w:lvlText w:val="%1."/>
      <w:numFmt w:val="upperLetter"/>
      <w:start w:val="7"/>
    </w:lvl>
  </w:abstractNum>
  <w:abstractNum w:abstractNumId="43">
    <w:nsid w:val="235BA861"/>
    <w:multiLevelType w:val="hybridMultilevel"/>
    <w:lvl w:ilvl="0">
      <w:lvlJc w:val="left"/>
      <w:lvlText w:val="%1."/>
      <w:numFmt w:val="upperLetter"/>
      <w:start w:val="8"/>
    </w:lvl>
  </w:abstractNum>
  <w:abstractNum w:abstractNumId="44">
    <w:nsid w:val="47398C89"/>
    <w:multiLevelType w:val="hybridMultilevel"/>
    <w:lvl w:ilvl="0">
      <w:lvlJc w:val="left"/>
      <w:lvlText w:val="(%1)"/>
      <w:numFmt w:val="lowerRoman"/>
      <w:start w:val="2"/>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lowerRoman"/>
      <w:start w:val="2"/>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lowerRoman"/>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2"/>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lvl w:ilvl="1">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e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jpe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56" Type="http://schemas.openxmlformats.org/officeDocument/2006/relationships/hyperlink" Target="http://www.sec.gov/ix?doc=/Archives/edgar/data/1830487/000183048726000013/phvs-20251231.htm" TargetMode="External"/><Relationship Id="rId57" Type="http://schemas.openxmlformats.org/officeDocument/2006/relationships/hyperlink" Target="http://www.sec.gov/Archives/edgar/data/1830487/000119312526009705/corporate_presentation_j.htm" TargetMode="External"/><Relationship Id="rId58" Type="http://schemas.openxmlformats.org/officeDocument/2006/relationships/hyperlink" Target="http://www.sec.gov/Archives/edgar/data/1830487/000119312521028346/d91705d8a12b.htm" TargetMode="External"/><Relationship Id="rId59" Type="http://schemas.openxmlformats.org/officeDocument/2006/relationships/hyperlink" Target="http://www.sec.gov/Archives/edgar/data/1830487/000183048726000013/phvs-ex2_1.htm" TargetMode="External"/><Relationship Id="rId105" Type="http://schemas.openxmlformats.org/officeDocument/2006/relationships/hyperlink" Target="http://www.sec.gov/ix?doc=/Archives/edgar/data/0001830487/000095017024043358/phvs-20231231.htm" TargetMode="External"/><Relationship Id="rId106" Type="http://schemas.openxmlformats.org/officeDocument/2006/relationships/hyperlink" Target="http://www.sec.gov/Archives/edgar/data/1830487/000095017024002680/corporate_presentation_j.htm" TargetMode="External"/><Relationship Id="rId107" Type="http://schemas.openxmlformats.org/officeDocument/2006/relationships/hyperlink" Target="http://www.sec.gov/Archives/edgar/data/1830487/000095017024005923/corp_presentation_2024_u.htm" TargetMode="External"/><Relationship Id="rId108" Type="http://schemas.openxmlformats.org/officeDocument/2006/relationships/hyperlink" Target="http://www.sec.gov/Archives/edgar/data/1830487/000095017024012166/registration_rights_agre.htm" TargetMode="External"/><Relationship Id="rId109" Type="http://schemas.openxmlformats.org/officeDocument/2006/relationships/hyperlink" Target="http://www.sec.gov/Archives/edgar/data/1830487/000095017024016144/6-k_egm_pr_announcement.htm" TargetMode="External"/><Relationship Id="rId110" Type="http://schemas.openxmlformats.org/officeDocument/2006/relationships/hyperlink" Target="http://www.sec.gov/Archives/edgar/data/1830487/000095017024027155/egm_2024.htm" TargetMode="External"/><Relationship Id="rId111" Type="http://schemas.openxmlformats.org/officeDocument/2006/relationships/hyperlink" Target="http://www.sec.gov/Archives/edgar/data/1830487/000095017024043354/pr_fin_results_2023.htm" TargetMode="External"/><Relationship Id="rId112" Type="http://schemas.openxmlformats.org/officeDocument/2006/relationships/hyperlink" Target="http://www.sec.gov/Archives/edgar/data/1830487/000095017024043358/phvs-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2026-05-08T16:17:11Z</dcterms:created>
  <dcterms:modified xsi:type="dcterms:W3CDTF">2026-05-08T16:17:11Z</dcterms:modified>
</cp:coreProperties>
</file>