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PURSUANT TO RULES 13d-</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1(b),(c) AND (d) AND AMENDMENTS THERETO FILED PURSUANT TO 13d-2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2)</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Pharvaris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Ordinary shares, par value €0.12 par value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N69605108</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December 31, 2022</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7"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9" w:lineRule="exact"/>
        <w:rPr>
          <w:rFonts w:ascii="MS PGothic" w:cs="MS PGothic" w:eastAsia="MS PGothic" w:hAnsi="MS PGothic"/>
          <w:sz w:val="22"/>
          <w:szCs w:val="22"/>
          <w:color w:val="auto"/>
        </w:rPr>
      </w:pPr>
    </w:p>
    <w:p>
      <w:pPr>
        <w:jc w:val="both"/>
        <w:spacing w:after="0" w:line="244"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2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Investors LP</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3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Parent GP LLC</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4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GP LLC</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5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Portfolio GP LLC</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6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7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 Andreas Halvorsen</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Norway</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8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C. Ott</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9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Rose S. Shabet</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3,231,923*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3,231,923*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7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Page 10 of 16</w:t>
            </w:r>
          </w:p>
        </w:tc>
      </w:tr>
      <w:tr>
        <w:trPr>
          <w:trHeight w:val="35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0"/>
              </w:rPr>
              <w:t>Item 1(a).</w:t>
            </w:r>
          </w:p>
        </w:tc>
        <w:tc>
          <w:tcPr>
            <w:tcW w:w="6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Pharvaris N.V.</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9"/>
        </w:trPr>
        <w:tc>
          <w:tcPr>
            <w:tcW w:w="6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J.H. Oortweg 21, 2333 CH Leiden,</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2"/>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Netherlands</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2(a).</w:t>
            </w:r>
          </w:p>
        </w:tc>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79"/>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Viking Global Investors LP (“VGI”),</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Parent GP LLC (“Opportunities Parent”),</w:t>
            </w:r>
          </w:p>
        </w:tc>
        <w:tc>
          <w:tcPr>
            <w:tcW w:w="134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GP LLC (“Opportunities GP”),</w:t>
            </w:r>
          </w:p>
        </w:tc>
        <w:tc>
          <w:tcPr>
            <w:tcW w:w="134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Portfolio GP LLC (“Opportunities Portfolio GP”),</w:t>
            </w:r>
          </w:p>
        </w:tc>
        <w:tc>
          <w:tcPr>
            <w:tcW w:w="134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Illiquid Investments Sub-Master LP (“VGOP”),</w:t>
            </w:r>
          </w:p>
        </w:tc>
        <w:tc>
          <w:tcPr>
            <w:tcW w:w="1340" w:type="dxa"/>
            <w:vAlign w:val="bottom"/>
          </w:tcPr>
          <w:p>
            <w:pPr>
              <w:spacing w:after="0"/>
              <w:rPr>
                <w:sz w:val="21"/>
                <w:szCs w:val="21"/>
                <w:color w:val="auto"/>
              </w:rPr>
            </w:pPr>
          </w:p>
        </w:tc>
      </w:tr>
      <w:tr>
        <w:trPr>
          <w:trHeight w:val="282"/>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O. Andreas Halvorsen, David C. Ott and Rose S. Shabet (collectively, the “Reporting Persons”)</w:t>
            </w:r>
          </w:p>
        </w:tc>
        <w:tc>
          <w:tcPr>
            <w:tcW w:w="1340" w:type="dxa"/>
            <w:vAlign w:val="bottom"/>
          </w:tcPr>
          <w:p>
            <w:pPr>
              <w:spacing w:after="0"/>
              <w:rPr>
                <w:sz w:val="24"/>
                <w:szCs w:val="24"/>
                <w:color w:val="auto"/>
              </w:rPr>
            </w:pP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2(b).</w:t>
            </w:r>
          </w:p>
        </w:tc>
        <w:tc>
          <w:tcPr>
            <w:tcW w:w="8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134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60" w:type="dxa"/>
            <w:vAlign w:val="bottom"/>
            <w:gridSpan w:val="5"/>
            <w:shd w:val="clear" w:color="auto" w:fill="000000"/>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The business address of each of the Reporting Persons is: 55 Railroad Avenue, Greenwich, Connecticut 06830.</w:t>
            </w: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2(c).</w:t>
            </w:r>
          </w:p>
        </w:tc>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3"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VGI is a Delaware limited partnership; Opportunities Parent, Opportunities GP and Opportunities Portfolio GP are Delaware limited liability companies; VGOP is a Cayman Islands exempted limited partnership; O. Andreas Halvorsen is a citizen of Norway; and David C. Ott and Rose S. Shabet are citizens of the United States.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Titles of Classes of Securities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Ordinary shares, par value €0.12 par value per share (“Common Stock”)</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CUSIP NUMBER: N69605108</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52"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52"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52"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52"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252" w:lineRule="exact"/>
        <w:rPr>
          <w:rFonts w:ascii="Times New Roman" w:cs="Times New Roman" w:eastAsia="Times New Roman" w:hAnsi="Times New Roman"/>
          <w:sz w:val="18"/>
          <w:szCs w:val="18"/>
          <w:color w:val="auto"/>
        </w:rPr>
      </w:pPr>
    </w:p>
    <w:p>
      <w:pPr>
        <w:ind w:left="1800" w:right="240" w:hanging="496"/>
        <w:spacing w:after="0" w:line="239"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tabs>
          <w:tab w:leader="none" w:pos="5460" w:val="left"/>
          <w:tab w:leader="none" w:pos="1022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7" w:lineRule="exact"/>
        <w:rPr>
          <w:sz w:val="20"/>
          <w:szCs w:val="20"/>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252"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252" w:lineRule="exact"/>
        <w:rPr>
          <w:rFonts w:ascii="Times New Roman" w:cs="Times New Roman" w:eastAsia="Times New Roman" w:hAnsi="Times New Roman"/>
          <w:sz w:val="18"/>
          <w:szCs w:val="18"/>
          <w:color w:val="auto"/>
        </w:rPr>
      </w:pPr>
    </w:p>
    <w:p>
      <w:pPr>
        <w:ind w:left="1800" w:right="100" w:hanging="496"/>
        <w:spacing w:after="0" w:line="239"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spacing w:after="0" w:line="197"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w:t>
      </w:r>
    </w:p>
    <w:p>
      <w:pPr>
        <w:spacing w:after="0" w:line="5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w:t>
      </w:r>
    </w:p>
    <w:p>
      <w:pPr>
        <w:spacing w:after="0" w:line="203"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w:t>
      </w:r>
    </w:p>
    <w:p>
      <w:pPr>
        <w:spacing w:after="0" w:line="2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1300" w:right="300"/>
        <w:spacing w:after="0" w:line="244" w:lineRule="auto"/>
        <w:rPr>
          <w:sz w:val="20"/>
          <w:szCs w:val="20"/>
          <w:color w:val="auto"/>
        </w:rPr>
      </w:pPr>
      <w:r>
        <w:rPr>
          <w:rFonts w:ascii="Times New Roman" w:cs="Times New Roman" w:eastAsia="Times New Roman" w:hAnsi="Times New Roman"/>
          <w:sz w:val="22"/>
          <w:szCs w:val="22"/>
          <w:color w:val="auto"/>
        </w:rPr>
        <w:t>The percentages set forth herein are based on 33,151,881 shares of Common Stock outstanding as of March 10, 2022, as reported by the Issuer in its annual report on Form 20-F, filed with the U.S. Securities and Exchange Commission (the “Commission”) on March 29, 2022.</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VGI</w:t>
      </w:r>
    </w:p>
    <w:p>
      <w:pPr>
        <w:spacing w:after="0" w:line="242" w:lineRule="exact"/>
        <w:rPr>
          <w:sz w:val="20"/>
          <w:szCs w:val="20"/>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3,231,923</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3,231,923</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3,231,923</w:t>
      </w:r>
    </w:p>
    <w:p>
      <w:pPr>
        <w:spacing w:after="0" w:line="243" w:lineRule="exact"/>
        <w:rPr>
          <w:sz w:val="20"/>
          <w:szCs w:val="20"/>
          <w:color w:val="auto"/>
        </w:rPr>
      </w:pPr>
    </w:p>
    <w:p>
      <w:pPr>
        <w:ind w:left="2120" w:right="260"/>
        <w:spacing w:after="0" w:line="258" w:lineRule="auto"/>
        <w:rPr>
          <w:sz w:val="20"/>
          <w:szCs w:val="20"/>
          <w:color w:val="auto"/>
        </w:rPr>
      </w:pPr>
      <w:r>
        <w:rPr>
          <w:rFonts w:ascii="Times New Roman" w:cs="Times New Roman" w:eastAsia="Times New Roman" w:hAnsi="Times New Roman"/>
          <w:sz w:val="22"/>
          <w:szCs w:val="22"/>
          <w:color w:val="auto"/>
        </w:rPr>
        <w:t>VGI provides managerial services to VGOP. VGI has the authority to dispose of and vote the shares of Common Stock.</w:t>
      </w:r>
    </w:p>
    <w:p>
      <w:pPr>
        <w:spacing w:after="0" w:line="185" w:lineRule="exact"/>
        <w:rPr>
          <w:sz w:val="20"/>
          <w:szCs w:val="20"/>
          <w:color w:val="auto"/>
        </w:rPr>
      </w:pPr>
    </w:p>
    <w:p>
      <w:pPr>
        <w:ind w:left="2120" w:right="160"/>
        <w:spacing w:after="0" w:line="244" w:lineRule="auto"/>
        <w:rPr>
          <w:sz w:val="20"/>
          <w:szCs w:val="20"/>
          <w:color w:val="auto"/>
        </w:rPr>
      </w:pPr>
      <w:r>
        <w:rPr>
          <w:rFonts w:ascii="Times New Roman" w:cs="Times New Roman" w:eastAsia="Times New Roman" w:hAnsi="Times New Roman"/>
          <w:sz w:val="22"/>
          <w:szCs w:val="22"/>
          <w:color w:val="auto"/>
        </w:rPr>
        <w:t>Based on Rule 13d-3 of the Securities Exchange Act of 1934, as amended (the “Act”), VGI may be deemed to beneficially own the shares of Common Stock directly held by VGOP. VGI does not directly own any shares of Common Stock.</w:t>
      </w:r>
    </w:p>
    <w:p>
      <w:pPr>
        <w:spacing w:after="0" w:line="200" w:lineRule="exact"/>
        <w:rPr>
          <w:sz w:val="20"/>
          <w:szCs w:val="20"/>
          <w:color w:val="auto"/>
        </w:rPr>
      </w:pPr>
    </w:p>
    <w:p>
      <w:pPr>
        <w:ind w:left="2120" w:right="240"/>
        <w:spacing w:after="0" w:line="258" w:lineRule="auto"/>
        <w:rPr>
          <w:sz w:val="20"/>
          <w:szCs w:val="20"/>
          <w:color w:val="auto"/>
        </w:rPr>
      </w:pPr>
      <w:r>
        <w:rPr>
          <w:rFonts w:ascii="Times New Roman" w:cs="Times New Roman" w:eastAsia="Times New Roman" w:hAnsi="Times New Roman"/>
          <w:sz w:val="22"/>
          <w:szCs w:val="22"/>
          <w:color w:val="auto"/>
        </w:rPr>
        <w:t>VGI beneficially owns 3,231,923 shares of Common Stock consisting of 3,231,923 shares of Common Stock directly and beneficially owned by VGOP.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Opportunities Parent</w:t>
      </w:r>
    </w:p>
    <w:p>
      <w:pPr>
        <w:spacing w:after="0" w:line="242" w:lineRule="exact"/>
        <w:rPr>
          <w:sz w:val="20"/>
          <w:szCs w:val="20"/>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3,231,923</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ind w:left="1800" w:hanging="49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3,231,923</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3,231,923</w:t>
      </w:r>
    </w:p>
    <w:p>
      <w:pPr>
        <w:spacing w:after="0" w:line="243" w:lineRule="exact"/>
        <w:rPr>
          <w:sz w:val="20"/>
          <w:szCs w:val="20"/>
          <w:color w:val="auto"/>
        </w:rPr>
      </w:pPr>
    </w:p>
    <w:p>
      <w:pPr>
        <w:ind w:left="2120" w:right="300"/>
        <w:spacing w:after="0" w:line="239" w:lineRule="auto"/>
        <w:rPr>
          <w:sz w:val="20"/>
          <w:szCs w:val="20"/>
          <w:color w:val="auto"/>
        </w:rPr>
      </w:pPr>
      <w:r>
        <w:rPr>
          <w:rFonts w:ascii="Times New Roman" w:cs="Times New Roman" w:eastAsia="Times New Roman" w:hAnsi="Times New Roman"/>
          <w:sz w:val="22"/>
          <w:szCs w:val="22"/>
          <w:color w:val="auto"/>
        </w:rPr>
        <w:t>Opportunities Parent is the GP of Opportunities GP, which has the authority to dispose of and vote the shares of Common Stock controlled by Opportunities Portfolio GP, which consists of the shares of Common Stock directly held by VGOP. Opportunities Parent does not directly own any shares of Common Stock.</w:t>
      </w:r>
    </w:p>
    <w:p>
      <w:pPr>
        <w:spacing w:after="0" w:line="207" w:lineRule="exact"/>
        <w:rPr>
          <w:sz w:val="20"/>
          <w:szCs w:val="20"/>
          <w:color w:val="auto"/>
        </w:rPr>
      </w:pPr>
    </w:p>
    <w:p>
      <w:pPr>
        <w:ind w:left="2120" w:right="22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Parent may be deemed to beneficially own the shares of Common Stock directly held by VGOP.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 Opportunities GP</w:t>
      </w:r>
    </w:p>
    <w:p>
      <w:pPr>
        <w:spacing w:after="0" w:line="242" w:lineRule="exact"/>
        <w:rPr>
          <w:sz w:val="20"/>
          <w:szCs w:val="20"/>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3,231,923</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3,231,923</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3,231,923</w:t>
      </w:r>
    </w:p>
    <w:p>
      <w:pPr>
        <w:spacing w:after="0" w:line="243" w:lineRule="exact"/>
        <w:rPr>
          <w:sz w:val="20"/>
          <w:szCs w:val="20"/>
          <w:color w:val="auto"/>
        </w:rPr>
      </w:pPr>
    </w:p>
    <w:p>
      <w:pPr>
        <w:ind w:left="2120" w:right="80"/>
        <w:spacing w:after="0" w:line="239" w:lineRule="auto"/>
        <w:rPr>
          <w:sz w:val="20"/>
          <w:szCs w:val="20"/>
          <w:color w:val="auto"/>
        </w:rPr>
      </w:pPr>
      <w:r>
        <w:rPr>
          <w:rFonts w:ascii="Times New Roman" w:cs="Times New Roman" w:eastAsia="Times New Roman" w:hAnsi="Times New Roman"/>
          <w:sz w:val="22"/>
          <w:szCs w:val="22"/>
          <w:color w:val="auto"/>
        </w:rPr>
        <w:t>Opportunities GP serves as the sole member of Opportunities Portfolio GP and has the authority to dispose of and vote the shares of Common Stock controlled by Opportunities Portfolio GP, which consists of the shares of Common Stock directly held by VGOP. Opportunities GP does not directly own any shares of Common Stock.</w:t>
      </w:r>
    </w:p>
    <w:p>
      <w:pPr>
        <w:spacing w:after="0" w:line="207" w:lineRule="exact"/>
        <w:rPr>
          <w:sz w:val="20"/>
          <w:szCs w:val="20"/>
          <w:color w:val="auto"/>
        </w:rPr>
      </w:pPr>
    </w:p>
    <w:p>
      <w:pPr>
        <w:ind w:left="2120" w:right="48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GP may be deemed to beneficially own the shares of Common Stock directly held by VGOP.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 Opportunities Portfolio GP</w:t>
      </w:r>
    </w:p>
    <w:p>
      <w:pPr>
        <w:spacing w:after="0" w:line="242" w:lineRule="exact"/>
        <w:rPr>
          <w:sz w:val="20"/>
          <w:szCs w:val="20"/>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3,231,923</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3,231,923</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3,231,923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jc w:val="both"/>
        <w:ind w:left="2120" w:right="20"/>
        <w:spacing w:after="0" w:line="244" w:lineRule="auto"/>
        <w:rPr>
          <w:sz w:val="20"/>
          <w:szCs w:val="20"/>
          <w:color w:val="auto"/>
        </w:rPr>
      </w:pPr>
      <w:r>
        <w:rPr>
          <w:rFonts w:ascii="Times New Roman" w:cs="Times New Roman" w:eastAsia="Times New Roman" w:hAnsi="Times New Roman"/>
          <w:sz w:val="22"/>
          <w:szCs w:val="22"/>
          <w:color w:val="auto"/>
        </w:rPr>
        <w:t>Opportunities Portfolio GP serves as the general partner of VGOP and has the authority to dispose of and vote the shares of Common Stock directly owned by VGOP. Opportunities Portfolio GP does not directly own any shares of Common Stock.</w:t>
      </w:r>
    </w:p>
    <w:p>
      <w:pPr>
        <w:spacing w:after="0" w:line="200" w:lineRule="exact"/>
        <w:rPr>
          <w:sz w:val="20"/>
          <w:szCs w:val="20"/>
          <w:color w:val="auto"/>
        </w:rPr>
      </w:pPr>
    </w:p>
    <w:p>
      <w:pPr>
        <w:ind w:left="2120" w:right="50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Portfolio GP may be deemed to beneficially own the shares of Common Stock directly held by VGOP.</w:t>
      </w:r>
    </w:p>
    <w:p>
      <w:pPr>
        <w:spacing w:after="0" w:line="185"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VGOP</w:t>
      </w:r>
    </w:p>
    <w:p>
      <w:pPr>
        <w:spacing w:after="0" w:line="242"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3,231,923</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3,231,923</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3,231,923</w:t>
      </w:r>
    </w:p>
    <w:p>
      <w:pPr>
        <w:spacing w:after="0" w:line="243" w:lineRule="exact"/>
        <w:rPr>
          <w:sz w:val="20"/>
          <w:szCs w:val="20"/>
          <w:color w:val="auto"/>
        </w:rPr>
      </w:pPr>
    </w:p>
    <w:p>
      <w:pPr>
        <w:ind w:left="2120" w:right="120"/>
        <w:spacing w:after="0" w:line="244" w:lineRule="auto"/>
        <w:rPr>
          <w:sz w:val="20"/>
          <w:szCs w:val="20"/>
          <w:color w:val="auto"/>
        </w:rPr>
      </w:pPr>
      <w:r>
        <w:rPr>
          <w:rFonts w:ascii="Times New Roman" w:cs="Times New Roman" w:eastAsia="Times New Roman" w:hAnsi="Times New Roman"/>
          <w:sz w:val="22"/>
          <w:szCs w:val="22"/>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200" w:lineRule="exact"/>
        <w:rPr>
          <w:sz w:val="20"/>
          <w:szCs w:val="20"/>
          <w:color w:val="auto"/>
        </w:rPr>
      </w:pPr>
    </w:p>
    <w:p>
      <w:pPr>
        <w:ind w:left="2120" w:right="20"/>
        <w:spacing w:after="0" w:line="238" w:lineRule="auto"/>
        <w:rPr>
          <w:sz w:val="20"/>
          <w:szCs w:val="20"/>
          <w:color w:val="auto"/>
        </w:rPr>
      </w:pPr>
      <w:r>
        <w:rPr>
          <w:rFonts w:ascii="Times New Roman" w:cs="Times New Roman" w:eastAsia="Times New Roman" w:hAnsi="Times New Roman"/>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 O. Andreas Halvorsen, David C. Ott and Rose S. Shabet</w:t>
      </w:r>
    </w:p>
    <w:p>
      <w:pPr>
        <w:spacing w:after="0" w:line="242" w:lineRule="exact"/>
        <w:rPr>
          <w:sz w:val="20"/>
          <w:szCs w:val="20"/>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3,231,923</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3,231,923</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3,231,923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ind w:left="2120" w:right="160"/>
        <w:spacing w:after="0" w:line="239" w:lineRule="auto"/>
        <w:rPr>
          <w:sz w:val="20"/>
          <w:szCs w:val="20"/>
          <w:color w:val="auto"/>
        </w:rPr>
      </w:pPr>
      <w:r>
        <w:rPr>
          <w:rFonts w:ascii="Times New Roman" w:cs="Times New Roman" w:eastAsia="Times New Roman" w:hAnsi="Times New Roman"/>
          <w:sz w:val="22"/>
          <w:szCs w:val="22"/>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w:t>
      </w:r>
    </w:p>
    <w:p>
      <w:pPr>
        <w:spacing w:after="0" w:line="207" w:lineRule="exact"/>
        <w:rPr>
          <w:sz w:val="20"/>
          <w:szCs w:val="20"/>
          <w:color w:val="auto"/>
        </w:rPr>
      </w:pPr>
    </w:p>
    <w:p>
      <w:pPr>
        <w:ind w:left="2120" w:right="200"/>
        <w:spacing w:after="0" w:line="258" w:lineRule="auto"/>
        <w:rPr>
          <w:sz w:val="20"/>
          <w:szCs w:val="20"/>
          <w:color w:val="auto"/>
        </w:rPr>
      </w:pPr>
      <w:r>
        <w:rPr>
          <w:rFonts w:ascii="Times New Roman" w:cs="Times New Roman" w:eastAsia="Times New Roman" w:hAnsi="Times New Roman"/>
          <w:sz w:val="22"/>
          <w:szCs w:val="22"/>
          <w:color w:val="auto"/>
        </w:rPr>
        <w:t>Based on Rule 13d-3 of the Act, each may be deemed to beneficially own the shares of Common Stock directly held by VGOP.</w:t>
      </w:r>
    </w:p>
    <w:p>
      <w:pPr>
        <w:spacing w:after="0" w:line="185" w:lineRule="exact"/>
        <w:rPr>
          <w:sz w:val="20"/>
          <w:szCs w:val="20"/>
          <w:color w:val="auto"/>
        </w:rPr>
      </w:pPr>
    </w:p>
    <w:p>
      <w:pPr>
        <w:ind w:left="2120" w:right="640"/>
        <w:spacing w:after="0" w:line="282" w:lineRule="auto"/>
        <w:rPr>
          <w:sz w:val="20"/>
          <w:szCs w:val="20"/>
          <w:color w:val="auto"/>
        </w:rPr>
      </w:pPr>
      <w:r>
        <w:rPr>
          <w:rFonts w:ascii="Times New Roman" w:cs="Times New Roman" w:eastAsia="Times New Roman" w:hAnsi="Times New Roman"/>
          <w:sz w:val="21"/>
          <w:szCs w:val="21"/>
          <w:color w:val="auto"/>
        </w:rPr>
        <w:t>Mr. Halvorsen, Mr. Ott and Ms. Shabet each beneficially own 3,231,923 shares of Common Stock consisting of 3,231,923 shares of Common Stock directly and beneficially owned by VGOP.</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243" w:lineRule="exact"/>
        <w:rPr>
          <w:sz w:val="20"/>
          <w:szCs w:val="20"/>
          <w:color w:val="auto"/>
        </w:rPr>
      </w:pPr>
    </w:p>
    <w:p>
      <w:pPr>
        <w:ind w:right="160" w:firstLine="1296"/>
        <w:spacing w:after="0" w:line="281"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 xml:space="preserve">Certification. </w:t>
      </w:r>
      <w:r>
        <w:rPr>
          <w:rFonts w:ascii="Times New Roman" w:cs="Times New Roman" w:eastAsia="Times New Roman" w:hAnsi="Times New Roman"/>
          <w:sz w:val="17"/>
          <w:szCs w:val="17"/>
          <w:color w:val="auto"/>
        </w:rPr>
        <w:t>(if filing pursuant to Rule 13d-1(c))</w:t>
      </w:r>
    </w:p>
    <w:p>
      <w:pPr>
        <w:spacing w:after="0" w:line="243" w:lineRule="exact"/>
        <w:rPr>
          <w:sz w:val="20"/>
          <w:szCs w:val="20"/>
          <w:color w:val="auto"/>
        </w:rPr>
      </w:pPr>
    </w:p>
    <w:p>
      <w:pPr>
        <w:ind w:right="20" w:firstLine="1296"/>
        <w:spacing w:after="0" w:line="239" w:lineRule="auto"/>
        <w:rPr>
          <w:sz w:val="20"/>
          <w:szCs w:val="20"/>
          <w:color w:val="auto"/>
        </w:rPr>
      </w:pPr>
      <w:r>
        <w:rPr>
          <w:rFonts w:ascii="Times New Roman" w:cs="Times New Roman" w:eastAsia="Times New Roman" w:hAnsi="Times New Roman"/>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our knowledge and belief, the undersigned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12"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Scott M. Hendler</w:t>
            </w:r>
          </w:p>
        </w:tc>
        <w:tc>
          <w:tcPr>
            <w:tcW w:w="2600" w:type="dxa"/>
            <w:vAlign w:val="bottom"/>
          </w:tcPr>
          <w:p>
            <w:pPr>
              <w:spacing w:after="0"/>
              <w:rPr>
                <w:sz w:val="17"/>
                <w:szCs w:val="17"/>
                <w:color w:val="auto"/>
              </w:rPr>
            </w:pP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Scott M. Hendler on behalf of O. Andreas Halvorsen (1)</w:t>
            </w:r>
          </w:p>
        </w:tc>
      </w:tr>
      <w:tr>
        <w:trPr>
          <w:trHeight w:val="194"/>
        </w:trPr>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4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194"/>
        </w:trPr>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4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216" w:lineRule="exact"/>
        <w:rPr>
          <w:sz w:val="20"/>
          <w:szCs w:val="20"/>
          <w:color w:val="auto"/>
        </w:rPr>
      </w:pPr>
    </w:p>
    <w:p>
      <w:pPr>
        <w:ind w:right="360" w:firstLine="8"/>
        <w:spacing w:after="0" w:line="235"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60" w:firstLine="8"/>
        <w:spacing w:after="0" w:line="235"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0" w:lineRule="exact"/>
        <w:rPr>
          <w:rFonts w:ascii="Times New Roman" w:cs="Times New Roman" w:eastAsia="Times New Roman" w:hAnsi="Times New Roman"/>
          <w:sz w:val="22"/>
          <w:szCs w:val="22"/>
          <w:color w:val="auto"/>
        </w:rPr>
      </w:pPr>
    </w:p>
    <w:p>
      <w:pPr>
        <w:ind w:right="100" w:firstLine="8"/>
        <w:spacing w:after="0" w:line="235"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 - JOINT FILING AGREEMENT</w:t>
      </w:r>
    </w:p>
    <w:p>
      <w:pPr>
        <w:spacing w:after="0" w:line="237" w:lineRule="exact"/>
        <w:rPr>
          <w:sz w:val="20"/>
          <w:szCs w:val="20"/>
          <w:color w:val="auto"/>
        </w:rPr>
      </w:pPr>
    </w:p>
    <w:p>
      <w:pPr>
        <w:ind w:right="80" w:firstLine="824"/>
        <w:spacing w:after="0" w:line="239" w:lineRule="auto"/>
        <w:rPr>
          <w:sz w:val="20"/>
          <w:szCs w:val="20"/>
          <w:color w:val="auto"/>
        </w:rPr>
      </w:pPr>
      <w:r>
        <w:rPr>
          <w:rFonts w:ascii="Times New Roman" w:cs="Times New Roman" w:eastAsia="Times New Roman" w:hAnsi="Times New Roman"/>
          <w:sz w:val="22"/>
          <w:szCs w:val="22"/>
          <w:color w:val="auto"/>
        </w:rPr>
        <w:t>This joint filing agreement is made and entered into as of this 14th day of February, 2023, by and among Viking Global Investors LP, Viking Global Opportunities Parent GP LLC, Viking Global Opportunities GP LLC, Viking Global Opportunities Portfolio GP LLC, Viking Global Opportunities Illiquid Investments Sub-Master LP, O. Andreas Halvorsen, David C. Ott and Rose S. Shabet.</w:t>
      </w:r>
    </w:p>
    <w:p>
      <w:pPr>
        <w:spacing w:after="0" w:line="207" w:lineRule="exact"/>
        <w:rPr>
          <w:sz w:val="20"/>
          <w:szCs w:val="20"/>
          <w:color w:val="auto"/>
        </w:rPr>
      </w:pPr>
    </w:p>
    <w:p>
      <w:pPr>
        <w:ind w:firstLine="824"/>
        <w:spacing w:after="0" w:line="238" w:lineRule="auto"/>
        <w:rPr>
          <w:sz w:val="20"/>
          <w:szCs w:val="20"/>
          <w:color w:val="auto"/>
        </w:rPr>
      </w:pPr>
      <w:r>
        <w:rPr>
          <w:rFonts w:ascii="Times New Roman" w:cs="Times New Roman" w:eastAsia="Times New Roman" w:hAnsi="Times New Roman"/>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set forth above.</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Dated: February 14, 2023</w:t>
      </w:r>
    </w:p>
    <w:p>
      <w:pPr>
        <w:spacing w:after="0" w:line="22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Scott M. Hendler on behalf of O. Andreas Halvorsen (1)</w:t>
            </w:r>
          </w:p>
        </w:tc>
      </w:tr>
      <w:tr>
        <w:trPr>
          <w:trHeight w:val="39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216" w:lineRule="exact"/>
        <w:rPr>
          <w:sz w:val="20"/>
          <w:szCs w:val="20"/>
          <w:color w:val="auto"/>
        </w:rPr>
      </w:pPr>
    </w:p>
    <w:p>
      <w:pPr>
        <w:ind w:right="360" w:firstLine="8"/>
        <w:spacing w:after="0" w:line="235"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60" w:firstLine="8"/>
        <w:spacing w:after="0" w:line="235"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0" w:lineRule="exact"/>
        <w:rPr>
          <w:rFonts w:ascii="Times New Roman" w:cs="Times New Roman" w:eastAsia="Times New Roman" w:hAnsi="Times New Roman"/>
          <w:sz w:val="22"/>
          <w:szCs w:val="22"/>
          <w:color w:val="auto"/>
        </w:rPr>
      </w:pPr>
    </w:p>
    <w:p>
      <w:pPr>
        <w:ind w:right="100" w:firstLine="8"/>
        <w:spacing w:after="0" w:line="235"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7"/>
    </w:lvl>
  </w:abstractNum>
  <w:abstractNum w:abstractNumId="3">
    <w:nsid w:val="7545E146"/>
    <w:multiLevelType w:val="hybridMultilevel"/>
    <w:lvl w:ilvl="0">
      <w:lvlJc w:val="left"/>
      <w:lvlText w:val="(%1)"/>
      <w:numFmt w:val="lowerLetter"/>
      <w:start w:val="1"/>
    </w:lvl>
    <w:lvl w:ilvl="1">
      <w:lvlJc w:val="left"/>
      <w:lvlText w:val="(%2)"/>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3"/>
    </w:lvl>
    <w:lvl w:ilvl="1">
      <w:lvlJc w:val="left"/>
      <w:lvlText w:val="(%2)"/>
      <w:numFmt w:val="lowerRoman"/>
      <w:start w:val="1"/>
    </w:lvl>
  </w:abstractNum>
  <w:abstractNum w:abstractNumId="6">
    <w:nsid w:val="12200854"/>
    <w:multiLevelType w:val="hybridMultilevel"/>
    <w:lvl w:ilvl="0">
      <w:lvlJc w:val="left"/>
      <w:lvlText w:val="(%1)"/>
      <w:numFmt w:val="lowerLetter"/>
      <w:start w:val="1"/>
    </w:lvl>
    <w:lvl w:ilvl="1">
      <w:lvlJc w:val="left"/>
      <w:lvlText w:val="(%2)"/>
      <w:numFmt w:val="lowerRoman"/>
      <w:start w:val="1"/>
    </w:lvl>
  </w:abstractNum>
  <w:abstractNum w:abstractNumId="7">
    <w:nsid w:val="4DB127F8"/>
    <w:multiLevelType w:val="hybridMultilevel"/>
    <w:lvl w:ilvl="0">
      <w:lvlJc w:val="left"/>
      <w:lvlText w:val="(%1)"/>
      <w:numFmt w:val="lowerLetter"/>
      <w:start w:val="1"/>
    </w:lvl>
    <w:lvl w:ilvl="1">
      <w:lvlJc w:val="left"/>
      <w:lvlText w:val="(%2)"/>
      <w:numFmt w:val="lowerRoman"/>
      <w:start w:val="1"/>
    </w:lvl>
  </w:abstractNum>
  <w:abstractNum w:abstractNumId="8">
    <w:nsid w:val="216231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2023-02-14T12:22:01Z</dcterms:created>
  <dcterms:modified xsi:type="dcterms:W3CDTF">2023-02-14T12:22:01Z</dcterms:modified>
</cp:coreProperties>
</file>