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Souverijns Wim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CRANBERRY HILL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Pharvaris N.V.</w:t>
              </w:r>
            </w:hyperlink>
            <w:r>
              <w:rPr/>
              <w:t xml:space="preserve"> [ </w:t>
            </w:r>
            <w:r>
              <w:rPr>
                <w:rFonts w:ascii="Times;serif" w:hAnsi="Times;serif"/>
                <w:color w:val="0000FF"/>
                <w:sz w:val="24"/>
                <w:shd w:fill="FFFFFF" w:val="clear"/>
              </w:rPr>
              <w:t>PHVS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17.43</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65,111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39.3063</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45,111</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6,090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38.99</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39,021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17.43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a scheduled exercise and sale from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represents a weighted average sale price for shares sold in multiple transactions on the reported date pursuant to a Rule 10b5-1 trading plan. The shares were sold in connection with the exercise of stock options in a cashless exercise transaction. The sales prices for the transactions ranged from $39.00 to $39.63.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is a scheduled sale from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25% of the option vested on July 1, 2022 with the remaining shares vesting in 1/48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Marnus Nel, Attorney-in-Fact for Wim Souverjins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73529" TargetMode="External"/><Relationship Id="rId5" Type="http://schemas.openxmlformats.org/officeDocument/2006/relationships/hyperlink" Target="http://www.sec.gov/cgi-bin/browse-edgar?action=getcompany&amp;CIK=00018304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735</Words>
  <Characters>3950</Characters>
  <CharactersWithSpaces>4587</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