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For the month of September 2022</w:t>
      </w:r>
    </w:p>
    <w:p>
      <w:pPr>
        <w:spacing w:after="0" w:line="22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43"/>
          <w:szCs w:val="43"/>
          <w:b w:val="1"/>
          <w:bCs w:val="1"/>
          <w:color w:val="auto"/>
        </w:rPr>
        <w:t>Pharvaris N.V.</w:t>
      </w:r>
    </w:p>
    <w:p>
      <w:pPr>
        <w:spacing w:after="0" w:line="5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J.H. Oortweg 21</w:t>
      </w:r>
    </w:p>
    <w:p>
      <w:pPr>
        <w:spacing w:after="0" w:line="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2333 CH Leiden</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120"/>
        <w:spacing w:after="0" w:line="207" w:lineRule="exact"/>
        <w:tabs>
          <w:tab w:leader="none" w:pos="98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133"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0"/>
          </w:cols>
          <w:pgMar w:left="320" w:top="226"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On September 12, 2022, Pharvaris N.V. issued a press release. A copy of the press release is attached hereto as Exhibit 99.1 and is incorporated by reference herein. Exhibit 99.1 to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Exhibits 99.2 and 99.3 to this Report on Form 6-K shall be deemed to be incorporated by reference into the registration statements on Form F-3 (Registration Number 333-263198) and Form S-8 (Registration Numbers</w:t>
      </w:r>
    </w:p>
    <w:p>
      <w:pPr>
        <w:spacing w:after="0" w:line="3"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333-252897) of Pharvaris N.V. and to be a part thereof from the date on which this report is filed, to the extent not superseded by documents or reports subsequently filed or furnished.</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320" w:top="482" w:right="6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3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PHARVARIS N.V.</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12, 2022</w:t>
            </w: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Berndt Modig</w:t>
            </w:r>
          </w:p>
        </w:tc>
      </w:tr>
      <w:tr>
        <w:trPr>
          <w:trHeight w:val="205"/>
        </w:trPr>
        <w:tc>
          <w:tcPr>
            <w:tcW w:w="3660" w:type="dxa"/>
            <w:vAlign w:val="bottom"/>
          </w:tcPr>
          <w:p>
            <w:pPr>
              <w:spacing w:after="0"/>
              <w:rPr>
                <w:sz w:val="17"/>
                <w:szCs w:val="17"/>
                <w:color w:val="auto"/>
              </w:rPr>
            </w:pPr>
          </w:p>
        </w:tc>
        <w:tc>
          <w:tcPr>
            <w:tcW w:w="2500" w:type="dxa"/>
            <w:vAlign w:val="bottom"/>
          </w:tcPr>
          <w:p>
            <w:pPr>
              <w:ind w:left="18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Berndt Modig</w:t>
            </w:r>
          </w:p>
        </w:tc>
      </w:tr>
      <w:tr>
        <w:trPr>
          <w:trHeight w:val="234"/>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65"/>
        </w:trPr>
        <w:tc>
          <w:tcPr>
            <w:tcW w:w="3660" w:type="dxa"/>
            <w:vAlign w:val="bottom"/>
          </w:tcPr>
          <w:p>
            <w:pPr>
              <w:spacing w:after="0"/>
              <w:rPr>
                <w:sz w:val="24"/>
                <w:szCs w:val="24"/>
                <w:color w:val="auto"/>
              </w:rPr>
            </w:pPr>
          </w:p>
        </w:tc>
        <w:tc>
          <w:tcPr>
            <w:tcW w:w="25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3</w:t>
            </w:r>
          </w:p>
        </w:tc>
        <w:tc>
          <w:tcPr>
            <w:tcW w:w="48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36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80" w:type="dxa"/>
            <w:vAlign w:val="bottom"/>
            <w:vMerge w:val="restart"/>
          </w:tcPr>
          <w:p>
            <w:pPr>
              <w:ind w:left="2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3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September 12, 2022.</w:t>
      </w:r>
    </w:p>
    <w:p>
      <w:pPr>
        <w:spacing w:after="0" w:line="97" w:lineRule="exact"/>
        <w:rPr>
          <w:sz w:val="20"/>
          <w:szCs w:val="20"/>
          <w:color w:val="auto"/>
        </w:rPr>
      </w:pPr>
    </w:p>
    <w:p>
      <w:pPr>
        <w:ind w:left="1000" w:hanging="876"/>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Management’s Discussion and Analysis of Financial Condition and Results of Operations as of and for the Three and Six Months Ended June 30, 2022.</w:t>
      </w:r>
    </w:p>
    <w:p>
      <w:pPr>
        <w:spacing w:after="0" w:line="54"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7"/>
          <w:szCs w:val="17"/>
          <w:u w:val="single" w:color="auto"/>
          <w:color w:val="0000EE"/>
        </w:rPr>
        <w:t>Unaudited Condensed Consolidated Interim Financial Statements as of and for the Three and Six Months Ended June 30, 2022.</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320" w:top="482"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Pharvaris Reports Second Quarter 2022 Financial Results and Provides Business Update</w:t>
      </w:r>
    </w:p>
    <w:p>
      <w:pPr>
        <w:spacing w:after="0" w:line="252"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Formal letters received from FDA relating to the previously announced hold on clinical studies of PHA121 in the U.S.</w:t>
      </w:r>
    </w:p>
    <w:p>
      <w:pPr>
        <w:spacing w:after="0" w:line="130" w:lineRule="exact"/>
        <w:rPr>
          <w:rFonts w:ascii="Times New Roman" w:cs="Times New Roman" w:eastAsia="Times New Roman" w:hAnsi="Times New Roman"/>
          <w:sz w:val="18"/>
          <w:szCs w:val="18"/>
          <w:b w:val="1"/>
          <w:bCs w:val="1"/>
          <w:color w:val="auto"/>
        </w:rPr>
      </w:pPr>
    </w:p>
    <w:p>
      <w:pPr>
        <w:ind w:left="960" w:right="540" w:hanging="424"/>
        <w:spacing w:after="0" w:line="286" w:lineRule="auto"/>
        <w:tabs>
          <w:tab w:leader="none" w:pos="9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Top-line data anticipated in 4Q22 for RAPIDe-1, a global Phase 2 study of PHVS416 for the acute treatment of HAE attacks ongoing outside the U.S.</w:t>
      </w:r>
    </w:p>
    <w:p>
      <w:pPr>
        <w:spacing w:after="0" w:line="6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Executing from a strong financial position with cash and cash equivalents of €201 million as of June 30, 2022</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Zug, Switzerland, September 12,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Pharvaris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PHVS), a clinical-stage company developing novel, oral bradykinin-B2-receptor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antagonists to treat and prevent hereditary angioedema (HAE) attacks, today reported financial results for the second quarter ended June 30, 2022, and provided a business update.</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“Pharvaris is dedicated to bringing therapeutic alternatives to people living with HAE and we maintain our belief in the potential of PHA121. Our team is committed to working with the FDA to resolve the hold on clinical trials involving PHA121 in the U.S. and we deeply appreciate the patience of the HAE community during this time,” said Berndt Modig, Chief Executive Officer of Pharvaris. “Having evaluated the impact of the clinical hold, we anticipate announcing top-line Phase 2 data for RAPIDe-1 in the fourth quarter of this year. As we work to address the FDA’s concerns and continue interactions with other regulatory authorities, we maintain a disciplined operational approach with our strong cash position expected to provide runway through the first quarter of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Updates</w:t>
      </w:r>
    </w:p>
    <w:p>
      <w:pPr>
        <w:spacing w:after="0" w:line="135" w:lineRule="exact"/>
        <w:rPr>
          <w:sz w:val="20"/>
          <w:szCs w:val="20"/>
          <w:color w:val="auto"/>
        </w:rPr>
      </w:pPr>
    </w:p>
    <w:p>
      <w:pPr>
        <w:ind w:left="960" w:right="120" w:hanging="424"/>
        <w:spacing w:after="0" w:line="25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Pharvaris announced that it has received formal clinical hold letters from the U.S. Food and Drug Administration (FDA). This follows the </w:t>
      </w:r>
      <w:r>
        <w:rPr>
          <w:rFonts w:ascii="Times New Roman" w:cs="Times New Roman" w:eastAsia="Times New Roman" w:hAnsi="Times New Roman"/>
          <w:sz w:val="18"/>
          <w:szCs w:val="18"/>
          <w:u w:val="single" w:color="auto"/>
          <w:color w:val="auto"/>
        </w:rPr>
        <w:t>previously announced</w:t>
      </w:r>
      <w:r>
        <w:rPr>
          <w:rFonts w:ascii="Times New Roman" w:cs="Times New Roman" w:eastAsia="Times New Roman" w:hAnsi="Times New Roman"/>
          <w:sz w:val="18"/>
          <w:szCs w:val="18"/>
          <w:color w:val="auto"/>
        </w:rPr>
        <w:t xml:space="preserve"> verbal notification of a hold on the clinical trials of PHA121 in the U.S. under Investigational New Drug (IND) applications for the on-demand and prophylactic treatment of HAE attacks. The FDA requested that Pharvaris conduct an additional long-term rodent toxicology study and update the Investigator’s Brochure. The letters stated that the nonclinical observations are unlikely due to B2 receptor antagonism. Pharvaris plans to request a Type A meeting to discuss on-demand and prophylactic proposals to address the clinical holds.</w:t>
      </w:r>
    </w:p>
    <w:p>
      <w:pPr>
        <w:sectPr>
          <w:pgSz w:w="11900" w:h="16838" w:orient="portrait"/>
          <w:cols w:equalWidth="0" w:num="1">
            <w:col w:w="11020"/>
          </w:cols>
          <w:pgMar w:left="440" w:top="117" w:right="439" w:bottom="1440" w:gutter="0" w:footer="0" w:header="0"/>
        </w:sectPr>
      </w:pPr>
    </w:p>
    <w:bookmarkStart w:id="5" w:name="page6"/>
    <w:bookmarkEnd w:id="5"/>
    <w:p>
      <w:pPr>
        <w:ind w:left="424" w:right="20" w:hanging="424"/>
        <w:spacing w:after="0" w:line="254"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RAPIDe-1, a global Phase 2 study of PHVS416 for the on-demand treatment of HAE, continues evaluating enrolled patients outside the U.S. with top-line data anticipated in 4Q22. </w:t>
      </w:r>
      <w:r>
        <w:rPr>
          <w:rFonts w:ascii="Times New Roman" w:cs="Times New Roman" w:eastAsia="Times New Roman" w:hAnsi="Times New Roman"/>
          <w:sz w:val="18"/>
          <w:szCs w:val="18"/>
          <w:color w:val="auto"/>
        </w:rPr>
        <w:t>The previously announced target enrollment of 72 people with HAE across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sites in Canada, Europe, Israel, the UK, and the U.S. was achieved. Subsequent to the clinical hold, the company continues to evaluate PHVS416 for HAE attacks in patients enrolled outside the U.S. The goal of RAPIDe-1 is to assess PHVS416 as an oral acute treatment of HAE attacks by comparing safety and symptom relief (skin pain, skin swelling, and abdominal pain) during HAE attacks across three doses and placebo. The primary endpoint of RAPIDe-1 is the change of the composite of the three measured symptoms (skin pain, skin swelling and abdominal pain) using a visual analogue scale (VAS-3) four hours after treatment. One of the measured symptoms must have a VAS score of 30 before treatment to be considered a qualified HAE attack. Other key secondary endpoints include the time to onset of symptom relief, as well as safety and tolerability. Given the current dataset of evaluable attacks, Pharvaris anticipates announcing top-line data in the fourth quarter of 2022.</w:t>
      </w:r>
    </w:p>
    <w:p>
      <w:pPr>
        <w:spacing w:after="0" w:line="90" w:lineRule="exact"/>
        <w:rPr>
          <w:rFonts w:ascii="Times New Roman" w:cs="Times New Roman" w:eastAsia="Times New Roman" w:hAnsi="Times New Roman"/>
          <w:sz w:val="18"/>
          <w:szCs w:val="18"/>
          <w:color w:val="auto"/>
        </w:rPr>
      </w:pPr>
    </w:p>
    <w:p>
      <w:pPr>
        <w:ind w:left="424" w:right="220" w:hanging="424"/>
        <w:spacing w:after="0" w:line="25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Working with country-specific regulatory authorities regarding ongoing CHAPTER-1 Phase 2 study of PHVS416 for the prophylactic treatment of HAE attacks. </w:t>
      </w:r>
      <w:r>
        <w:rPr>
          <w:rFonts w:ascii="Times New Roman" w:cs="Times New Roman" w:eastAsia="Times New Roman" w:hAnsi="Times New Roman"/>
          <w:sz w:val="18"/>
          <w:szCs w:val="18"/>
          <w:color w:val="auto"/>
        </w:rPr>
        <w:t>Pharvaris has notified country-specific regulatory authorities in Canada, Europe, Israel,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UK of the clinical hold in the U.S. When the company has more clarity regarding the impact of the U.S. clinical hold and additional feedback from global regulatory authorities, Pharvaris will provide guidance on the timing of announcing top-line data for</w:t>
      </w:r>
    </w:p>
    <w:p>
      <w:pPr>
        <w:spacing w:after="0" w:line="3" w:lineRule="exact"/>
        <w:rPr>
          <w:rFonts w:ascii="Times New Roman" w:cs="Times New Roman" w:eastAsia="Times New Roman" w:hAnsi="Times New Roman"/>
          <w:sz w:val="18"/>
          <w:szCs w:val="18"/>
          <w:color w:val="auto"/>
        </w:rPr>
      </w:pPr>
    </w:p>
    <w:p>
      <w:pPr>
        <w:ind w:left="4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CHAPTER-1 trial. The study is designed to enroll 30 patients globally in CHAPTER-1 with a goal of evaluating proof of concept of PHVS416 for oral prophylaxis against HAE attacks. The safety and efficacy of two doses and placebo will be evaluated by comparing the number of investigator-confirmed attacks during participants’ 12-week treatment period. Data from this study is expected to inform design of an anticipated Phase 3 study utilizing PHVS719, an extended-release formulation of PHA121.</w:t>
      </w:r>
    </w:p>
    <w:p>
      <w:pPr>
        <w:spacing w:after="0" w:line="90" w:lineRule="exact"/>
        <w:rPr>
          <w:rFonts w:ascii="Times New Roman" w:cs="Times New Roman" w:eastAsia="Times New Roman" w:hAnsi="Times New Roman"/>
          <w:sz w:val="18"/>
          <w:szCs w:val="18"/>
          <w:color w:val="auto"/>
        </w:rPr>
      </w:pPr>
    </w:p>
    <w:p>
      <w:pPr>
        <w:ind w:left="424" w:right="320" w:hanging="424"/>
        <w:spacing w:after="0" w:line="28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Strengthened executive team. </w:t>
      </w:r>
      <w:r>
        <w:rPr>
          <w:rFonts w:ascii="Times New Roman" w:cs="Times New Roman" w:eastAsia="Times New Roman" w:hAnsi="Times New Roman"/>
          <w:sz w:val="18"/>
          <w:szCs w:val="18"/>
          <w:color w:val="auto"/>
        </w:rPr>
        <w:t>With the appointment of Joan Schmidt, J.D., as Chief Legal Officer, effective June 2022,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strengthened its capabilities in legal, compliance, and governance.</w:t>
      </w:r>
    </w:p>
    <w:p>
      <w:pPr>
        <w:spacing w:after="0" w:line="60" w:lineRule="exact"/>
        <w:rPr>
          <w:rFonts w:ascii="Times New Roman" w:cs="Times New Roman" w:eastAsia="Times New Roman" w:hAnsi="Times New Roman"/>
          <w:sz w:val="18"/>
          <w:szCs w:val="18"/>
          <w:color w:val="auto"/>
        </w:rPr>
      </w:pPr>
    </w:p>
    <w:p>
      <w:pPr>
        <w:ind w:left="424" w:right="60" w:hanging="424"/>
        <w:spacing w:after="0" w:line="263"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Held Annual Meeting of Shareholders and appointed Elisabeth Björk, M.D., and Anne Marie de Jonge Schuermans, Ph.D., to the Board of Directors</w:t>
      </w:r>
      <w:r>
        <w:rPr>
          <w:rFonts w:ascii="Times New Roman" w:cs="Times New Roman" w:eastAsia="Times New Roman" w:hAnsi="Times New Roman"/>
          <w:sz w:val="18"/>
          <w:szCs w:val="18"/>
          <w:color w:val="auto"/>
        </w:rPr>
        <w:t>. On June 29, 2022, the company held an Annual Meeting of Shareholders at which all proposals were approved.</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Björk and Dr. de Jonge Schuermans were appointed as Non-Executive Directors.</w:t>
      </w:r>
    </w:p>
    <w:p>
      <w:pPr>
        <w:sectPr>
          <w:pgSz w:w="11900" w:h="16838" w:orient="portrait"/>
          <w:cols w:equalWidth="0" w:num="1">
            <w:col w:w="10404"/>
          </w:cols>
          <w:pgMar w:left="976" w:top="266"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Upcoming Events</w:t>
      </w:r>
    </w:p>
    <w:p>
      <w:pPr>
        <w:spacing w:after="0" w:line="135" w:lineRule="exact"/>
        <w:rPr>
          <w:sz w:val="20"/>
          <w:szCs w:val="20"/>
          <w:color w:val="auto"/>
        </w:rPr>
      </w:pPr>
    </w:p>
    <w:p>
      <w:pPr>
        <w:ind w:left="960" w:right="280" w:hanging="424"/>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Pharvaris will attend the upcoming Morgan Stanley 20th Annual Global Healthcare Conference, which is being held in New York from September 12-14, 2022. Mr. Modig and Morgan Conn, Ph.D., Chief Business Officer, will participate in a fireside chat on Monday, September 12, at 4:15 p.m. ET. A live audio webcast will be available on the Investors section of the Pharvaris website at </w:t>
      </w:r>
      <w:r>
        <w:rPr>
          <w:rFonts w:ascii="Times New Roman" w:cs="Times New Roman" w:eastAsia="Times New Roman" w:hAnsi="Times New Roman"/>
          <w:sz w:val="18"/>
          <w:szCs w:val="18"/>
          <w:u w:val="single" w:color="auto"/>
          <w:color w:val="auto"/>
        </w:rPr>
        <w:t>https://ir.pharvaris.com/news-events/events-presentations</w:t>
      </w:r>
      <w:r>
        <w:rPr>
          <w:rFonts w:ascii="Times New Roman" w:cs="Times New Roman" w:eastAsia="Times New Roman" w:hAnsi="Times New Roman"/>
          <w:sz w:val="18"/>
          <w:szCs w:val="18"/>
          <w:color w:val="auto"/>
        </w:rPr>
        <w:t>. A replay will be available on Pharvaris’ website for 30 days following the fireside chat.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2022 Financial Results</w:t>
      </w:r>
    </w:p>
    <w:p>
      <w:pPr>
        <w:spacing w:after="0" w:line="131" w:lineRule="exact"/>
        <w:rPr>
          <w:sz w:val="20"/>
          <w:szCs w:val="20"/>
          <w:color w:val="auto"/>
        </w:rPr>
      </w:pPr>
    </w:p>
    <w:p>
      <w:pPr>
        <w:ind w:left="960" w:right="20" w:hanging="424"/>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Liquidity Position. </w:t>
      </w:r>
      <w:r>
        <w:rPr>
          <w:rFonts w:ascii="Times New Roman" w:cs="Times New Roman" w:eastAsia="Times New Roman" w:hAnsi="Times New Roman"/>
          <w:sz w:val="18"/>
          <w:szCs w:val="18"/>
          <w:color w:val="auto"/>
        </w:rPr>
        <w:t>Cash and cash equivalents were €201 million as of June 30, 2022, compared to €209 million as of December 31,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net cash position reflects increased operating expenses, offset by favorable foreign exchange effects.</w:t>
      </w:r>
    </w:p>
    <w:p>
      <w:pPr>
        <w:spacing w:after="0" w:line="60" w:lineRule="exact"/>
        <w:rPr>
          <w:rFonts w:ascii="Times New Roman" w:cs="Times New Roman" w:eastAsia="Times New Roman" w:hAnsi="Times New Roman"/>
          <w:sz w:val="18"/>
          <w:szCs w:val="18"/>
          <w:color w:val="auto"/>
        </w:rPr>
      </w:pPr>
    </w:p>
    <w:p>
      <w:pPr>
        <w:ind w:left="960" w:right="440" w:hanging="424"/>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R&amp;D expenses were €13.7 million for the quarter ended June 30, 2022,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€8.1 million for the quarter ended June 30, 2021.</w:t>
      </w:r>
    </w:p>
    <w:p>
      <w:pPr>
        <w:spacing w:after="0" w:line="60" w:lineRule="exact"/>
        <w:rPr>
          <w:rFonts w:ascii="Times New Roman" w:cs="Times New Roman" w:eastAsia="Times New Roman" w:hAnsi="Times New Roman"/>
          <w:sz w:val="18"/>
          <w:szCs w:val="18"/>
          <w:color w:val="auto"/>
        </w:rPr>
      </w:pPr>
    </w:p>
    <w:p>
      <w:pPr>
        <w:ind w:left="960" w:right="440" w:hanging="424"/>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(G&amp;A) Expenses. </w:t>
      </w:r>
      <w:r>
        <w:rPr>
          <w:rFonts w:ascii="Times New Roman" w:cs="Times New Roman" w:eastAsia="Times New Roman" w:hAnsi="Times New Roman"/>
          <w:sz w:val="18"/>
          <w:szCs w:val="18"/>
          <w:color w:val="auto"/>
        </w:rPr>
        <w:t>G&amp;A expenses were €7.7 million for the quarter ended June 30, 2022,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€4.7 million for the quarter ended June 30, 2021.</w:t>
      </w:r>
    </w:p>
    <w:p>
      <w:pPr>
        <w:spacing w:after="0" w:line="60" w:lineRule="exact"/>
        <w:rPr>
          <w:rFonts w:ascii="Times New Roman" w:cs="Times New Roman" w:eastAsia="Times New Roman" w:hAnsi="Times New Roman"/>
          <w:sz w:val="18"/>
          <w:szCs w:val="18"/>
          <w:color w:val="auto"/>
        </w:rPr>
      </w:pPr>
    </w:p>
    <w:p>
      <w:pPr>
        <w:ind w:left="960" w:right="60" w:hanging="424"/>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for the period. </w:t>
      </w:r>
      <w:r>
        <w:rPr>
          <w:rFonts w:ascii="Times New Roman" w:cs="Times New Roman" w:eastAsia="Times New Roman" w:hAnsi="Times New Roman"/>
          <w:sz w:val="18"/>
          <w:szCs w:val="18"/>
          <w:color w:val="auto"/>
        </w:rPr>
        <w:t>Loss for the quarter ended June 30, 2022 was €12.6 million, or basic and diluted loss per share of €0.38,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€15.2 million, or basic and diluted loss per share of €0.46, for the quarter ended June 30, 2021.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on International Financial Reporting Standards (IFRS)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PHVS416</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PHVS416 is an investigational softgel capsule formulation containing PHA121, a highly potent, specific, and orally bioavailable competitive antagonist of the bradykinin B2 receptor. Pharvaris aims to develop this formulation to provide fast and reliable symptom relief, through rapid exposure of attack-mitigating therapy in a convenient, small oral dosage form. In healthy volunteers, a single dose of PHVS416 showed rapid exposure exceeding predicted therapeutically efficacious levels within 15 minutes. PHVS416 is currently in Phase 2 clinical development for the on-demand treatment of HAE.</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PHA121</w:t>
      </w:r>
    </w:p>
    <w:p>
      <w:pPr>
        <w:spacing w:after="0" w:line="12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PHA121 (PHA-022121) is a highly potent, specific, and orally bioavailable competitive antagonist of the bradykinin B2 receptor that has completed Phase 1 clinical development. PHA121 utilizes the same mechanism as icatibant, the leading therapy for on-demand treatment of HAE. Pharvaris is developing this novel small molecule for on-demand and prophylactic treatment of HAE and other bradykinin-mediated diseases through formulations optimized for each setting. Data from single- and multiple-ascending-dose Phase 1 studies in healthy volunteers demonstrate rapid exposure and linear pharmacokinetics at doses up to 50 mg. In a bradykinin-challenge study in healthy volunteers, PHA121 showed significant inhibition of bradykinin-induced hemodynamic changes with an average composite EC</w:t>
      </w:r>
      <w:r>
        <w:rPr>
          <w:rFonts w:ascii="Times New Roman" w:cs="Times New Roman" w:eastAsia="Times New Roman" w:hAnsi="Times New Roman"/>
          <w:sz w:val="26"/>
          <w:szCs w:val="26"/>
          <w:color w:val="auto"/>
          <w:vertAlign w:val="subscript"/>
        </w:rPr>
        <w:t>50</w:t>
      </w:r>
      <w:r>
        <w:rPr>
          <w:rFonts w:ascii="Times New Roman" w:cs="Times New Roman" w:eastAsia="Times New Roman" w:hAnsi="Times New Roman"/>
          <w:sz w:val="18"/>
          <w:szCs w:val="18"/>
          <w:color w:val="auto"/>
        </w:rPr>
        <w:t xml:space="preserve"> of 2.4 ng/mL and EC</w:t>
      </w:r>
      <w:r>
        <w:rPr>
          <w:rFonts w:ascii="Times New Roman" w:cs="Times New Roman" w:eastAsia="Times New Roman" w:hAnsi="Times New Roman"/>
          <w:sz w:val="26"/>
          <w:szCs w:val="26"/>
          <w:color w:val="auto"/>
          <w:vertAlign w:val="subscript"/>
        </w:rPr>
        <w:t>85</w:t>
      </w:r>
      <w:r>
        <w:rPr>
          <w:rFonts w:ascii="Times New Roman" w:cs="Times New Roman" w:eastAsia="Times New Roman" w:hAnsi="Times New Roman"/>
          <w:sz w:val="18"/>
          <w:szCs w:val="18"/>
          <w:color w:val="auto"/>
        </w:rPr>
        <w:t xml:space="preserve"> of 13.8 ng/mL, approximately four-fold more potent than historical data for icatibant. Quantitative modeling indicates that single oral doses of PHA121 will maintain pharmacological effectiveness for a substantially longer time than 30 mg of subcutaneous icatibant. In clinical studies, PHA121 has been observed to be well-tolerated at all doses studied to date.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Pharvaris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Pharvaris is a clinical-stage company developing novel, oral bradykinin-B2-receptor antagonists to treat and prevent HAE attacks, building on its deep-seated roots in HAE. By directly targeting this clinically proven therapeutic target with novel small molecules, the Pharvaris team aspires to offer people with all sub-types of HAE effective and convenient alternatives to treat attacks, both on-demand and prophylactically. The company brings together the best talent in the industry with deep expertise in rare diseases and HAE. For more information, visit </w:t>
      </w:r>
      <w:r>
        <w:rPr>
          <w:rFonts w:ascii="Times New Roman" w:cs="Times New Roman" w:eastAsia="Times New Roman" w:hAnsi="Times New Roman"/>
          <w:sz w:val="18"/>
          <w:szCs w:val="18"/>
          <w:u w:val="single" w:color="auto"/>
          <w:color w:val="auto"/>
        </w:rPr>
        <w:t>https://pharvaris.com/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w:t>
      </w:r>
    </w:p>
    <w:p>
      <w:pPr>
        <w:sectPr>
          <w:pgSz w:w="11900" w:h="16838" w:orient="portrait"/>
          <w:cols w:equalWidth="0" w:num="1">
            <w:col w:w="10980"/>
          </w:cols>
          <w:pgMar w:left="440" w:top="266" w:right="479" w:bottom="1440" w:gutter="0" w:footer="0" w:header="0"/>
        </w:sectPr>
      </w:pPr>
    </w:p>
    <w:bookmarkStart w:id="8" w:name="page9"/>
    <w:bookmarkEnd w:id="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with respect to the clinical hold on PHA121 clinical trials in the U.S.; the expected timing, progress, or success of our clinical development programs, especially for PHVS416 and PHVS719, which are in mid-stage global clinical trials and are currently on hold in the U.S. as a result of the clinical hold; risks associated with the COVID-19 pandemic, which may adversely impact our business, nonclinical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changes in general market, political and economic conditions, including as a result of the current conflict between Russia and Ukraine; and the other factors described under the headings “Cautionary Statement Regarding Forward-Looking Statements” and “Item 3. Key Information—D. Risk Factors” in our Annual Report on Form 20-F and other periodic filings with the Securities and Exchange Commission.</w:t>
      </w:r>
    </w:p>
    <w:p>
      <w:pPr>
        <w:spacing w:after="0" w:line="19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Pharvaris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Maryann Cimino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Corporate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+1-617-710-7305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maryann.cimino@pharvaris.com</w:t>
      </w:r>
    </w:p>
    <w:p>
      <w:pPr>
        <w:sectPr>
          <w:pgSz w:w="11900" w:h="16838" w:orient="portrait"/>
          <w:cols w:equalWidth="0" w:num="1">
            <w:col w:w="11000"/>
          </w:cols>
          <w:pgMar w:left="440" w:top="270" w:right="4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and six months ended June 30, 2022 and 2021 included as Exhibit 99.3 to the Report on Form 6-K to which this discussion is attached as Exhibit 99.2. We also recommend that you read “Item 4. Information on the Company”, “Item 5. Operating and Financial Review and Prospects” and our audited consolidated financial statements for fiscal year 2021, and the notes thereto, which appear in our Annual Report on Form</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20-F for the year ended December 31, 2021 (the “Annual Report”) filed with the U.S. Securities and Exchange Commission (the “SEC”). In addition, we recommend that you read any public announcements made from time to time by Pharvaris N.V.</w:t>
      </w:r>
    </w:p>
    <w:p>
      <w:pPr>
        <w:spacing w:after="0" w:line="18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discussion is based on our financial information prepared in accordance with the International Financial Reporting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180"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to “Pharvaris” or the “Company,” “we,” “our,” “ours,” “us”, or similar terms refer to Pharvaris N.V. and its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7"/>
          <w:szCs w:val="17"/>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w:t>
      </w:r>
    </w:p>
    <w:p>
      <w:pPr>
        <w:spacing w:after="0" w:line="19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In our completed Phase 1 trials to-date, we have observed that PHA121 was orally bioavailable and well tolerated at all doses studied, with approximately dose-proportional exposure. We also have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in comparison with that of icatibant, but we do not yet have data from a PHA121 Phase 2 study. We plan to progress PHA121 through clinical development for on-demand and prophylactic use with our on-demand product candidate, PHVS416, and extended-release product candidate, PHVS719, respectively.</w:t>
      </w:r>
    </w:p>
    <w:p>
      <w:pPr>
        <w:sectPr>
          <w:pgSz w:w="11900" w:h="16838" w:orient="portrait"/>
          <w:cols w:equalWidth="0" w:num="1">
            <w:col w:w="11020"/>
          </w:cols>
          <w:pgMar w:left="440" w:top="117" w:right="439" w:bottom="1440" w:gutter="0" w:footer="0" w:header="0"/>
        </w:sectPr>
      </w:pPr>
    </w:p>
    <w:bookmarkStart w:id="10" w:name="page11"/>
    <w:bookmarkEnd w:id="10"/>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commenced our RAPIDe-1 Phase 2 clinical trial of PHVS416 in February 2021. We also commenced CHAPTER-1, a Phase 2 clinical trial for prophylaxis in 2021 using twice-daily dosing of the PHVS416 softgel capsules. Our primary objective with CHAPTER-1 is to assess the safety profile of PHVS416 dose regimens for prophylactic treatments in HAE patients. Please see “Recent Announcements” for an update regarding these clinical trials. We also initiated a Phase 1 clinical trial with PHVS719 in 2021 to assess pharmacokinetics of the extended-release formulation and reported results in the first quarter of 2022. In healthy volunteers, a single dose of PHVS719 was well tolerated with an extended-release profile supporting once-daily dosing.</w:t>
      </w:r>
    </w:p>
    <w:p>
      <w:pPr>
        <w:spacing w:after="0" w:line="187"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w:t>
      </w:r>
    </w:p>
    <w:p>
      <w:pPr>
        <w:spacing w:after="0" w:line="183" w:lineRule="exact"/>
        <w:rPr>
          <w:sz w:val="20"/>
          <w:szCs w:val="20"/>
          <w:color w:val="auto"/>
        </w:rPr>
      </w:pPr>
    </w:p>
    <w:p>
      <w:pPr>
        <w:ind w:right="60" w:firstLine="440"/>
        <w:spacing w:after="0" w:line="269" w:lineRule="auto"/>
        <w:rPr>
          <w:sz w:val="20"/>
          <w:szCs w:val="20"/>
          <w:color w:val="auto"/>
        </w:rPr>
      </w:pPr>
      <w:r>
        <w:rPr>
          <w:rFonts w:ascii="Times New Roman" w:cs="Times New Roman" w:eastAsia="Times New Roman" w:hAnsi="Times New Roman"/>
          <w:sz w:val="17"/>
          <w:szCs w:val="17"/>
          <w:color w:val="auto"/>
        </w:rPr>
        <w:t>In response to the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 We have also taken steps to identify and mitigate the adverse effects and risks to the Company as a result of the pandemic. We have modified our business practices, including implementing work from home arrangements for employees able to perform their duties remotely and practicing safe social distancing in our operations. We expect to continue to take actions as may be required or recommended by government authorities or in the best interests of our employees and business partners. While the impact of COVID-19 on the Company’s operations and financial performance has so far been limited, the extent to which COVID-19 may impact our financial condition or results of operations in the future is uncertain. For instance, the ongoing spread of variants of the COVID-19 virus may continue to interrupt, or delay, our clinical trial activities, regulatory reviews, manufacturing activities and supply chain. 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including among other things, the effectiveness and outreach of COVID-19 vaccines.</w:t>
      </w:r>
    </w:p>
    <w:p>
      <w:pPr>
        <w:spacing w:after="0" w:line="18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the invasion of Ukraine and the retaliatory measures that have been taken, or could be taken in the future, by the United States, NATO, and other countries have created global security concerns that could result in a regional conflict and also adversely affect our ability to conduct ongoing and future clinical trials of our product candidates. For example, our RAPIDe-1 study includes a significant number of patients in Germany, Poland, and Bulgaria.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Announcements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11, 2022, we announced the appointment of Joan Schmidt, J.D., to the newly created position of Chief Legal Officer, effective June 1, 2022.</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August 22, 2022, we announced that the U.S. Food and Drug Administration (the “FDA”) had verbally informed us that, based on its review of nonclinical data, it is placing a clinical hold on the clinical trials of PHA121 in the United States (the “clinical hold”). The FDA indicated it will provide a formal clinical hold letter to Pharvaris within approximately 30 days following the verbal notice.</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September 12, 2022, we announced that we have received formal clinical hold letters from the FDA. The FDA requested that we conduct an additional long-term rodent toxicology study and update the Investigator’s Brochure. The letters stated that the nonclinical observations are unlikely due to B2 receptor antagonism, the primary mechanism of action of our compound. We plan to request a Type A meeting with the FDA to discuss on-demand and prophylactic proposals to address the clinical holds. In the RAPIDe-1 study, subsequent to the clinical hold in the U.S., we continue to evaluate PHVS416 for HAE attacks in patients enrolled outside the U.S. Given the current dataset of evaluable attacks, we anticipate announcing top-line data for the RAPIDe-1 study in the fourth quarter of 2022. We are working with country-specific regulatory authorities regarding the ongoing CHAPTER-1 Phase 2 study of PHVS416 for the prophylactic treatment of HAE attacks. We have notified country-specific regulatory authorities in Canada, Europe, Israel, and the UK of the U.S. clinical hold. When we have more clarity regarding the impact of the U.S. clinical hold and additional feedback from global regulatory authorities, we will provide guidance on the timing of announcing top-line data for the CHAPTER-1 trial.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Operations Overview</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We did not record any revenues during the period covered by the historical financial information included in this Report. We do not expect to recognize any revenues before we are able to commercialize our first product.</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We are focused on the clinical development of PHA121. Since our inception, we have devoted substantially all our resources to research and development efforts relating to the development of PHA121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Research and development expenses consist of the following:</w:t>
      </w:r>
    </w:p>
    <w:p>
      <w:pPr>
        <w:spacing w:after="0" w:line="131" w:lineRule="exact"/>
        <w:rPr>
          <w:sz w:val="20"/>
          <w:szCs w:val="20"/>
          <w:color w:val="auto"/>
        </w:rPr>
      </w:pPr>
    </w:p>
    <w:p>
      <w:pPr>
        <w:ind w:left="9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expenses, which includes salaries, pensions, share-based compensation expenses, bonus plans and other related costs for research and development staff;</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expenses, which include costs of our outsourced discovery and nonclinical development studies;</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67"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expenses, which include costs related to manufacturing of active pharmaceutical ingredients and manufacturing of the products used in our clinical trials and research and development activities;</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connection with investigator-sponsored clinical trials and evaluations;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advisers’ fees, including discovery, nonclinical, clinical, chemistry, manufacturing, and controls- related and other consulting services;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costs, which includes costs associated with obtaining and maintaining patents and other intellectual property;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costs.</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We anticipate that our total research and development expenses will continue to increase as we continue to progress PHVS416 and PHVS719 through clinical development.</w:t>
      </w:r>
    </w:p>
    <w:p>
      <w:pPr>
        <w:spacing w:after="0" w:line="162"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2" w:name="page13"/>
    <w:bookmarkEnd w:id="12"/>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Moreover, we cannot assure that we will be able to successfully develop or commercialize our product candidates, if approved for marketing. This is due to numerous risks and uncertainties associated with developing drugs. See “Item 3. Key Information—D. Risk factors” in our Annual Report for a discussion of these risks and uncertainties.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Selling and distribution expenses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We anticipate that we will continue to incur significant general and administrative expenses as we advance our research and development portfolio. General and administrative expenses consist of the following:</w:t>
      </w:r>
    </w:p>
    <w:p>
      <w:pPr>
        <w:spacing w:after="0" w:line="67" w:lineRule="exact"/>
        <w:rPr>
          <w:sz w:val="20"/>
          <w:szCs w:val="20"/>
          <w:color w:val="auto"/>
        </w:rPr>
      </w:pPr>
    </w:p>
    <w:p>
      <w:pPr>
        <w:ind w:left="960" w:right="4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including salaries, pensions, share-based compensation expenses, bonus plans and other related costs for staff and independent contractors in executive and operational functions;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auditors’ and advisers’ fees, including accounting, tax, legal, and other consulting services;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expenses, facilities and IT expenses, and other general expenses relating to our operations; and</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build-out of our commercial organization, including assessments of the HAE market landscape, pricing research, and congress attendance.</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expenses</w:t>
      </w:r>
    </w:p>
    <w:p>
      <w:pPr>
        <w:spacing w:after="0" w:line="121"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(“IPO”). The 2021 Plan became effective upon our conversion from Pharvaris B.V. into Pharvaris N.V., which occurred prior to the consummation of our IPO. The 2021 Plan provides for the grant of options, stock appreciation rights, restricted stock, RSUs, performance stock awards, other stock-based awards, performance cash awards and substitute awards. The fair values of these instruments are recognized as personnel expenses in either research and development expenses or general and administrative expenses.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 of operations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financial information shown below was derived from our unaudited condensed consolidated interim financial statements for the three and six months ended June 30, 2022 and 2021 included as Exhibit 99.3 to this Report on Form 6-K. The discussion below should be read along with these condensed consolidated interim financial statements, and it is qualified in its entirety by reference to them.</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June 30, 2022 and 2021</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40" w:type="dxa"/>
            <w:vAlign w:val="bottom"/>
            <w:gridSpan w:val="2"/>
          </w:tcPr>
          <w:p>
            <w:pPr>
              <w:jc w:val="center"/>
              <w:ind w:right="41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3"/>
        </w:trPr>
        <w:tc>
          <w:tcPr>
            <w:tcW w:w="56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w w:val="99"/>
              </w:rPr>
              <w:t>June 30</w:t>
            </w:r>
          </w:p>
        </w:tc>
        <w:tc>
          <w:tcPr>
            <w:tcW w:w="1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55"/>
        </w:trPr>
        <w:tc>
          <w:tcPr>
            <w:tcW w:w="5680" w:type="dxa"/>
            <w:vAlign w:val="bottom"/>
          </w:tcPr>
          <w:p>
            <w:pPr>
              <w:spacing w:after="0"/>
              <w:rPr>
                <w:sz w:val="13"/>
                <w:szCs w:val="13"/>
                <w:color w:val="auto"/>
              </w:rPr>
            </w:pPr>
          </w:p>
        </w:tc>
        <w:tc>
          <w:tcPr>
            <w:tcW w:w="1100" w:type="dxa"/>
            <w:vAlign w:val="bottom"/>
            <w:tcBorders>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Borders>
              <w:bottom w:val="single" w:sz="8" w:color="auto"/>
            </w:tcBorders>
          </w:tcPr>
          <w:p>
            <w:pPr>
              <w:jc w:val="right"/>
              <w:ind w:right="51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jc w:val="right"/>
              <w:ind w:right="9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r>
      <w:tr>
        <w:trPr>
          <w:trHeight w:val="156"/>
        </w:trPr>
        <w:tc>
          <w:tcPr>
            <w:tcW w:w="5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20" w:type="dxa"/>
            <w:vAlign w:val="bottom"/>
          </w:tcPr>
          <w:p>
            <w:pPr>
              <w:jc w:val="center"/>
              <w:ind w:left="536"/>
              <w:spacing w:after="0" w:line="155" w:lineRule="exact"/>
              <w:rPr>
                <w:sz w:val="20"/>
                <w:szCs w:val="20"/>
                <w:color w:val="auto"/>
              </w:rPr>
            </w:pPr>
            <w:r>
              <w:rPr>
                <w:rFonts w:ascii="Times New Roman" w:cs="Times New Roman" w:eastAsia="Times New Roman" w:hAnsi="Times New Roman"/>
                <w:sz w:val="14"/>
                <w:szCs w:val="14"/>
                <w:b w:val="1"/>
                <w:bCs w:val="1"/>
                <w:color w:val="auto"/>
              </w:rPr>
              <w:t>(in €)</w:t>
            </w: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(13,721,637)</w:t>
            </w:r>
          </w:p>
        </w:tc>
        <w:tc>
          <w:tcPr>
            <w:tcW w:w="1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(8,060,599)</w:t>
            </w: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(5,661,038)</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(7,660,133)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(4,664,726)</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(2,995,407)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(21,381,770)</w:t>
            </w:r>
          </w:p>
        </w:tc>
        <w:tc>
          <w:tcPr>
            <w:tcW w:w="1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(12,725,325)</w:t>
            </w: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(8,656,445)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(21,381,770)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(12,725,325)</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(8,656,445)</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income/(expense)</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11,501,804</w:t>
            </w:r>
          </w:p>
        </w:tc>
        <w:tc>
          <w:tcPr>
            <w:tcW w:w="1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(2,474,483)</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13,976,287</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(9,879,966)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(15,199,808)</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5,319,842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(2,741,102)</w:t>
            </w:r>
          </w:p>
        </w:tc>
        <w:tc>
          <w:tcPr>
            <w:tcW w:w="1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(2,965)</w:t>
            </w: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(2,738,137)</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92349%</w:t>
            </w:r>
          </w:p>
        </w:tc>
      </w:t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(12,621,068)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(15,202,773)</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2,581,705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w:t>
            </w:r>
          </w:p>
        </w:tc>
      </w:tr>
    </w:tbl>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generate any revenues for the three months ended June 30, 2022 and June 30, 2021.</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3200" w:type="dxa"/>
            <w:vAlign w:val="bottom"/>
            <w:gridSpan w:val="7"/>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40" w:type="dxa"/>
            <w:vAlign w:val="bottom"/>
          </w:tcPr>
          <w:p>
            <w:pPr>
              <w:spacing w:after="0"/>
              <w:rPr>
                <w:sz w:val="13"/>
                <w:szCs w:val="13"/>
                <w:color w:val="auto"/>
              </w:rPr>
            </w:pPr>
          </w:p>
        </w:tc>
        <w:tc>
          <w:tcPr>
            <w:tcW w:w="920" w:type="dxa"/>
            <w:vAlign w:val="bottom"/>
            <w:tcBorders>
              <w:bottom w:val="single" w:sz="8" w:color="auto"/>
            </w:tcBorders>
          </w:tcPr>
          <w:p>
            <w:pPr>
              <w:jc w:val="right"/>
              <w:ind w:right="2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left="156"/>
              <w:spacing w:after="0" w:line="155" w:lineRule="exact"/>
              <w:rPr>
                <w:sz w:val="20"/>
                <w:szCs w:val="20"/>
                <w:color w:val="auto"/>
              </w:rPr>
            </w:pPr>
            <w:r>
              <w:rPr>
                <w:rFonts w:ascii="Times New Roman" w:cs="Times New Roman" w:eastAsia="Times New Roman" w:hAnsi="Times New Roman"/>
                <w:sz w:val="14"/>
                <w:szCs w:val="14"/>
                <w:b w:val="1"/>
                <w:bCs w:val="1"/>
                <w:color w:val="auto"/>
              </w:rPr>
              <w:t>(in €)</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(3,061,036)</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(1,759,669)</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(1,301,367)</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(7,175,545)</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(3,496,223)</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(3,679,322)</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Nonclinical expenses</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(1,016,793)</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(1,181,660)</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164,867</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costs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(2,419,143)</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(1,601,980)</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(817,163)</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(49,120)</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(21,067)</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(28,053)</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92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(13,721,637</w:t>
            </w:r>
          </w:p>
        </w:tc>
        <w:tc>
          <w:tcPr>
            <w:tcW w:w="20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(8,060,599</w:t>
            </w:r>
          </w:p>
        </w:tc>
        <w:tc>
          <w:tcPr>
            <w:tcW w:w="20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(5,661,038</w:t>
            </w:r>
          </w:p>
        </w:tc>
        <w:tc>
          <w:tcPr>
            <w:tcW w:w="200" w:type="dxa"/>
            <w:vAlign w:val="bottom"/>
            <w:vMerge w:val="continue"/>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increased from €8,060,599 for the three months ended June 30, 2021 to €13,721,637 for the three months ended June 30, 2022. The increase in the research and development expenses is mainly driven by the progress made in the PHVS416 and PHVS719 development programs in the three months ended June 30, 2022. Clinical expenses increased by €3,679,322 for the three months ended June 30, 2022 compared to the three months ended June 30, 2021 due to the progress on and expansion of the on-demand and prophylactic programs. Nonclinical expenses decreased by €164,867 for the three months ended June 30, 2022 compared to the three months ended June 30, 2021 due to completion of certain nonclinical studies supporting the PHVS416 and PHVS719 clinical trial programs. Manufacturing costs relating to the API and pharmaceutical development of PHVS416 and PHVS719 increased by €817,163 for the three months ended June 30, 2022 compared to the three months ended June 30, 2021 due to supply costs associated with both clinical programs, the post-Phase 3 nonclinical study package and preparations for commercial supply. In the personnel expenses for the three months ended June 30, 2022 and 2021 an amount of €1,014,655 and €694,084, respectively, was included which related to share-based payments compensation arrangements. The increase in the share-based compensation is due to the new grants awarded in the three months ended June 30, 2022 and the cumulative charges of the awards granted up the three months ended March 31, 2022. The remaining increase in personnel expenses is driven by the growth of our organization resulting in additional employees hired, and yearly merit adjustments.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and administrative expenses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5"/>
          </w:tcPr>
          <w:p>
            <w:pPr>
              <w:jc w:val="center"/>
              <w:ind w:right="34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240" w:type="dxa"/>
            <w:vAlign w:val="bottom"/>
          </w:tcPr>
          <w:p>
            <w:pPr>
              <w:spacing w:after="0"/>
              <w:rPr>
                <w:sz w:val="13"/>
                <w:szCs w:val="13"/>
                <w:color w:val="auto"/>
              </w:rPr>
            </w:pPr>
          </w:p>
        </w:tc>
        <w:tc>
          <w:tcPr>
            <w:tcW w:w="840" w:type="dxa"/>
            <w:vAlign w:val="bottom"/>
            <w:tcBorders>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bottom w:val="single" w:sz="8" w:color="auto"/>
            </w:tcBorders>
          </w:tcPr>
          <w:p>
            <w:pPr>
              <w:jc w:val="right"/>
              <w:ind w:right="9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left="442"/>
              <w:spacing w:after="0" w:line="155" w:lineRule="exact"/>
              <w:rPr>
                <w:sz w:val="20"/>
                <w:szCs w:val="20"/>
                <w:color w:val="auto"/>
              </w:rPr>
            </w:pPr>
            <w:r>
              <w:rPr>
                <w:rFonts w:ascii="Times New Roman" w:cs="Times New Roman" w:eastAsia="Times New Roman" w:hAnsi="Times New Roman"/>
                <w:sz w:val="14"/>
                <w:szCs w:val="14"/>
                <w:b w:val="1"/>
                <w:bCs w:val="1"/>
                <w:color w:val="auto"/>
              </w:rPr>
              <w:t>(in €)</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(3,825,151)</w:t>
            </w:r>
          </w:p>
        </w:tc>
        <w:tc>
          <w:tcPr>
            <w:tcW w:w="11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(1,795,721)</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(2,029,430)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(254,899)</w:t>
            </w:r>
          </w:p>
        </w:tc>
        <w:tc>
          <w:tcPr>
            <w:tcW w:w="11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(161,559)</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(93,340)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(911,170)</w:t>
            </w:r>
          </w:p>
        </w:tc>
        <w:tc>
          <w:tcPr>
            <w:tcW w:w="11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(324,793)</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(586,377)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Accounting, tax and auditing fees</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(290,159)</w:t>
            </w:r>
          </w:p>
        </w:tc>
        <w:tc>
          <w:tcPr>
            <w:tcW w:w="11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(648,626)</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358,467</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communication and office expenses</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(1,618,732)</w:t>
            </w:r>
          </w:p>
        </w:tc>
        <w:tc>
          <w:tcPr>
            <w:tcW w:w="11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(1,510,566)</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(108,166)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(260,446)</w:t>
            </w:r>
          </w:p>
        </w:tc>
        <w:tc>
          <w:tcPr>
            <w:tcW w:w="11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(2,563)</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(257,883)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(499,576)</w:t>
            </w:r>
          </w:p>
        </w:tc>
        <w:tc>
          <w:tcPr>
            <w:tcW w:w="11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(220,898)</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(278,678)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84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(7,660,133</w:t>
            </w:r>
          </w:p>
        </w:tc>
        <w:tc>
          <w:tcPr>
            <w:tcW w:w="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(4,664,726</w:t>
            </w:r>
          </w:p>
        </w:tc>
        <w:tc>
          <w:tcPr>
            <w:tcW w:w="20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(2,995,407</w:t>
            </w:r>
          </w:p>
        </w:tc>
        <w:tc>
          <w:tcPr>
            <w:tcW w:w="200" w:type="dxa"/>
            <w:vAlign w:val="bottom"/>
            <w:vMerge w:val="continue"/>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from €4,664,726 for the three months ended June 30, 2021 to €7,660,133 for the three months ended June 30, 2022. The increase in general and administrative expenses was mainly driven by the growth of the Company following the completion of the IPO, which also led to additional expenses inherent to being a public company and increasing costs related to our commercial buildout. In the personnel expenses for the three months ended June 30, 2022 and 2021 an amount of €2,128,184 and €1,078,654 respectively, was included which related to share-based compensation arrangements. The increase in the share-based compensation expenses is due to the new grants (options and RSUs) made in three months ended June 30, 2022 and the cumulative charges of the awards already granted in the three months ended March 31, 2022. The remaining increase in personnel expenses is driven by the growth of our organization resulting in additional employees hired, and yearly merit adjustments.</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Finance income/(expense)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Finance income/(expense) for the three months ended June 30, 2022 and 2021 were €11,501,804 and (€2,474,483) respectively, a change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€13,976,287. The amount mainly relates to unrealized foreign exchange income, which is the result of translating the Company’s bank balances held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 to EUR. The foreign exchange rates changed in favor of the Company in the second quarter of 2022.</w:t>
      </w:r>
    </w:p>
    <w:p>
      <w:pPr>
        <w:spacing w:after="0" w:line="3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 year basis and subsequently allocated using the expected full year effective tax rate. The one-off items are recognized in full in the interim period in which they emerge. In the total interim tax charge, no distinction is made between current and deferred tax expenses/income.</w:t>
      </w:r>
    </w:p>
    <w:p>
      <w:pPr>
        <w:spacing w:after="0" w:line="183"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total tax expense over the three months ended June 30, 2022 principally relates to the Dutch fiscal unity for the utilization of a deferred tax asset (“DTA”) on carry forward losses which previously was not recognized, and a current tax expense which is calculated over the six months ended June 30, 2022, mainly driven by foreign exchange gains.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Comparison of the six months ended June 30, 2022 and 2021</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980" w:type="dxa"/>
            <w:vAlign w:val="bottom"/>
          </w:tcPr>
          <w:p>
            <w:pPr>
              <w:spacing w:after="0"/>
              <w:rPr>
                <w:sz w:val="13"/>
                <w:szCs w:val="13"/>
                <w:color w:val="auto"/>
              </w:rPr>
            </w:pPr>
          </w:p>
        </w:tc>
        <w:tc>
          <w:tcPr>
            <w:tcW w:w="940" w:type="dxa"/>
            <w:vAlign w:val="bottom"/>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3"/>
                <w:szCs w:val="13"/>
                <w:color w:val="auto"/>
              </w:rPr>
            </w:pPr>
          </w:p>
        </w:tc>
        <w:tc>
          <w:tcPr>
            <w:tcW w:w="92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14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jc w:val="right"/>
              <w:ind w:right="9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w:t>
            </w:r>
          </w:p>
        </w:tc>
        <w:tc>
          <w:tcPr>
            <w:tcW w:w="200" w:type="dxa"/>
            <w:vAlign w:val="bottom"/>
            <w:vMerge w:val="continue"/>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(27,236,126)</w:t>
            </w: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(16,132,053)</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(11,104,073)</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(13,525,138)</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(8,436,415)</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(5,088,724)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(40,761,264)</w:t>
            </w: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(24,568,468)</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(16,192,796)</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(40,761,264)</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(24,568,468)</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(16,192,796)</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14,892,983</w:t>
            </w:r>
          </w:p>
        </w:tc>
        <w:tc>
          <w:tcPr>
            <w:tcW w:w="11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3,344,373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11,548,610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(25,868,281)</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(21,224,095)</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(4,644,186)</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(2,779,817)</w:t>
            </w: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(21,554)</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(2,758,263)</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12797%</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(28,648,098)</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(21,245,649)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(7,402,449)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generate any revenues for the six months ended June 30, 2022 and June 30, 2021.</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9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12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w:t>
            </w:r>
          </w:p>
        </w:tc>
        <w:tc>
          <w:tcPr>
            <w:tcW w:w="300" w:type="dxa"/>
            <w:vAlign w:val="bottom"/>
          </w:tcPr>
          <w:p>
            <w:pPr>
              <w:jc w:val="right"/>
              <w:ind w:right="2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9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(5,590,207)</w:t>
            </w:r>
          </w:p>
        </w:tc>
        <w:tc>
          <w:tcPr>
            <w:tcW w:w="12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(3,768,165)</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(1,822,042)</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(13,741,610)</w:t>
            </w:r>
          </w:p>
        </w:tc>
        <w:tc>
          <w:tcPr>
            <w:tcW w:w="124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(6,761,928)</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(6,979,682)</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Nonclinical expenses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(1,832,918)</w:t>
            </w:r>
          </w:p>
        </w:tc>
        <w:tc>
          <w:tcPr>
            <w:tcW w:w="12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(2,143,713)</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310,795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costs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(5,883,668)</w:t>
            </w:r>
          </w:p>
        </w:tc>
        <w:tc>
          <w:tcPr>
            <w:tcW w:w="124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(2,920,172)</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(2,963,496)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costs</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(500,000)</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(187,723)</w:t>
            </w:r>
          </w:p>
        </w:tc>
        <w:tc>
          <w:tcPr>
            <w:tcW w:w="124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(38,075)</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(149,648)</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(27,236,126)</w:t>
            </w:r>
          </w:p>
        </w:tc>
        <w:tc>
          <w:tcPr>
            <w:tcW w:w="12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(16,132,053)</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(11,104,073)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increased from €16,132,053 for the six months ended June 30, 2021 to €27,236,126 for the six months ended June 30, 2022. The increase in the research and development expenses is mainly driven by the progress made in the PHVS416 and PHVS719 development programs in the first six months of 2022. Clinical expenses increased by €6,979,682 for the six months ended June 30, 2022 compared to the six months ended June 30, 2021 due to the progress on and expansion of the on-demand and prophylactic programs. Nonclinical expenses decreased by €310,795 for the six months ended June 30, 2022 compared to the six months ended June 30, 2021 due to completion of certain nonclinical studies supporting the PHVS416 and PHVS719 clinical trial programs. Manufacturing costs relating to the API and pharmaceutical development of PHVS416 and PHVS719 increased by €2,963,496 for the six months ended June 30, 2022 compared to the six months ended June 30, 2021 due to supply costs for both clinical programs, the post-Phase 3 nonclinical study package and preparations for commercial supply. For the six months ended June 30, 2021 license costs reflected a milestone payment of €500,000 that was paid to Analyticon upon the start of the clinical Phase 2. In the personnel expenses for the six months ended June 30, 2022 and 2021 an amount of €1,943,566 and €2,052,787, respectively, was included related to the share-based compensation arrangements. The decrease in the share-based compensation expenses is due to a remeasurement of the fair values of the stock options related to the performance periods 2021 and 2022 that occurred in the six months ended June 30, 2021 and the offset due to the new grants during the 6-month period, and the cumulative charges for the grants up to December 31, 2021. The remaining increase in personnel expenses was driven by the growth of our organization and yearly merit adjustments.</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8" w:right="49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and administrative expenses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5"/>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160" w:type="dxa"/>
            <w:vAlign w:val="bottom"/>
          </w:tcPr>
          <w:p>
            <w:pPr>
              <w:spacing w:after="0"/>
              <w:rPr>
                <w:sz w:val="13"/>
                <w:szCs w:val="13"/>
                <w:color w:val="auto"/>
              </w:rPr>
            </w:pPr>
          </w:p>
        </w:tc>
        <w:tc>
          <w:tcPr>
            <w:tcW w:w="920" w:type="dxa"/>
            <w:vAlign w:val="bottom"/>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8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1040" w:type="dxa"/>
            <w:vAlign w:val="bottom"/>
            <w:gridSpan w:val="2"/>
          </w:tcPr>
          <w:p>
            <w:pPr>
              <w:jc w:val="right"/>
              <w:ind w:right="321"/>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w:t>
            </w:r>
          </w:p>
        </w:tc>
        <w:tc>
          <w:tcPr>
            <w:tcW w:w="220" w:type="dxa"/>
            <w:vAlign w:val="bottom"/>
          </w:tcPr>
          <w:p>
            <w:pPr>
              <w:jc w:val="right"/>
              <w:ind w:right="85"/>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(6,270,034)</w:t>
            </w:r>
          </w:p>
        </w:tc>
        <w:tc>
          <w:tcPr>
            <w:tcW w:w="114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(3,036,786)</w:t>
            </w: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(3,233,248)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(432,811)</w:t>
            </w:r>
          </w:p>
        </w:tc>
        <w:tc>
          <w:tcPr>
            <w:tcW w:w="1140" w:type="dxa"/>
            <w:vAlign w:val="bottom"/>
            <w:gridSpan w:val="3"/>
          </w:tcPr>
          <w:p>
            <w:pPr>
              <w:jc w:val="right"/>
              <w:ind w:right="85"/>
              <w:spacing w:after="0"/>
              <w:rPr>
                <w:sz w:val="20"/>
                <w:szCs w:val="20"/>
                <w:color w:val="auto"/>
              </w:rPr>
            </w:pPr>
            <w:r>
              <w:rPr>
                <w:rFonts w:ascii="Times New Roman" w:cs="Times New Roman" w:eastAsia="Times New Roman" w:hAnsi="Times New Roman"/>
                <w:sz w:val="18"/>
                <w:szCs w:val="18"/>
                <w:color w:val="auto"/>
              </w:rPr>
              <w:t>(390,872)</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(41,939)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(1,795,170)</w:t>
            </w:r>
          </w:p>
        </w:tc>
        <w:tc>
          <w:tcPr>
            <w:tcW w:w="114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(1,132,706)</w:t>
            </w: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(662,464)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Accounting, tax and auditing fees</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(594,657)</w:t>
            </w:r>
          </w:p>
        </w:tc>
        <w:tc>
          <w:tcPr>
            <w:tcW w:w="1140" w:type="dxa"/>
            <w:vAlign w:val="bottom"/>
            <w:gridSpan w:val="3"/>
          </w:tcPr>
          <w:p>
            <w:pPr>
              <w:jc w:val="right"/>
              <w:ind w:right="85"/>
              <w:spacing w:after="0"/>
              <w:rPr>
                <w:sz w:val="20"/>
                <w:szCs w:val="20"/>
                <w:color w:val="auto"/>
              </w:rPr>
            </w:pPr>
            <w:r>
              <w:rPr>
                <w:rFonts w:ascii="Times New Roman" w:cs="Times New Roman" w:eastAsia="Times New Roman" w:hAnsi="Times New Roman"/>
                <w:sz w:val="18"/>
                <w:szCs w:val="18"/>
                <w:color w:val="auto"/>
              </w:rPr>
              <w:t>(1,086,756)</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492,099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communication and office expenses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(3,246,830)</w:t>
            </w:r>
          </w:p>
        </w:tc>
        <w:tc>
          <w:tcPr>
            <w:tcW w:w="114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(2,462,147)</w:t>
            </w: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(784,683)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(404,200)</w:t>
            </w:r>
          </w:p>
        </w:tc>
        <w:tc>
          <w:tcPr>
            <w:tcW w:w="1140" w:type="dxa"/>
            <w:vAlign w:val="bottom"/>
            <w:gridSpan w:val="3"/>
          </w:tcPr>
          <w:p>
            <w:pPr>
              <w:jc w:val="right"/>
              <w:ind w:right="85"/>
              <w:spacing w:after="0"/>
              <w:rPr>
                <w:sz w:val="20"/>
                <w:szCs w:val="20"/>
                <w:color w:val="auto"/>
              </w:rPr>
            </w:pPr>
            <w:r>
              <w:rPr>
                <w:rFonts w:ascii="Times New Roman" w:cs="Times New Roman" w:eastAsia="Times New Roman" w:hAnsi="Times New Roman"/>
                <w:sz w:val="18"/>
                <w:szCs w:val="18"/>
                <w:color w:val="auto"/>
              </w:rPr>
              <w:t>(3,357)</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(400,843)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(781,436)</w:t>
            </w:r>
          </w:p>
        </w:tc>
        <w:tc>
          <w:tcPr>
            <w:tcW w:w="114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(323,791)</w:t>
            </w: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(457,645)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92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(13,525,138</w:t>
            </w:r>
          </w:p>
        </w:tc>
        <w:tc>
          <w:tcPr>
            <w:tcW w:w="12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(8,436,415</w:t>
            </w:r>
          </w:p>
        </w:tc>
        <w:tc>
          <w:tcPr>
            <w:tcW w:w="2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(5,088,724</w:t>
            </w:r>
          </w:p>
        </w:tc>
        <w:tc>
          <w:tcPr>
            <w:tcW w:w="220" w:type="dxa"/>
            <w:vAlign w:val="bottom"/>
            <w:vMerge w:val="continue"/>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from €8,436,415 for the six months ended June 30, 2021 to €13,525,138 for the six months ended June 30, 2022. This is mainly driven by the growth of our organization following the completion of the IPO, which also led to additional expenses related to the operations of a public company and increasing costs related to our commercial buildout. In the personnel expenses for the six months ended June 30, 2022 and 2021 an amount of €3,146,211 and €1,816,561 respectively, was included which related to share-based compensation arrangements. The increase in the share-based compensation expenses is due to the grants made in the first six months of 2022. The remaining increase in personnel expenses is driven by the growth of our organization resulting in additional employees hired, and yearly merit adjustments.</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Finance income/(expense)</w:t>
      </w:r>
    </w:p>
    <w:p>
      <w:pPr>
        <w:spacing w:after="0" w:line="119"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Finance income for the six months ended June 30, 2022 and 2021 were €14,892,983 and €3,344,373 respectively, a change of €11,548,610. The amount mainly relates to unrealized foreign exchange income, which is the result of translating the group’s bank balances held in USD to EUR. The EUR/USD exchange rate has changed to our favor for the six months ended June 30, 2022.</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 year basis and subsequently allocated using the expected full year effective tax rate. The one-off items are recognized in full in the interim period in which they emerge. In the total interim tax charge, no distinction is made between current and deferred tax expenses/income.</w:t>
      </w:r>
    </w:p>
    <w:p>
      <w:pPr>
        <w:spacing w:after="0" w:line="183"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total tax expense over the six months ended June 30, 2022 principally relates to the Dutch fiscal unity for the utilization of a DTA on carry forward losses which previously was not recognized, and a current tax expense which is calculated over the six months ended June 30, 2022, mainly driven by foreign exchange gains.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Since inception, we have incurred significant operating losses. For the six months ended June 30, 2022 and 2021 we incurred losses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€28,648,098 and €21,245,649 respectively. Since inception, we have not generated any revenues or net cash flows from sales. We will not receive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or net cash flows from sales of our product candidate until it has been approved by regulatory authorities and we have commercialized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assurance that we will be able to do so.</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To date, we have relied solely on the issuance of equity securities to finance our operations and internal growth. On March 1, 2022, we entered into a sales agreement with SVB Securities LLC, or SVB Securities, pursuant to which we may sell ordinary shares having an aggregate offering price of up to $75 million from time to time through SVB Securities. During the six months ended June 30, 2022, we sold a total of 588,100 ordinary shares in two different transactions under the sales agreement generating total net proceeds of $9,698,504, after deducting $299,954 which was payable to SVB Securities as commission in respect of such sales. As of June 30, 2022 we had cash and cash equivalents of €201.4 million. Our cash and cash equivalents consist solely of cash at bank.</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our unaudited condensed consolidated interim financial statements for the three and six months ended June 30, 2022 and 2021. Accordingly, the unaudited condensed consolidated interim financial statements have been prepared on a going concern basis.</w:t>
      </w:r>
    </w:p>
    <w:p>
      <w:pPr>
        <w:spacing w:after="0" w:line="183"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Our future viability is dependent on our ability to raise additional capital to finance operations. We will need to finance our operations through public or private securities offerings, debt financings or other sources, which may include licensing, collaborations or other strategic transactions or arrangements. Although we have been successful in raising capital in the past, there is no assurance that we will be successful in obtaining such additional financing on terms acceptable to us, if at all. If we are unable to obtain funding, we could be forced to delay, reduce, or eliminate some or all of our research and development programs for product candidates, product portfolio expansion or commercialization efforts, which could adversely affect our business prospects, or we may be unable to continue operations.</w:t>
      </w:r>
    </w:p>
    <w:p>
      <w:pPr>
        <w:sectPr>
          <w:pgSz w:w="11900" w:h="16838" w:orient="portrait"/>
          <w:cols w:equalWidth="0" w:num="1">
            <w:col w:w="11020"/>
          </w:cols>
          <w:pgMar w:left="440" w:top="268" w:right="439" w:bottom="1440" w:gutter="0" w:footer="0" w:header="0"/>
        </w:sectPr>
      </w:pP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20"/>
          </w:cols>
          <w:pgMar w:left="440" w:top="268" w:right="439" w:bottom="1440" w:gutter="0" w:footer="0" w:header="0"/>
          <w:type w:val="continuous"/>
        </w:sectPr>
      </w:pPr>
    </w:p>
    <w:bookmarkStart w:id="17" w:name="page18"/>
    <w:bookmarkEnd w:id="17"/>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contractual obligations and commitments as of June 30, 2022 amounted to €16 million, primarily related to research and development commitments.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Comparison for the six months ended June 30, 2022 and June 30, 2021</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sets forth our primary sources and uses of our cash and cash equivalents for each of the periods set forth below:</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580" w:type="dxa"/>
            <w:vAlign w:val="bottom"/>
          </w:tcPr>
          <w:p>
            <w:pPr>
              <w:spacing w:after="0"/>
              <w:rPr>
                <w:sz w:val="13"/>
                <w:szCs w:val="13"/>
                <w:color w:val="auto"/>
              </w:rPr>
            </w:pPr>
          </w:p>
        </w:tc>
        <w:tc>
          <w:tcPr>
            <w:tcW w:w="960" w:type="dxa"/>
            <w:vAlign w:val="bottom"/>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3"/>
                <w:szCs w:val="13"/>
                <w:color w:val="auto"/>
              </w:rPr>
            </w:pPr>
          </w:p>
        </w:tc>
        <w:tc>
          <w:tcPr>
            <w:tcW w:w="960" w:type="dxa"/>
            <w:vAlign w:val="bottom"/>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340" w:type="dxa"/>
            <w:vAlign w:val="bottom"/>
            <w:gridSpan w:val="2"/>
          </w:tcPr>
          <w:p>
            <w:pPr>
              <w:jc w:val="right"/>
              <w:ind w:right="60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jc w:val="right"/>
              <w:ind w:right="1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w:t>
            </w:r>
          </w:p>
        </w:tc>
        <w:tc>
          <w:tcPr>
            <w:tcW w:w="320" w:type="dxa"/>
            <w:vAlign w:val="bottom"/>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(31,568,574)</w:t>
            </w:r>
          </w:p>
        </w:tc>
        <w:tc>
          <w:tcPr>
            <w:tcW w:w="12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(22,058,913)</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(9,509,661)</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(49,739)</w:t>
            </w: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(33,554)</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(16,185)</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8,823,313</w:t>
            </w:r>
          </w:p>
        </w:tc>
        <w:tc>
          <w:tcPr>
            <w:tcW w:w="12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144,306,260</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(135,482,947)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(22,794,999)</w:t>
            </w:r>
          </w:p>
        </w:tc>
        <w:tc>
          <w:tcPr>
            <w:tcW w:w="128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122,213,793</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(145,008,792)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209,353,132</w:t>
            </w:r>
          </w:p>
        </w:tc>
        <w:tc>
          <w:tcPr>
            <w:tcW w:w="12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98,628,871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110,724,261</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14,824,955</w:t>
            </w:r>
          </w:p>
        </w:tc>
        <w:tc>
          <w:tcPr>
            <w:tcW w:w="128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3,475,076</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11,349,879</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201,383,087</w:t>
            </w:r>
          </w:p>
        </w:tc>
        <w:tc>
          <w:tcPr>
            <w:tcW w:w="12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224,317,740</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(22,934,653)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reflects our results for the period adjusted for, among other things, depreciation, unrealized foreign exchange results, share-based compensation, changes in working capital and interest accruals and payments.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Net cash used in operating activities was €31,568,574 for the six months ended June 30, 2022, an increase of €9,509,661, compared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€22,058,913 for the six months ended June 30, 2021, primarily reflecting the increase in research and development expenses and other operating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expenses, due to progression made in the PHVS416 and PHVS719 development programs and the growth of our organization in 2021 and 2022.</w:t>
      </w:r>
    </w:p>
    <w:p>
      <w:pPr>
        <w:spacing w:after="0" w:line="3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Net cash flows used in investing activities increased by €16,185 from €33,554 for the six months ended June 30, 2021 to €49,739 for the six months ended June 30, 2022, primarily as a result of capital expenditure related to office equipment in 2022.</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Net cash flows provided by financing activities decreased by €135,482,947 from €144,306,260 for the six months ended June 30, 2021 to</w:t>
      </w:r>
    </w:p>
    <w:p>
      <w:pPr>
        <w:spacing w:after="0" w:line="27" w:lineRule="exact"/>
        <w:rPr>
          <w:sz w:val="20"/>
          <w:szCs w:val="20"/>
          <w:color w:val="auto"/>
        </w:rPr>
      </w:pPr>
    </w:p>
    <w:p>
      <w:pPr>
        <w:ind w:left="4" w:right="480" w:hanging="4"/>
        <w:spacing w:after="0" w:line="255" w:lineRule="auto"/>
        <w:tabs>
          <w:tab w:leader="none" w:pos="1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8,823,313 for the six months ended June 30, 2022. The net cash inflow in 2021 was the result of the proceeds from the IPO net of underwriting discount and other transaction costs. The cash inflow in six months ended June 30, 2022 relates to the sale of the ordinary shares under the sales agreement with SVB Securities offset by cash flows related to financial lease and transaction costs.</w:t>
      </w:r>
    </w:p>
    <w:p>
      <w:pPr>
        <w:spacing w:after="0" w:line="11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4"/>
          </w:cols>
          <w:pgMar w:left="436" w:top="270" w:right="5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Off-Balance Sheet Arrangements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2022, we did not have any off-balance sheet arrangements other than the disclosed commitments.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there were no significant changes to our quantitative and qualitative disclosures about market risk from those reported in “Item 11. Quantitative and Qualitative Disclosures About Market Risk” in the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Judgments</w:t>
      </w:r>
    </w:p>
    <w:p>
      <w:pPr>
        <w:spacing w:after="0" w:line="12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and estimates described in Note 2.19 to our consolidated financial statements in the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94" w:lineRule="exact"/>
        <w:rPr>
          <w:sz w:val="20"/>
          <w:szCs w:val="20"/>
          <w:color w:val="auto"/>
        </w:rPr>
      </w:pPr>
    </w:p>
    <w:p>
      <w:pPr>
        <w:ind w:left="960" w:right="14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outcome of our interactions with regulatory authorities, including the FDA with respect to the clinical hold on PHA121 clinical trials in the U.S;</w:t>
      </w:r>
    </w:p>
    <w:p>
      <w:pPr>
        <w:spacing w:after="0" w:line="67"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or success of our clinical development programs, especially for PHVS416 and PHVS719, which are in mid-stage global clinical trials and are currently on hold in the U.S. as a result of the clinical hold;</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COVID-19 pandemic, which may adversely impact our business, nonclinical studies and clinical trials, the timing of regulatory approvals and the value of our ordinary shares;</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and other limitations involved in obtaining regulatory approval for our product candidates PHVS416 and PHVS719 or any other product candidate that we may develop in the future;</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67"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commercial capabilities or enter into agreements with third parties to market, sell and distribute our product candidates;</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to perform critical activities related to the research, nonclinical safety and toxicology studies, development and manufacturing of our product candidates;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9" w:name="page20"/>
    <w:bookmarkEnd w:id="19"/>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ability to raise capital when needed and on acceptable terms;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any new licensing agreements or to maintain any licensing agreements with respect to our product candidates;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collaboration partners and licensees, whose actions we cannot control;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private insurers and other payors to provide reimbursement for our products;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European Union and other jurisdictions;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 timing of price negotiations with governmental authorities;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pharmaceutical industry and with competitive generic products;</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know-how and operate our business without infringing the intellectual property rights or regulatory exclusivity of others;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 or adverse events associated with the use of our product candidates;</w:t>
      </w:r>
    </w:p>
    <w:p>
      <w:pPr>
        <w:spacing w:after="0" w:line="130"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costly and damaging liability claims resulting from the testing of our product candidates in the clinic or, if, approved, any commercial sales;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any of our key personnel;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sizes and anticipated uses of our product candidates;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performance;</w:t>
      </w:r>
    </w:p>
    <w:p>
      <w:pPr>
        <w:spacing w:after="0" w:line="130"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anticipated operating losses, future revenues, expenses, capital requirements and our needs for additional financing;</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or future laws and regulations in a cost-efficient manner;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negative consequences from changes in applicable laws and regulations, including tax laws;</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remediate the material weaknesses in our internal control over financial reporting and to maintain an effective system of internal control over financial reporting;</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Jumpstart Our Business Startups Act or a foreign private issuer; and</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political and economic conditions, including as a result of inflation and the current conflict between Russia and Ukraine.</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You should refer to “ITEM 3. Key information—D. Risk factors.” section of our Annual Report for a discussion of important factors that may cause our actual results to differ materially from those expressed or implied by our forward-looking statements. As a result of these factors, we cannot assure you that the forward-looking statements in this management’s discussion and analysis will prove to be accurate. Furthermore, if our forward-looking statements prove to be inaccurate, the inaccuracy may be material.</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20" w:name="page21"/>
    <w:bookmarkEnd w:id="20"/>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statements, whether as a result of new information, future events or otherwise, except as required by law.</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and for the three and six months ended June 30, 2022</w:t>
      </w:r>
    </w:p>
    <w:p>
      <w:pPr>
        <w:sectPr>
          <w:pgSz w:w="11900" w:h="16838" w:orient="portrait"/>
          <w:cols w:equalWidth="0" w:num="1">
            <w:col w:w="11020"/>
          </w:cols>
          <w:pgMar w:left="440" w:top="117" w:right="4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8120" w:type="dxa"/>
            <w:vAlign w:val="bottom"/>
            <w:gridSpan w:val="5"/>
          </w:tcPr>
          <w:p>
            <w:pPr>
              <w:spacing w:after="0"/>
              <w:rPr>
                <w:sz w:val="17"/>
                <w:szCs w:val="17"/>
                <w:color w:val="auto"/>
              </w:rPr>
            </w:pPr>
          </w:p>
        </w:tc>
        <w:tc>
          <w:tcPr>
            <w:tcW w:w="160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9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6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78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9"/>
              </w:rPr>
              <w:t>Unaudited condensed consolidated statements of profit or loss and other comprehensive income or loss</w:t>
            </w:r>
          </w:p>
        </w:tc>
        <w:tc>
          <w:tcPr>
            <w:tcW w:w="15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412"/>
        </w:trPr>
        <w:tc>
          <w:tcPr>
            <w:tcW w:w="120" w:type="dxa"/>
            <w:vAlign w:val="bottom"/>
          </w:tcPr>
          <w:p>
            <w:pPr>
              <w:spacing w:after="0"/>
              <w:rPr>
                <w:sz w:val="24"/>
                <w:szCs w:val="24"/>
                <w:color w:val="auto"/>
              </w:rPr>
            </w:pPr>
          </w:p>
        </w:tc>
        <w:tc>
          <w:tcPr>
            <w:tcW w:w="9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Unaudited condensed consolidated statements of financial position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0"/>
        </w:trPr>
        <w:tc>
          <w:tcPr>
            <w:tcW w:w="120" w:type="dxa"/>
            <w:vAlign w:val="bottom"/>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Unaudited condensed consolidated statements of changes in equity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12"/>
        </w:trPr>
        <w:tc>
          <w:tcPr>
            <w:tcW w:w="120" w:type="dxa"/>
            <w:vAlign w:val="bottom"/>
          </w:tcPr>
          <w:p>
            <w:pPr>
              <w:spacing w:after="0"/>
              <w:rPr>
                <w:sz w:val="24"/>
                <w:szCs w:val="24"/>
                <w:color w:val="auto"/>
              </w:rPr>
            </w:pPr>
          </w:p>
        </w:tc>
        <w:tc>
          <w:tcPr>
            <w:tcW w:w="50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rPr>
              <w:t>Unaudited condensed consolidated statements of cash flows</w:t>
            </w:r>
          </w:p>
        </w:tc>
        <w:tc>
          <w:tcPr>
            <w:tcW w:w="4280" w:type="dxa"/>
            <w:vAlign w:val="bottom"/>
            <w:gridSpan w:val="3"/>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0"/>
        </w:trPr>
        <w:tc>
          <w:tcPr>
            <w:tcW w:w="120" w:type="dxa"/>
            <w:vAlign w:val="bottom"/>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7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9"/>
              </w:rPr>
              <w:t>Notes to the unaudited condensed consolidated interim financial statements</w:t>
            </w:r>
          </w:p>
        </w:tc>
        <w:tc>
          <w:tcPr>
            <w:tcW w:w="3580" w:type="dxa"/>
            <w:vAlign w:val="bottom"/>
            <w:gridSpan w:val="2"/>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85"/>
        </w:trPr>
        <w:tc>
          <w:tcPr>
            <w:tcW w:w="59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profit or loss and other comprehensive income or loss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3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22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Notes</w:t>
            </w: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9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9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9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3"/>
                <w:szCs w:val="13"/>
                <w:color w:val="auto"/>
              </w:rPr>
            </w:pPr>
          </w:p>
        </w:tc>
        <w:tc>
          <w:tcPr>
            <w:tcW w:w="9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8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(13,721,637)</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(8,060,599)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(27,236,126)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(16,132,053)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(7,660,133)</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(4,664,726)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(13,525,138)</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(8,436,415)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(21,381,770)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(12,725,325)</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(40,761,264)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(24,568,468)</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income/(expense)</w:t>
            </w:r>
          </w:p>
        </w:tc>
        <w:tc>
          <w:tcPr>
            <w:tcW w:w="78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11,501,804</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(2,474,483)</w:t>
            </w:r>
          </w:p>
        </w:tc>
        <w:tc>
          <w:tcPr>
            <w:tcW w:w="2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14,892,983</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3,344,373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7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(9,879,966)</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(15,199,808)</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(25,868,281)</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(21,224,095)</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78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(2,741,102)</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(2,779,817)</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7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(12,621,068)</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(15,202,773)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(28,648,098)</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(21,245,649)</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gains arising on translation of foreign operations</w:t>
            </w:r>
          </w:p>
        </w:tc>
        <w:tc>
          <w:tcPr>
            <w:tcW w:w="7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(89,091)</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(80,411)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w:t>
            </w:r>
          </w:p>
        </w:tc>
        <w:tc>
          <w:tcPr>
            <w:tcW w:w="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holders of the Company</w:t>
            </w:r>
          </w:p>
        </w:tc>
        <w:tc>
          <w:tcPr>
            <w:tcW w:w="7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(12,710,159)</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(15,202,347)</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(28,728,509)</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(21,243,974)</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attributable to the equity holders of the Company during the</w:t>
            </w:r>
          </w:p>
        </w:tc>
        <w:tc>
          <w:tcPr>
            <w:tcW w:w="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4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periods</w:t>
            </w: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tc>
        <w:tc>
          <w:tcPr>
            <w:tcW w:w="78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w w:val="99"/>
              </w:rPr>
              <w:t>19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(0.46)</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350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color w:val="auto"/>
              </w:rPr>
              <w:t>Notes</w:t>
            </w: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3500" w:type="dxa"/>
            <w:vAlign w:val="bottom"/>
            <w:vMerge w:val="continue"/>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500" w:type="dxa"/>
            <w:vAlign w:val="bottom"/>
            <w:shd w:val="clear" w:color="auto" w:fill="CCEEFF"/>
          </w:tcPr>
          <w:p>
            <w:pPr>
              <w:jc w:val="center"/>
              <w:ind w:left="2852"/>
              <w:spacing w:after="0"/>
              <w:rPr>
                <w:sz w:val="20"/>
                <w:szCs w:val="20"/>
                <w:color w:val="auto"/>
              </w:rPr>
            </w:pPr>
            <w:r>
              <w:rPr>
                <w:rFonts w:ascii="Times New Roman" w:cs="Times New Roman" w:eastAsia="Times New Roman" w:hAnsi="Times New Roman"/>
                <w:sz w:val="18"/>
                <w:szCs w:val="18"/>
                <w:color w:val="auto"/>
                <w:w w:val="88"/>
              </w:rPr>
              <w:t>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141,846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108,099</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3500" w:type="dxa"/>
            <w:vAlign w:val="bottom"/>
          </w:tcPr>
          <w:p>
            <w:pPr>
              <w:jc w:val="center"/>
              <w:ind w:left="2852"/>
              <w:spacing w:after="0"/>
              <w:rPr>
                <w:sz w:val="20"/>
                <w:szCs w:val="20"/>
                <w:color w:val="auto"/>
              </w:rPr>
            </w:pPr>
            <w:r>
              <w:rPr>
                <w:rFonts w:ascii="Times New Roman" w:cs="Times New Roman" w:eastAsia="Times New Roman" w:hAnsi="Times New Roman"/>
                <w:sz w:val="18"/>
                <w:szCs w:val="18"/>
                <w:color w:val="auto"/>
                <w:w w:val="88"/>
              </w:rPr>
              <w:t>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210,714</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243,250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500" w:type="dxa"/>
            <w:vAlign w:val="bottom"/>
          </w:tcPr>
          <w:p>
            <w:pPr>
              <w:jc w:val="center"/>
              <w:ind w:left="2852"/>
              <w:spacing w:after="0"/>
              <w:rPr>
                <w:sz w:val="20"/>
                <w:szCs w:val="20"/>
                <w:color w:val="auto"/>
              </w:rPr>
            </w:pPr>
            <w:r>
              <w:rPr>
                <w:rFonts w:ascii="Times New Roman" w:cs="Times New Roman" w:eastAsia="Times New Roman" w:hAnsi="Times New Roman"/>
                <w:sz w:val="18"/>
                <w:szCs w:val="18"/>
                <w:color w:val="auto"/>
                <w:w w:val="88"/>
              </w:rPr>
              <w:t>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99,852</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172,052</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500" w:type="dxa"/>
            <w:vAlign w:val="bottom"/>
            <w:shd w:val="clear" w:color="auto" w:fill="CCEEFF"/>
          </w:tcPr>
          <w:p>
            <w:pPr>
              <w:jc w:val="center"/>
              <w:ind w:left="2872"/>
              <w:spacing w:after="0"/>
              <w:rPr>
                <w:sz w:val="20"/>
                <w:szCs w:val="20"/>
                <w:color w:val="auto"/>
              </w:rPr>
            </w:pPr>
            <w:r>
              <w:rPr>
                <w:rFonts w:ascii="Times New Roman" w:cs="Times New Roman" w:eastAsia="Times New Roman" w:hAnsi="Times New Roman"/>
                <w:sz w:val="18"/>
                <w:szCs w:val="18"/>
                <w:color w:val="auto"/>
                <w:w w:val="99"/>
              </w:rPr>
              <w:t>10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331,928</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700,079</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500" w:type="dxa"/>
            <w:vAlign w:val="bottom"/>
          </w:tcPr>
          <w:p>
            <w:pPr>
              <w:jc w:val="center"/>
              <w:ind w:left="2852"/>
              <w:spacing w:after="0"/>
              <w:rPr>
                <w:sz w:val="20"/>
                <w:szCs w:val="20"/>
                <w:color w:val="auto"/>
              </w:rPr>
            </w:pPr>
            <w:r>
              <w:rPr>
                <w:rFonts w:ascii="Times New Roman" w:cs="Times New Roman" w:eastAsia="Times New Roman" w:hAnsi="Times New Roman"/>
                <w:sz w:val="18"/>
                <w:szCs w:val="18"/>
                <w:color w:val="auto"/>
                <w:w w:val="88"/>
              </w:rPr>
              <w:t>11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4,575,567</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1,513,452</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00" w:type="dxa"/>
            <w:vAlign w:val="bottom"/>
            <w:shd w:val="clear" w:color="auto" w:fill="CCEEFF"/>
          </w:tcPr>
          <w:p>
            <w:pPr>
              <w:jc w:val="center"/>
              <w:ind w:left="2872"/>
              <w:spacing w:after="0"/>
              <w:rPr>
                <w:sz w:val="20"/>
                <w:szCs w:val="20"/>
                <w:color w:val="auto"/>
              </w:rPr>
            </w:pPr>
            <w:r>
              <w:rPr>
                <w:rFonts w:ascii="Times New Roman" w:cs="Times New Roman" w:eastAsia="Times New Roman" w:hAnsi="Times New Roman"/>
                <w:sz w:val="18"/>
                <w:szCs w:val="18"/>
                <w:color w:val="auto"/>
                <w:w w:val="99"/>
              </w:rPr>
              <w:t>12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201,383,087</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209,353,132</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206,742,994</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212,090,064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3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500" w:type="dxa"/>
            <w:vAlign w:val="bottom"/>
            <w:shd w:val="clear" w:color="auto" w:fill="CCEEFF"/>
          </w:tcPr>
          <w:p>
            <w:pPr>
              <w:jc w:val="center"/>
              <w:ind w:left="2872"/>
              <w:spacing w:after="0"/>
              <w:rPr>
                <w:sz w:val="20"/>
                <w:szCs w:val="20"/>
                <w:color w:val="auto"/>
              </w:rPr>
            </w:pPr>
            <w:r>
              <w:rPr>
                <w:rFonts w:ascii="Times New Roman" w:cs="Times New Roman" w:eastAsia="Times New Roman" w:hAnsi="Times New Roman"/>
                <w:sz w:val="18"/>
                <w:szCs w:val="18"/>
                <w:color w:val="auto"/>
                <w:w w:val="99"/>
              </w:rPr>
              <w:t>13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4,051,916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3,978,226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35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288,100,008</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278,742,900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3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14,713,625</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9,774,416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reserve</w:t>
            </w:r>
          </w:p>
        </w:tc>
        <w:tc>
          <w:tcPr>
            <w:tcW w:w="35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(54,483)</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25,928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w:t>
            </w:r>
          </w:p>
        </w:tc>
        <w:tc>
          <w:tcPr>
            <w:tcW w:w="3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(116,237,411)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(87,568,401)</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5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190,573,655</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204,953,069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3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3500" w:type="dxa"/>
            <w:vAlign w:val="bottom"/>
          </w:tcPr>
          <w:p>
            <w:pPr>
              <w:jc w:val="center"/>
              <w:ind w:left="2852"/>
              <w:spacing w:after="0"/>
              <w:rPr>
                <w:sz w:val="20"/>
                <w:szCs w:val="20"/>
                <w:color w:val="auto"/>
              </w:rPr>
            </w:pPr>
            <w:r>
              <w:rPr>
                <w:rFonts w:ascii="Times New Roman" w:cs="Times New Roman" w:eastAsia="Times New Roman" w:hAnsi="Times New Roman"/>
                <w:sz w:val="18"/>
                <w:szCs w:val="18"/>
                <w:color w:val="auto"/>
                <w:w w:val="88"/>
              </w:rPr>
              <w:t>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102,093</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150,752</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3500" w:type="dxa"/>
            <w:vAlign w:val="bottom"/>
          </w:tcPr>
          <w:p>
            <w:pPr>
              <w:jc w:val="center"/>
              <w:ind w:left="2872"/>
              <w:spacing w:after="0"/>
              <w:rPr>
                <w:sz w:val="20"/>
                <w:szCs w:val="20"/>
                <w:color w:val="auto"/>
              </w:rPr>
            </w:pPr>
            <w:r>
              <w:rPr>
                <w:rFonts w:ascii="Times New Roman" w:cs="Times New Roman" w:eastAsia="Times New Roman" w:hAnsi="Times New Roman"/>
                <w:sz w:val="18"/>
                <w:szCs w:val="18"/>
                <w:color w:val="auto"/>
                <w:w w:val="99"/>
              </w:rPr>
              <w:t>14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4,168,955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2,490,572</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500" w:type="dxa"/>
            <w:vAlign w:val="bottom"/>
            <w:shd w:val="clear" w:color="auto" w:fill="CCEEFF"/>
          </w:tcPr>
          <w:p>
            <w:pPr>
              <w:jc w:val="center"/>
              <w:ind w:left="2872"/>
              <w:spacing w:after="0"/>
              <w:rPr>
                <w:sz w:val="20"/>
                <w:szCs w:val="20"/>
                <w:color w:val="auto"/>
              </w:rPr>
            </w:pPr>
            <w:r>
              <w:rPr>
                <w:rFonts w:ascii="Times New Roman" w:cs="Times New Roman" w:eastAsia="Times New Roman" w:hAnsi="Times New Roman"/>
                <w:sz w:val="18"/>
                <w:szCs w:val="18"/>
                <w:color w:val="auto"/>
                <w:w w:val="99"/>
              </w:rPr>
              <w:t>15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8,981,038</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4,270,082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3500" w:type="dxa"/>
            <w:vAlign w:val="bottom"/>
          </w:tcPr>
          <w:p>
            <w:pPr>
              <w:jc w:val="center"/>
              <w:ind w:left="2852"/>
              <w:spacing w:after="0"/>
              <w:rPr>
                <w:sz w:val="20"/>
                <w:szCs w:val="20"/>
                <w:color w:val="auto"/>
              </w:rPr>
            </w:pPr>
            <w:r>
              <w:rPr>
                <w:rFonts w:ascii="Times New Roman" w:cs="Times New Roman" w:eastAsia="Times New Roman" w:hAnsi="Times New Roman"/>
                <w:sz w:val="18"/>
                <w:szCs w:val="18"/>
                <w:color w:val="auto"/>
                <w:w w:val="88"/>
              </w:rPr>
              <w:t>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110,772</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99,432</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liability</w:t>
            </w:r>
          </w:p>
        </w:tc>
        <w:tc>
          <w:tcPr>
            <w:tcW w:w="3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2,806,481</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126,157</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5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16,169,339</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7,136,995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206,742,994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212,090,064</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equity</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six months ended June 30, 2022 and June 30,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Share</w:t>
            </w: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Share</w:t>
            </w: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color w:val="auto"/>
              </w:rPr>
              <w:t>Currency</w:t>
            </w:r>
          </w:p>
        </w:tc>
        <w:tc>
          <w:tcPr>
            <w:tcW w:w="122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color w:val="auto"/>
              </w:rPr>
              <w:t>Accumulated</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4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2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2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rPr>
              <w:t>Notes</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capital</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premium</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reserves</w:t>
            </w:r>
          </w:p>
        </w:tc>
        <w:tc>
          <w:tcPr>
            <w:tcW w:w="84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color w:val="auto"/>
              </w:rPr>
              <w:t>reserve</w:t>
            </w:r>
          </w:p>
        </w:tc>
        <w:tc>
          <w:tcPr>
            <w:tcW w:w="122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color w:val="auto"/>
              </w:rPr>
              <w:t>losses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235,693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138,034,580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1,979,875</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(4,365)</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(44,459,954)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95,785,829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Pr>
          <w:p>
            <w:pPr>
              <w:spacing w:after="0"/>
              <w:rPr>
                <w:sz w:val="18"/>
                <w:szCs w:val="18"/>
                <w:color w:val="auto"/>
              </w:rPr>
            </w:pPr>
          </w:p>
        </w:tc>
        <w:tc>
          <w:tcPr>
            <w:tcW w:w="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(21,245,649)</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(21,245,649)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par value</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2,592,621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(2,592,621)</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Issue of share capital</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1,141,329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156,014,570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157,155,899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on issue of shares</w:t>
            </w:r>
          </w:p>
        </w:tc>
        <w:tc>
          <w:tcPr>
            <w:tcW w:w="1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(13,154,360)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(13,154,360)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reserve</w:t>
            </w:r>
          </w:p>
        </w:tc>
        <w:tc>
          <w:tcPr>
            <w:tcW w:w="1200" w:type="dxa"/>
            <w:vAlign w:val="bottom"/>
          </w:tcPr>
          <w:p>
            <w:pPr>
              <w:spacing w:after="0"/>
              <w:rPr>
                <w:sz w:val="18"/>
                <w:szCs w:val="18"/>
                <w:color w:val="auto"/>
              </w:rPr>
            </w:pPr>
          </w:p>
        </w:tc>
        <w:tc>
          <w:tcPr>
            <w:tcW w:w="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1,675</w:t>
            </w: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upon exercise of RSUs</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(35,161)</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(231,803)</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(265,255)</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3,869,348</w:t>
            </w: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3,869,348</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upon exercise of options</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133,360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(56,520)</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80,920</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3,975,432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278,435,529</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5,757,542</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(65,937,406)</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222,228,407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3,978,226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278,742,900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9,774,416</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25,928</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(87,568,401)</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204,953,069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Pr>
          <w:p>
            <w:pPr>
              <w:spacing w:after="0"/>
              <w:rPr>
                <w:sz w:val="18"/>
                <w:szCs w:val="18"/>
                <w:color w:val="auto"/>
              </w:rPr>
            </w:pPr>
          </w:p>
        </w:tc>
        <w:tc>
          <w:tcPr>
            <w:tcW w:w="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(28,648,098)</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(28,648,098)</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share capital</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70,572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9,464,901</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9,535,473</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on issue of shares</w:t>
            </w:r>
          </w:p>
        </w:tc>
        <w:tc>
          <w:tcPr>
            <w:tcW w:w="1200" w:type="dxa"/>
            <w:vAlign w:val="bottom"/>
          </w:tcPr>
          <w:p>
            <w:pPr>
              <w:spacing w:after="0"/>
              <w:rPr>
                <w:sz w:val="18"/>
                <w:szCs w:val="18"/>
                <w:color w:val="auto"/>
              </w:rPr>
            </w:pPr>
          </w:p>
        </w:tc>
        <w:tc>
          <w:tcPr>
            <w:tcW w:w="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(307,710)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(307,710)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reserve</w:t>
            </w:r>
          </w:p>
        </w:tc>
        <w:tc>
          <w:tcPr>
            <w:tcW w:w="1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(80,411)</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(80,411)</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5,089,777</w:t>
            </w: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5,089,777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share-based payments</w:t>
            </w:r>
          </w:p>
        </w:tc>
        <w:tc>
          <w:tcPr>
            <w:tcW w:w="1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199,917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(150,568)</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(20,912)</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31,555</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4,051,916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288,100,008</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14,713,625</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(54,483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(116,237,411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190,573,655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six months ended June 30,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160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color w:val="auto"/>
              </w:rPr>
              <w:t>Notes</w:t>
            </w: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16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(25,868,281)</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(21,224,095)</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adjustments to reconcile loss before tax to net cash flows from operations:</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160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9"/>
              </w:rPr>
              <w:t>18</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5,089,777</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3,869,348</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600" w:type="dxa"/>
            <w:vAlign w:val="bottom"/>
            <w:shd w:val="clear" w:color="auto" w:fill="CCEEFF"/>
          </w:tcPr>
          <w:p>
            <w:pPr>
              <w:jc w:val="center"/>
              <w:ind w:left="892"/>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68,195</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15,048</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(gain)/loss</w:t>
            </w:r>
          </w:p>
        </w:tc>
        <w:tc>
          <w:tcPr>
            <w:tcW w:w="160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(14,971,998)</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(3,503,986)</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600" w:type="dxa"/>
            <w:vAlign w:val="bottom"/>
            <w:shd w:val="clear" w:color="auto" w:fill="CCEEFF"/>
          </w:tcPr>
          <w:p>
            <w:pPr>
              <w:jc w:val="center"/>
              <w:ind w:left="892"/>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79,016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159,613</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receivables</w:t>
            </w:r>
          </w:p>
        </w:tc>
        <w:tc>
          <w:tcPr>
            <w:tcW w:w="1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368,151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(143,187)</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6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(2,563,219)</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(3,919,580)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trade and other payables</w:t>
            </w:r>
          </w:p>
        </w:tc>
        <w:tc>
          <w:tcPr>
            <w:tcW w:w="1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1,678,383</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2,367,811</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accrued liabilities</w:t>
            </w:r>
          </w:p>
        </w:tc>
        <w:tc>
          <w:tcPr>
            <w:tcW w:w="16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4,609,866</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481,628</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interest</w:t>
            </w:r>
          </w:p>
        </w:tc>
        <w:tc>
          <w:tcPr>
            <w:tcW w:w="1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(58,463)</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(134,418)</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(27,095)</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(31,568,574)</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(22,058,913)</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600" w:type="dxa"/>
            <w:vAlign w:val="bottom"/>
            <w:shd w:val="clear" w:color="auto" w:fill="CCEEFF"/>
          </w:tcPr>
          <w:p>
            <w:pPr>
              <w:jc w:val="center"/>
              <w:ind w:left="892"/>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(49,739)</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(33,554)</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6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(49,739)</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issue of shares</w:t>
            </w:r>
          </w:p>
        </w:tc>
        <w:tc>
          <w:tcPr>
            <w:tcW w:w="160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9"/>
              </w:rPr>
              <w:t>13</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9,587,940</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157,236,819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(727,308)</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(12,925,547)</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financial liability</w:t>
            </w:r>
          </w:p>
        </w:tc>
        <w:tc>
          <w:tcPr>
            <w:tcW w:w="16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(37,319)</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(5,012)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financing activities</w:t>
            </w:r>
          </w:p>
        </w:tc>
        <w:tc>
          <w:tcPr>
            <w:tcW w:w="1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8,823,313</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144,306,260</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(22,794,999)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122,213,793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209,353,132</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98,628,871</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6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14,824,955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3,475,076</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600" w:type="dxa"/>
            <w:vAlign w:val="bottom"/>
            <w:shd w:val="clear" w:color="auto" w:fill="CCEEFF"/>
          </w:tcPr>
          <w:p>
            <w:pPr>
              <w:jc w:val="center"/>
              <w:ind w:left="892"/>
              <w:spacing w:after="0"/>
              <w:rPr>
                <w:sz w:val="20"/>
                <w:szCs w:val="20"/>
                <w:color w:val="auto"/>
              </w:rPr>
            </w:pPr>
            <w:r>
              <w:rPr>
                <w:rFonts w:ascii="Times New Roman" w:cs="Times New Roman" w:eastAsia="Times New Roman" w:hAnsi="Times New Roman"/>
                <w:sz w:val="18"/>
                <w:szCs w:val="18"/>
                <w:color w:val="auto"/>
                <w:w w:val="99"/>
              </w:rPr>
              <w:t>12</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201,383,087</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224,317,740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interim financial statements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Corporate and Group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section provides general corporate and group information about Pharvaris N.V. and its subsidiaries.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Corporate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Pharvaris N.V. was incorporated on September 30, 2015 and is based in Leiden, the Netherlands.</w:t>
      </w:r>
    </w:p>
    <w:p>
      <w:pPr>
        <w:spacing w:after="0" w:line="225"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address of its registered office is J.H. Oortweg 21, Leiden. The Company’s registered office is located at J.H. Oortweg 21, Leiden. It has been registered at the Chamber of Commerce under file number 64239411.</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of Pharvaris N.V. (the “Company” or “Pharvaris”) and its subsidiaries (collectively, “The Group”) as of June 30, 2022 and December 31, 2021, and for the three and six months ended June 30, 2022 and 2021 were authorized for issue in accordance with a resolution of the directors on September 12,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Group information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condensed consolidated interim financial statements of the Group include:</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color w:val="auto"/>
              </w:rPr>
              <w:t>% of equity interest as</w:t>
            </w:r>
          </w:p>
        </w:tc>
        <w:tc>
          <w:tcPr>
            <w:tcW w:w="0" w:type="dxa"/>
            <w:vAlign w:val="bottom"/>
          </w:tcPr>
          <w:p>
            <w:pPr>
              <w:spacing w:after="0"/>
              <w:rPr>
                <w:sz w:val="1"/>
                <w:szCs w:val="1"/>
                <w:color w:val="auto"/>
              </w:rPr>
            </w:pPr>
          </w:p>
        </w:tc>
      </w:tr>
      <w:tr>
        <w:trPr>
          <w:trHeight w:val="17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3180" w:type="dxa"/>
            <w:vAlign w:val="bottom"/>
            <w:vMerge w:val="restart"/>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Country of</w:t>
            </w: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 w:type="dxa"/>
            <w:vAlign w:val="bottom"/>
            <w:tcBorders>
              <w:bottom w:val="single" w:sz="8" w:color="auto"/>
            </w:tcBorders>
            <w:vMerge w:val="continue"/>
          </w:tcPr>
          <w:p>
            <w:pPr>
              <w:spacing w:after="0"/>
              <w:rPr>
                <w:sz w:val="11"/>
                <w:szCs w:val="11"/>
                <w:color w:val="auto"/>
              </w:rPr>
            </w:pPr>
          </w:p>
        </w:tc>
        <w:tc>
          <w:tcPr>
            <w:tcW w:w="318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color w:val="auto"/>
              </w:rPr>
              <w:t>Legal seat</w:t>
            </w:r>
          </w:p>
        </w:tc>
        <w:tc>
          <w:tcPr>
            <w:tcW w:w="380" w:type="dxa"/>
            <w:vAlign w:val="bottom"/>
          </w:tcPr>
          <w:p>
            <w:pPr>
              <w:spacing w:after="0"/>
              <w:rPr>
                <w:sz w:val="11"/>
                <w:szCs w:val="11"/>
                <w:color w:val="auto"/>
              </w:rPr>
            </w:pPr>
          </w:p>
        </w:tc>
        <w:tc>
          <w:tcPr>
            <w:tcW w:w="220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color w:val="auto"/>
              </w:rPr>
              <w:t>incorporation</w:t>
            </w: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2022</w:t>
            </w:r>
          </w:p>
        </w:tc>
        <w:tc>
          <w:tcPr>
            <w:tcW w:w="560" w:type="dxa"/>
            <w:vAlign w:val="bottom"/>
          </w:tcPr>
          <w:p>
            <w:pPr>
              <w:spacing w:after="0"/>
              <w:rPr>
                <w:sz w:val="11"/>
                <w:szCs w:val="11"/>
                <w:color w:val="auto"/>
              </w:rPr>
            </w:pPr>
          </w:p>
        </w:tc>
        <w:tc>
          <w:tcPr>
            <w:tcW w:w="480" w:type="dxa"/>
            <w:vAlign w:val="bottom"/>
          </w:tcPr>
          <w:p>
            <w:pPr>
              <w:jc w:val="right"/>
              <w:ind w:right="14"/>
              <w:spacing w:after="0" w:line="129" w:lineRule="exact"/>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Pharvaris Holdings B.V.</w:t>
            </w:r>
          </w:p>
        </w:tc>
        <w:tc>
          <w:tcPr>
            <w:tcW w:w="16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2"/>
            <w:vMerge w:val="continue"/>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Leiden</w:t>
            </w:r>
          </w:p>
        </w:tc>
        <w:tc>
          <w:tcPr>
            <w:tcW w:w="380" w:type="dxa"/>
            <w:vAlign w:val="bottom"/>
            <w:vMerge w:val="continue"/>
            <w:shd w:val="clear" w:color="auto" w:fill="CCEEFF"/>
          </w:tcPr>
          <w:p>
            <w:pPr>
              <w:spacing w:after="0"/>
              <w:rPr>
                <w:sz w:val="17"/>
                <w:szCs w:val="17"/>
                <w:color w:val="auto"/>
              </w:rPr>
            </w:pPr>
          </w:p>
        </w:tc>
        <w:tc>
          <w:tcPr>
            <w:tcW w:w="18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The Netherlands</w:t>
            </w:r>
          </w:p>
        </w:tc>
        <w:tc>
          <w:tcPr>
            <w:tcW w:w="38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348"/>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Pharvaris Netherlands B.V.</w:t>
            </w:r>
          </w:p>
        </w:tc>
        <w:tc>
          <w:tcPr>
            <w:tcW w:w="23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Leiden</w:t>
            </w:r>
          </w:p>
        </w:tc>
        <w:tc>
          <w:tcPr>
            <w:tcW w:w="25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The Netherlands</w:t>
            </w:r>
          </w:p>
        </w:tc>
        <w:tc>
          <w:tcPr>
            <w:tcW w:w="10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Pharvaris GmbH</w:t>
            </w:r>
          </w:p>
        </w:tc>
        <w:tc>
          <w:tcPr>
            <w:tcW w:w="230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Zug</w:t>
            </w:r>
          </w:p>
        </w:tc>
        <w:tc>
          <w:tcPr>
            <w:tcW w:w="25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Switzerland</w:t>
            </w:r>
          </w:p>
        </w:tc>
        <w:tc>
          <w:tcPr>
            <w:tcW w:w="10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Pharvaris, Inc.</w:t>
            </w:r>
          </w:p>
        </w:tc>
        <w:tc>
          <w:tcPr>
            <w:tcW w:w="23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Delaware</w:t>
            </w:r>
          </w:p>
        </w:tc>
        <w:tc>
          <w:tcPr>
            <w:tcW w:w="25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ultimate parent company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ultimate parent company of the Group is Pharvaris N.V.</w:t>
      </w:r>
    </w:p>
    <w:p>
      <w:pPr>
        <w:spacing w:after="0" w:line="329" w:lineRule="exact"/>
        <w:rPr>
          <w:sz w:val="20"/>
          <w:szCs w:val="20"/>
          <w:color w:val="auto"/>
        </w:rPr>
      </w:pPr>
    </w:p>
    <w:p>
      <w:pPr>
        <w:ind w:left="300" w:hanging="184"/>
        <w:spacing w:after="0"/>
        <w:tabs>
          <w:tab w:leader="none" w:pos="3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 Basis of preparation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have been prepared in accordance with IAS 34 Interim Financial Reporting as issued by the International Accounting Standards Board and should be read in conjunction with the Group’s annual consolidated financial statements for the year ended December 31, 2021 (“last annual financial statements”). These unaudited condensed consolidated interim financial statements do not include all the information required for a complete set of financial statements prepared in accordance with IFRS as issued by the IASB.</w:t>
      </w:r>
    </w:p>
    <w:p>
      <w:pPr>
        <w:spacing w:after="0" w:line="180"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However, selected explanatory notes are included to explain events and transactions that are significant to an understanding of the changes in the Group’s financial position and performance since the last annual financial statements.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312" w:lineRule="auto"/>
        <w:rPr>
          <w:sz w:val="20"/>
          <w:szCs w:val="20"/>
          <w:color w:val="auto"/>
        </w:rPr>
      </w:pPr>
      <w:r>
        <w:rPr>
          <w:rFonts w:ascii="Times New Roman" w:cs="Times New Roman" w:eastAsia="Times New Roman" w:hAnsi="Times New Roman"/>
          <w:sz w:val="17"/>
          <w:szCs w:val="17"/>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Revision of prior period loss per share</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the period ended June 30, 2022, the Company determined that it had incorrectly computed the weighted average number of ordinary shares outstanding used as denominator in calculating its basic and diluted loss per share in previously issued interim financial statements. This error had no impact to the Company’s operating expenses, or loss for the period, and had no impact to the Company’s consolidated statements of financial position, consolidated statements of changes in equity or consolidated statements of cash flows.</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Company assessed the materiality of these errors on the previously issued condensed consolidated interim financial statements and concluded that the errors were not material to any period presented. The impact of the revision of the previously issued interim financial statements is as follows: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reported vs revised ‘weighted average number of shares’: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tcPr>
          <w:p>
            <w:pPr>
              <w:jc w:val="center"/>
              <w:ind w:right="521"/>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40" w:type="dxa"/>
            <w:vAlign w:val="bottom"/>
          </w:tcPr>
          <w:p>
            <w:pPr>
              <w:spacing w:after="0"/>
              <w:rPr>
                <w:sz w:val="13"/>
                <w:szCs w:val="13"/>
                <w:color w:val="auto"/>
              </w:rPr>
            </w:pPr>
          </w:p>
        </w:tc>
        <w:tc>
          <w:tcPr>
            <w:tcW w:w="1540" w:type="dxa"/>
            <w:vAlign w:val="bottom"/>
            <w:gridSpan w:val="3"/>
          </w:tcPr>
          <w:p>
            <w:pPr>
              <w:jc w:val="center"/>
              <w:ind w:right="481"/>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 w:type="dxa"/>
            <w:vAlign w:val="bottom"/>
          </w:tcPr>
          <w:p>
            <w:pPr>
              <w:spacing w:after="0"/>
              <w:rPr>
                <w:sz w:val="13"/>
                <w:szCs w:val="13"/>
                <w:color w:val="auto"/>
              </w:rPr>
            </w:pPr>
          </w:p>
        </w:tc>
        <w:tc>
          <w:tcPr>
            <w:tcW w:w="15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Revision of</w:t>
            </w:r>
          </w:p>
        </w:tc>
        <w:tc>
          <w:tcPr>
            <w:tcW w:w="40" w:type="dxa"/>
            <w:vAlign w:val="bottom"/>
          </w:tcPr>
          <w:p>
            <w:pPr>
              <w:spacing w:after="0"/>
              <w:rPr>
                <w:sz w:val="13"/>
                <w:szCs w:val="13"/>
                <w:color w:val="auto"/>
              </w:rPr>
            </w:pPr>
          </w:p>
        </w:tc>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Revision of</w:t>
            </w:r>
          </w:p>
        </w:tc>
      </w:tr>
      <w:tr>
        <w:trPr>
          <w:trHeight w:val="148"/>
        </w:trPr>
        <w:tc>
          <w:tcPr>
            <w:tcW w:w="4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80" w:type="dxa"/>
            <w:vAlign w:val="bottom"/>
            <w:gridSpan w:val="4"/>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4"/>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40" w:type="dxa"/>
            <w:vAlign w:val="bottom"/>
          </w:tcPr>
          <w:p>
            <w:pPr>
              <w:spacing w:after="0"/>
              <w:rPr>
                <w:sz w:val="12"/>
                <w:szCs w:val="12"/>
                <w:color w:val="auto"/>
              </w:rPr>
            </w:pPr>
          </w:p>
        </w:tc>
        <w:tc>
          <w:tcPr>
            <w:tcW w:w="11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8"/>
        </w:trPr>
        <w:tc>
          <w:tcPr>
            <w:tcW w:w="4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80" w:type="dxa"/>
            <w:vAlign w:val="bottom"/>
            <w:gridSpan w:val="4"/>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580" w:type="dxa"/>
            <w:vAlign w:val="bottom"/>
            <w:gridSpan w:val="4"/>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54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40" w:type="dxa"/>
            <w:vAlign w:val="bottom"/>
          </w:tcPr>
          <w:p>
            <w:pPr>
              <w:spacing w:after="0"/>
              <w:rPr>
                <w:sz w:val="12"/>
                <w:szCs w:val="12"/>
                <w:color w:val="auto"/>
              </w:rPr>
            </w:pPr>
          </w:p>
        </w:tc>
        <w:tc>
          <w:tcPr>
            <w:tcW w:w="11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73"/>
        </w:trPr>
        <w:tc>
          <w:tcPr>
            <w:tcW w:w="4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tcPr>
          <w:p>
            <w:pPr>
              <w:jc w:val="center"/>
              <w:ind w:right="521"/>
              <w:spacing w:after="0"/>
              <w:rPr>
                <w:sz w:val="20"/>
                <w:szCs w:val="20"/>
                <w:color w:val="auto"/>
              </w:rPr>
            </w:pPr>
            <w:r>
              <w:rPr>
                <w:rFonts w:ascii="Times New Roman" w:cs="Times New Roman" w:eastAsia="Times New Roman" w:hAnsi="Times New Roman"/>
                <w:sz w:val="14"/>
                <w:szCs w:val="14"/>
                <w:b w:val="1"/>
                <w:bCs w:val="1"/>
                <w:color w:val="auto"/>
              </w:rPr>
              <w:t>(Quarterly)</w:t>
            </w:r>
          </w:p>
        </w:tc>
        <w:tc>
          <w:tcPr>
            <w:tcW w:w="40" w:type="dxa"/>
            <w:vAlign w:val="bottom"/>
          </w:tcPr>
          <w:p>
            <w:pPr>
              <w:spacing w:after="0"/>
              <w:rPr>
                <w:sz w:val="15"/>
                <w:szCs w:val="15"/>
                <w:color w:val="auto"/>
              </w:rPr>
            </w:pPr>
          </w:p>
        </w:tc>
        <w:tc>
          <w:tcPr>
            <w:tcW w:w="1540" w:type="dxa"/>
            <w:vAlign w:val="bottom"/>
            <w:gridSpan w:val="3"/>
          </w:tcPr>
          <w:p>
            <w:pPr>
              <w:jc w:val="center"/>
              <w:ind w:right="461"/>
              <w:spacing w:after="0"/>
              <w:rPr>
                <w:sz w:val="20"/>
                <w:szCs w:val="20"/>
                <w:color w:val="auto"/>
              </w:rPr>
            </w:pPr>
            <w:r>
              <w:rPr>
                <w:rFonts w:ascii="Times New Roman" w:cs="Times New Roman" w:eastAsia="Times New Roman" w:hAnsi="Times New Roman"/>
                <w:sz w:val="14"/>
                <w:szCs w:val="14"/>
                <w:b w:val="1"/>
                <w:bCs w:val="1"/>
                <w:color w:val="auto"/>
              </w:rPr>
              <w:t>(YTD)</w:t>
            </w:r>
          </w:p>
        </w:tc>
        <w:tc>
          <w:tcPr>
            <w:tcW w:w="20" w:type="dxa"/>
            <w:vAlign w:val="bottom"/>
          </w:tcPr>
          <w:p>
            <w:pPr>
              <w:spacing w:after="0"/>
              <w:rPr>
                <w:sz w:val="15"/>
                <w:szCs w:val="15"/>
                <w:color w:val="auto"/>
              </w:rPr>
            </w:pPr>
          </w:p>
        </w:tc>
        <w:tc>
          <w:tcPr>
            <w:tcW w:w="15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(Quarterly)</w:t>
            </w:r>
          </w:p>
        </w:tc>
        <w:tc>
          <w:tcPr>
            <w:tcW w:w="40" w:type="dxa"/>
            <w:vAlign w:val="bottom"/>
          </w:tcPr>
          <w:p>
            <w:pPr>
              <w:spacing w:after="0"/>
              <w:rPr>
                <w:sz w:val="15"/>
                <w:szCs w:val="15"/>
                <w:color w:val="auto"/>
              </w:rPr>
            </w:pPr>
          </w:p>
        </w:tc>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(YTD)</w:t>
            </w:r>
          </w:p>
        </w:tc>
      </w:tr>
      <w:tr>
        <w:trPr>
          <w:trHeight w:val="210"/>
        </w:trPr>
        <w:tc>
          <w:tcPr>
            <w:tcW w:w="44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Q1 2021</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9,104,630</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9,104,630</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22,104,888</w:t>
            </w: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22,104,888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Q2 2021</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16,154,350</w:t>
            </w:r>
          </w:p>
        </w:tc>
        <w:tc>
          <w:tcPr>
            <w:tcW w:w="44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16,154,350</w:t>
            </w:r>
          </w:p>
        </w:tc>
        <w:tc>
          <w:tcPr>
            <w:tcW w:w="480" w:type="dxa"/>
            <w:vAlign w:val="bottom"/>
          </w:tcPr>
          <w:p>
            <w:pPr>
              <w:spacing w:after="0"/>
              <w:rPr>
                <w:sz w:val="18"/>
                <w:szCs w:val="18"/>
                <w:color w:val="auto"/>
              </w:rPr>
            </w:pPr>
          </w:p>
        </w:tc>
        <w:tc>
          <w:tcPr>
            <w:tcW w:w="154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33,126,351</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27,646,066</w:t>
            </w:r>
          </w:p>
        </w:tc>
      </w:tr>
      <w:tr>
        <w:trPr>
          <w:trHeight w:val="216"/>
        </w:trPr>
        <w:tc>
          <w:tcPr>
            <w:tcW w:w="4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Q3 2021</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23,282,105</w:t>
            </w:r>
          </w:p>
        </w:tc>
        <w:tc>
          <w:tcPr>
            <w:tcW w:w="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23,282,105</w:t>
            </w:r>
          </w:p>
        </w:tc>
        <w:tc>
          <w:tcPr>
            <w:tcW w:w="48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33,128,593</w:t>
            </w: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29,493,657</w:t>
            </w:r>
          </w:p>
        </w:tc>
      </w:tr>
      <w:tr>
        <w:trPr>
          <w:trHeight w:val="238"/>
        </w:trPr>
        <w:tc>
          <w:tcPr>
            <w:tcW w:w="4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Q1 2022</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33,135,821</w:t>
            </w:r>
          </w:p>
        </w:tc>
        <w:tc>
          <w:tcPr>
            <w:tcW w:w="440" w:type="dxa"/>
            <w:vAlign w:val="bottom"/>
          </w:tcPr>
          <w:p>
            <w:pPr>
              <w:spacing w:after="0"/>
              <w:rPr>
                <w:sz w:val="20"/>
                <w:szCs w:val="20"/>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33,135,821</w:t>
            </w:r>
          </w:p>
        </w:tc>
        <w:tc>
          <w:tcPr>
            <w:tcW w:w="480" w:type="dxa"/>
            <w:vAlign w:val="bottom"/>
          </w:tcPr>
          <w:p>
            <w:pPr>
              <w:spacing w:after="0"/>
              <w:rPr>
                <w:sz w:val="20"/>
                <w:szCs w:val="20"/>
                <w:color w:val="auto"/>
              </w:rPr>
            </w:pPr>
          </w:p>
        </w:tc>
        <w:tc>
          <w:tcPr>
            <w:tcW w:w="154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33,151,892</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33,151,892</w:t>
            </w:r>
          </w:p>
        </w:tc>
      </w:tr>
      <w:tr>
        <w:trPr>
          <w:trHeight w:val="51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reported vs revised ‘basic and diluted loss per share’: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4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jc w:val="center"/>
              <w:ind w:right="341"/>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40" w:type="dxa"/>
            <w:vAlign w:val="bottom"/>
          </w:tcPr>
          <w:p>
            <w:pPr>
              <w:spacing w:after="0"/>
              <w:rPr>
                <w:sz w:val="24"/>
                <w:szCs w:val="24"/>
                <w:color w:val="auto"/>
              </w:rPr>
            </w:pPr>
          </w:p>
        </w:tc>
        <w:tc>
          <w:tcPr>
            <w:tcW w:w="1540" w:type="dxa"/>
            <w:vAlign w:val="bottom"/>
            <w:gridSpan w:val="3"/>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 w:type="dxa"/>
            <w:vAlign w:val="bottom"/>
          </w:tcPr>
          <w:p>
            <w:pPr>
              <w:spacing w:after="0"/>
              <w:rPr>
                <w:sz w:val="24"/>
                <w:szCs w:val="24"/>
                <w:color w:val="auto"/>
              </w:rPr>
            </w:pPr>
          </w:p>
        </w:tc>
        <w:tc>
          <w:tcPr>
            <w:tcW w:w="15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Revision of</w:t>
            </w:r>
          </w:p>
        </w:tc>
        <w:tc>
          <w:tcPr>
            <w:tcW w:w="40" w:type="dxa"/>
            <w:vAlign w:val="bottom"/>
          </w:tcPr>
          <w:p>
            <w:pPr>
              <w:spacing w:after="0"/>
              <w:rPr>
                <w:sz w:val="24"/>
                <w:szCs w:val="24"/>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Revision of</w:t>
            </w:r>
          </w:p>
        </w:tc>
      </w:tr>
      <w:tr>
        <w:trPr>
          <w:trHeight w:val="148"/>
        </w:trPr>
        <w:tc>
          <w:tcPr>
            <w:tcW w:w="4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basic and diluted</w:t>
            </w:r>
          </w:p>
        </w:tc>
        <w:tc>
          <w:tcPr>
            <w:tcW w:w="40" w:type="dxa"/>
            <w:vAlign w:val="bottom"/>
          </w:tcPr>
          <w:p>
            <w:pPr>
              <w:spacing w:after="0"/>
              <w:rPr>
                <w:sz w:val="12"/>
                <w:szCs w:val="12"/>
                <w:color w:val="auto"/>
              </w:rPr>
            </w:pPr>
          </w:p>
        </w:tc>
        <w:tc>
          <w:tcPr>
            <w:tcW w:w="1540" w:type="dxa"/>
            <w:vAlign w:val="bottom"/>
            <w:gridSpan w:val="3"/>
          </w:tcPr>
          <w:p>
            <w:pPr>
              <w:jc w:val="center"/>
              <w:ind w:right="381"/>
              <w:spacing w:after="0" w:line="149" w:lineRule="exact"/>
              <w:rPr>
                <w:sz w:val="20"/>
                <w:szCs w:val="20"/>
                <w:color w:val="auto"/>
              </w:rPr>
            </w:pPr>
            <w:r>
              <w:rPr>
                <w:rFonts w:ascii="Times New Roman" w:cs="Times New Roman" w:eastAsia="Times New Roman" w:hAnsi="Times New Roman"/>
                <w:sz w:val="14"/>
                <w:szCs w:val="14"/>
                <w:b w:val="1"/>
                <w:bCs w:val="1"/>
                <w:color w:val="auto"/>
              </w:rPr>
              <w:t>basic and diluted</w:t>
            </w:r>
          </w:p>
        </w:tc>
        <w:tc>
          <w:tcPr>
            <w:tcW w:w="20" w:type="dxa"/>
            <w:vAlign w:val="bottom"/>
          </w:tcPr>
          <w:p>
            <w:pPr>
              <w:spacing w:after="0"/>
              <w:rPr>
                <w:sz w:val="12"/>
                <w:szCs w:val="12"/>
                <w:color w:val="auto"/>
              </w:rPr>
            </w:pPr>
          </w:p>
        </w:tc>
        <w:tc>
          <w:tcPr>
            <w:tcW w:w="152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basic and diluted</w:t>
            </w:r>
          </w:p>
        </w:tc>
        <w:tc>
          <w:tcPr>
            <w:tcW w:w="11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basic and diluted</w:t>
            </w:r>
          </w:p>
        </w:tc>
      </w:tr>
      <w:tr>
        <w:trPr>
          <w:trHeight w:val="148"/>
        </w:trPr>
        <w:tc>
          <w:tcPr>
            <w:tcW w:w="4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loss per share</w:t>
            </w:r>
          </w:p>
        </w:tc>
        <w:tc>
          <w:tcPr>
            <w:tcW w:w="40" w:type="dxa"/>
            <w:vAlign w:val="bottom"/>
          </w:tcPr>
          <w:p>
            <w:pPr>
              <w:spacing w:after="0"/>
              <w:rPr>
                <w:sz w:val="12"/>
                <w:szCs w:val="12"/>
                <w:color w:val="auto"/>
              </w:rPr>
            </w:pPr>
          </w:p>
        </w:tc>
        <w:tc>
          <w:tcPr>
            <w:tcW w:w="1540" w:type="dxa"/>
            <w:vAlign w:val="bottom"/>
            <w:gridSpan w:val="3"/>
          </w:tcPr>
          <w:p>
            <w:pPr>
              <w:jc w:val="center"/>
              <w:ind w:right="381"/>
              <w:spacing w:after="0" w:line="149" w:lineRule="exact"/>
              <w:rPr>
                <w:sz w:val="20"/>
                <w:szCs w:val="20"/>
                <w:color w:val="auto"/>
              </w:rPr>
            </w:pPr>
            <w:r>
              <w:rPr>
                <w:rFonts w:ascii="Times New Roman" w:cs="Times New Roman" w:eastAsia="Times New Roman" w:hAnsi="Times New Roman"/>
                <w:sz w:val="14"/>
                <w:szCs w:val="14"/>
                <w:b w:val="1"/>
                <w:bCs w:val="1"/>
                <w:color w:val="auto"/>
              </w:rPr>
              <w:t>loss per share</w:t>
            </w:r>
          </w:p>
        </w:tc>
        <w:tc>
          <w:tcPr>
            <w:tcW w:w="20" w:type="dxa"/>
            <w:vAlign w:val="bottom"/>
          </w:tcPr>
          <w:p>
            <w:pPr>
              <w:spacing w:after="0"/>
              <w:rPr>
                <w:sz w:val="12"/>
                <w:szCs w:val="12"/>
                <w:color w:val="auto"/>
              </w:rPr>
            </w:pPr>
          </w:p>
        </w:tc>
        <w:tc>
          <w:tcPr>
            <w:tcW w:w="152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loss per share</w:t>
            </w:r>
          </w:p>
        </w:tc>
        <w:tc>
          <w:tcPr>
            <w:tcW w:w="4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 per share</w:t>
            </w:r>
          </w:p>
        </w:tc>
      </w:tr>
      <w:tr>
        <w:trPr>
          <w:trHeight w:val="173"/>
        </w:trPr>
        <w:tc>
          <w:tcPr>
            <w:tcW w:w="4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tcPr>
          <w:p>
            <w:pPr>
              <w:jc w:val="center"/>
              <w:ind w:right="341"/>
              <w:spacing w:after="0"/>
              <w:rPr>
                <w:sz w:val="20"/>
                <w:szCs w:val="20"/>
                <w:color w:val="auto"/>
              </w:rPr>
            </w:pPr>
            <w:r>
              <w:rPr>
                <w:rFonts w:ascii="Times New Roman" w:cs="Times New Roman" w:eastAsia="Times New Roman" w:hAnsi="Times New Roman"/>
                <w:sz w:val="14"/>
                <w:szCs w:val="14"/>
                <w:b w:val="1"/>
                <w:bCs w:val="1"/>
                <w:color w:val="auto"/>
              </w:rPr>
              <w:t>(Quarterly)</w:t>
            </w:r>
          </w:p>
        </w:tc>
        <w:tc>
          <w:tcPr>
            <w:tcW w:w="40" w:type="dxa"/>
            <w:vAlign w:val="bottom"/>
          </w:tcPr>
          <w:p>
            <w:pPr>
              <w:spacing w:after="0"/>
              <w:rPr>
                <w:sz w:val="15"/>
                <w:szCs w:val="15"/>
                <w:color w:val="auto"/>
              </w:rPr>
            </w:pPr>
          </w:p>
        </w:tc>
        <w:tc>
          <w:tcPr>
            <w:tcW w:w="1540" w:type="dxa"/>
            <w:vAlign w:val="bottom"/>
            <w:gridSpan w:val="3"/>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(YTD)</w:t>
            </w:r>
          </w:p>
        </w:tc>
        <w:tc>
          <w:tcPr>
            <w:tcW w:w="20" w:type="dxa"/>
            <w:vAlign w:val="bottom"/>
          </w:tcPr>
          <w:p>
            <w:pPr>
              <w:spacing w:after="0"/>
              <w:rPr>
                <w:sz w:val="15"/>
                <w:szCs w:val="15"/>
                <w:color w:val="auto"/>
              </w:rPr>
            </w:pPr>
          </w:p>
        </w:tc>
        <w:tc>
          <w:tcPr>
            <w:tcW w:w="15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(Quarterly)</w:t>
            </w:r>
          </w:p>
        </w:tc>
        <w:tc>
          <w:tcPr>
            <w:tcW w:w="40" w:type="dxa"/>
            <w:vAlign w:val="bottom"/>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(YTD)</w:t>
            </w:r>
          </w:p>
        </w:tc>
      </w:tr>
      <w:tr>
        <w:trPr>
          <w:trHeight w:val="210"/>
        </w:trPr>
        <w:tc>
          <w:tcPr>
            <w:tcW w:w="44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Q1 2021</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440" w:type="dxa"/>
            <w:vAlign w:val="bottom"/>
            <w:tcBorders>
              <w:top w:val="single" w:sz="8" w:color="CCEEFF"/>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480" w:type="dxa"/>
            <w:vAlign w:val="bottom"/>
            <w:tcBorders>
              <w:top w:val="single" w:sz="8" w:color="CCEEFF"/>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480" w:type="dxa"/>
            <w:vAlign w:val="bottom"/>
            <w:tcBorders>
              <w:top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Q2 2021</w:t>
            </w:r>
          </w:p>
        </w:tc>
        <w:tc>
          <w:tcPr>
            <w:tcW w:w="1580" w:type="dxa"/>
            <w:vAlign w:val="bottom"/>
            <w:gridSpan w:val="4"/>
          </w:tcPr>
          <w:p>
            <w:pPr>
              <w:jc w:val="right"/>
              <w:ind w:right="301"/>
              <w:spacing w:after="0"/>
              <w:rPr>
                <w:sz w:val="20"/>
                <w:szCs w:val="20"/>
                <w:color w:val="auto"/>
              </w:rPr>
            </w:pPr>
            <w:r>
              <w:rPr>
                <w:rFonts w:ascii="Times New Roman" w:cs="Times New Roman" w:eastAsia="Times New Roman" w:hAnsi="Times New Roman"/>
                <w:sz w:val="18"/>
                <w:szCs w:val="18"/>
                <w:color w:val="auto"/>
              </w:rPr>
              <w:t>(0.94)</w:t>
            </w:r>
          </w:p>
        </w:tc>
        <w:tc>
          <w:tcPr>
            <w:tcW w:w="1580" w:type="dxa"/>
            <w:vAlign w:val="bottom"/>
            <w:gridSpan w:val="4"/>
          </w:tcPr>
          <w:p>
            <w:pPr>
              <w:jc w:val="right"/>
              <w:ind w:right="341"/>
              <w:spacing w:after="0"/>
              <w:rPr>
                <w:sz w:val="20"/>
                <w:szCs w:val="20"/>
                <w:color w:val="auto"/>
              </w:rPr>
            </w:pPr>
            <w:r>
              <w:rPr>
                <w:rFonts w:ascii="Times New Roman" w:cs="Times New Roman" w:eastAsia="Times New Roman" w:hAnsi="Times New Roman"/>
                <w:sz w:val="18"/>
                <w:szCs w:val="18"/>
                <w:color w:val="auto"/>
              </w:rPr>
              <w:t>(1.32)</w:t>
            </w:r>
          </w:p>
        </w:tc>
        <w:tc>
          <w:tcPr>
            <w:tcW w:w="15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(0.46)</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r>
      <w:tr>
        <w:trPr>
          <w:trHeight w:val="216"/>
        </w:trPr>
        <w:tc>
          <w:tcPr>
            <w:tcW w:w="4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Q3 2021</w:t>
            </w:r>
          </w:p>
        </w:tc>
        <w:tc>
          <w:tcPr>
            <w:tcW w:w="1580" w:type="dxa"/>
            <w:vAlign w:val="bottom"/>
            <w:gridSpan w:val="4"/>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(0.39)</w:t>
            </w:r>
          </w:p>
        </w:tc>
        <w:tc>
          <w:tcPr>
            <w:tcW w:w="1580" w:type="dxa"/>
            <w:vAlign w:val="bottom"/>
            <w:gridSpan w:val="4"/>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(1.31)</w:t>
            </w:r>
          </w:p>
        </w:tc>
        <w:tc>
          <w:tcPr>
            <w:tcW w:w="154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(0.28)</w:t>
            </w: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38"/>
        </w:trPr>
        <w:tc>
          <w:tcPr>
            <w:tcW w:w="4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Q1 2022</w:t>
            </w:r>
          </w:p>
        </w:tc>
        <w:tc>
          <w:tcPr>
            <w:tcW w:w="1580" w:type="dxa"/>
            <w:vAlign w:val="bottom"/>
            <w:gridSpan w:val="4"/>
          </w:tcPr>
          <w:p>
            <w:pPr>
              <w:jc w:val="right"/>
              <w:ind w:right="301"/>
              <w:spacing w:after="0"/>
              <w:rPr>
                <w:sz w:val="20"/>
                <w:szCs w:val="20"/>
                <w:color w:val="auto"/>
              </w:rPr>
            </w:pPr>
            <w:r>
              <w:rPr>
                <w:rFonts w:ascii="Times New Roman" w:cs="Times New Roman" w:eastAsia="Times New Roman" w:hAnsi="Times New Roman"/>
                <w:sz w:val="18"/>
                <w:szCs w:val="18"/>
                <w:color w:val="auto"/>
              </w:rPr>
              <w:t>(0.48)</w:t>
            </w:r>
          </w:p>
        </w:tc>
        <w:tc>
          <w:tcPr>
            <w:tcW w:w="1580" w:type="dxa"/>
            <w:vAlign w:val="bottom"/>
            <w:gridSpan w:val="4"/>
          </w:tcPr>
          <w:p>
            <w:pPr>
              <w:jc w:val="right"/>
              <w:ind w:right="341"/>
              <w:spacing w:after="0"/>
              <w:rPr>
                <w:sz w:val="20"/>
                <w:szCs w:val="20"/>
                <w:color w:val="auto"/>
              </w:rPr>
            </w:pPr>
            <w:r>
              <w:rPr>
                <w:rFonts w:ascii="Times New Roman" w:cs="Times New Roman" w:eastAsia="Times New Roman" w:hAnsi="Times New Roman"/>
                <w:sz w:val="18"/>
                <w:szCs w:val="18"/>
                <w:color w:val="auto"/>
              </w:rPr>
              <w:t>(0.48)</w:t>
            </w:r>
          </w:p>
        </w:tc>
        <w:tc>
          <w:tcPr>
            <w:tcW w:w="15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(0.48)</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(0.48)</w:t>
            </w:r>
          </w:p>
        </w:tc>
      </w:tr>
    </w:tbl>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 Going concern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Pharvaris is a clinical-stage biopharmaceutical company focused on the development and commercialization of innovative therapies for rare diseases with significant unmet need, initially focused on angioedema and other bradykinin-mediated diseases. These therapies will need to go through clinical development trials to achieve regulatory approval for commercialization. Therefore, Pharvaris is incurring annual research and development and other operating costs and has no revenues to date (as is typical in the biotech industry for development stage and early commercial stage companies). As such, Pharvaris anticipates on-going negative operating cash flows for several years before the company has a product candidate ready for commercialization, if at all. This makes the Group dependent on external capital sources, debt capital and equity capital. The Group is currently fully financed by equity capital.</w:t>
      </w:r>
    </w:p>
    <w:p>
      <w:pPr>
        <w:spacing w:after="0" w:line="18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the Group had cash of €201.4 million and €209.4 million, respectively. The Group incurred net losses of €28.6 million in the six months ended June 30, 2022 and €21.2 million in the same period in 2021 and negative operating cash flows of €31.6 million and €22.1 million in the six months ended June 30, 2022 and the six months ended June 30, 2021 respectively.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82"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Group does not expect positive operating cash flows in the foreseeable future and remains dependent on additional financing to fund its research and development expenses, general and administrative expenses and financing costs. The Group believes that the available cash balances are sufficient to execute the Group’s operating plan and strategies and to meet the anticipated working capital requirements and settle all expected liabilities for at least twelve months from the issuance date of these unaudited condensed consolidated interim financial statements. Accordingly, the unaudited condensed consolidated interim financial statements have been prepared on a going concern basis.</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future viability of the Group is dependent on its ability to raise additional capital to finance its operations. The Group will need to finance its operations through public or private securities offerings, debt financings or other sources, which may include licensing, collaborations or other strategic transactions or arrangements. Although the Group has been successful in raising capital in the past, there is no assurance that it will be successful in obtaining such additional financing on terms acceptable to the Group, if at all. If the Group is unable to obtain funding, the Group could be forced to delay, reduce, or eliminate some or all of its research and development programs for product candidates, product portfolio expansion or commercialization efforts, which could adversely affect its business prospects, or the Group may be unable to continue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Group has taken steps to identify and mitigate the adverse effects and risks to it as a result of the pandemic. The Group has modified its business practices, including implementing work from home arrangements for employees able to perform their duties remotely and practicing safe social distancing in our operations. The Group expects to continue to take actions as may be required or recommended by government authorities or in the best interests of its employees and business partners. While the impact of COVID-19 on the Group’s operations and financial performance has so far been limited, the extent to which COVID-19 may impact its financial condition or results of operations in the future is uncertain. For instance, the ongoing spread of variants of the COVID-19 virus may continue to interrupt, or delay, the Group’s clinical trial activities, regulatory reviews, manufacturing activities and supply chain.</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COVID-19 outbreak delayed, and may continue to delay, enrollment in the Group’s clinical trials due to prioritization of hospital resources towards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In addition, even with the Group’s distributed operations, employee vaccinations and its observation of social distancing measures, there remains the possibility that key personnel may become ill or are otherwise unable to work, which could affect the Group’s operations.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Furthermore, the spread of the virus may affect the operations of key governmental agencies, such as the FDA, which may delay the development of the Company’s product candidates. The spread of an infectious disease, including COVID-19 may also result in the inability of the Group’s suppliers to deliver components or raw materials, and the inability of the Group’s CDMOs to provide supplies of our product candidates for the Group’s planned clinical trials, on a timely basis or at all. Further, an infectious disease. including COVID-19 may also impact the ability of the Group’s CROs, including nonclinical CROs, to provide services to support the Group’s clinical program. In addition, hospitals may reduce staffing and reduce or postpone certain treatments in response to the spread of an infectious disease. Such events may result in a period of business disruption, and in reduced operations, or doctors and medical providers may be unwilling to participate in the Group’s clinical trials, any of which could materially affect the Group’s business, financial condition and results of operations.</w:t>
      </w:r>
    </w:p>
    <w:p>
      <w:pPr>
        <w:spacing w:after="0" w:line="192"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extent to which the COVID-19 pandemic impacts the Group’s business will depend on future developments, which are uncertain and cannot be predicted, including amongst other things, new information which may emerge concerning the severity of the COVID-19 pandemic and the actions to contain COVID-19 or treat its impact, including among other things the effectiveness and outreach of COVID-19 vaccines. If the Group is unable to meet its milestones it might jeopardize our funding opportunities.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2.3 Use of judgements and estimates</w:t>
      </w:r>
    </w:p>
    <w:p>
      <w:pPr>
        <w:spacing w:after="0" w:line="121"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significant judgements made by management in applying the Group’s accounting policies and the key sources of estimation uncertainty were the same as those described in the last annual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2.4 Change in significant accounting policies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accounting policies applied in these unaudited condensed consolidated interim financial statements are the same as those applied in the consolidated financial statements for the year ended December 31,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Research and development expenses</w:t>
      </w: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1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For the three months ended June</w:t>
            </w:r>
          </w:p>
        </w:tc>
        <w:tc>
          <w:tcPr>
            <w:tcW w:w="21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For the six months ended June</w:t>
            </w:r>
          </w:p>
        </w:tc>
      </w:tr>
      <w:tr>
        <w:trPr>
          <w:trHeight w:val="171"/>
        </w:trPr>
        <w:tc>
          <w:tcPr>
            <w:tcW w:w="578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80" w:type="dxa"/>
            <w:vAlign w:val="bottom"/>
          </w:tcPr>
          <w:p>
            <w:pPr>
              <w:spacing w:after="0"/>
              <w:rPr>
                <w:sz w:val="12"/>
                <w:szCs w:val="12"/>
                <w:color w:val="auto"/>
              </w:rPr>
            </w:pPr>
          </w:p>
        </w:tc>
        <w:tc>
          <w:tcPr>
            <w:tcW w:w="94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spacing w:after="0"/>
              <w:rPr>
                <w:sz w:val="12"/>
                <w:szCs w:val="12"/>
                <w:color w:val="auto"/>
              </w:rPr>
            </w:pPr>
          </w:p>
        </w:tc>
        <w:tc>
          <w:tcPr>
            <w:tcW w:w="92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r>
      <w:tr>
        <w:trPr>
          <w:trHeight w:val="142"/>
        </w:trPr>
        <w:tc>
          <w:tcPr>
            <w:tcW w:w="57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 (Note 5)</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(3,061,036)</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(1,759,669)</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(5,590,207)</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(3,768,165)</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(7,175,545)</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(3,496,223)</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(13,741,610)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(6,761,928)</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Nonclinical expenses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(1,016,793)</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(1,181,660)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(1,832,918)</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(2,143,713)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costs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(2,419,143)</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(1,601,980)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(5,883,668)</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(2,920,172)</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costs</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(49,120)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(21,067)</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(187,723)</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(38,075)</w:t>
            </w:r>
          </w:p>
        </w:tc>
      </w:tr>
      <w:tr>
        <w:trPr>
          <w:trHeight w:val="27"/>
        </w:trPr>
        <w:tc>
          <w:tcPr>
            <w:tcW w:w="57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(13,721,637)</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(8,060,599)</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(27,236,126)</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(16,132,053)</w:t>
            </w:r>
          </w:p>
        </w:tc>
      </w:tr>
      <w:tr>
        <w:trPr>
          <w:trHeight w:val="20"/>
        </w:trPr>
        <w:tc>
          <w:tcPr>
            <w:tcW w:w="5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00"/>
        <w:spacing w:after="0" w:line="282" w:lineRule="auto"/>
        <w:rPr>
          <w:sz w:val="20"/>
          <w:szCs w:val="20"/>
          <w:color w:val="auto"/>
        </w:rPr>
      </w:pPr>
      <w:r>
        <w:rPr>
          <w:rFonts w:ascii="Times New Roman" w:cs="Times New Roman" w:eastAsia="Times New Roman" w:hAnsi="Times New Roman"/>
          <w:sz w:val="18"/>
          <w:szCs w:val="18"/>
          <w:color w:val="auto"/>
        </w:rPr>
        <w:t>Development expenses are currently not capitalized but are recorded in the unaudited condensed consolidated statements of profit or loss and other comprehensive income because the recognition criteria for capitalization are not met.</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Nonclinical expenses include costs of our outsourced discovery, preclinical and nonclinical development studies.</w:t>
      </w:r>
    </w:p>
    <w:p>
      <w:pPr>
        <w:spacing w:after="0" w:line="225"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Manufacturing expenses include costs related to manufacturing of active pharmaceutical ingredients and manufacturing of the products used in our clinical trials and research and development activities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License costs during the period ended June 30, 2021 consist of a milestone payment of €500,000 which was paid to AnalytiCon upon commencement of Phase 2 development.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General and administrative expenses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2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For the three months ended June 30</w:t>
            </w:r>
          </w:p>
        </w:tc>
        <w:tc>
          <w:tcPr>
            <w:tcW w:w="2080" w:type="dxa"/>
            <w:vAlign w:val="bottom"/>
            <w:gridSpan w:val="4"/>
          </w:tcPr>
          <w:p>
            <w:pPr>
              <w:jc w:val="right"/>
              <w:ind w:right="41"/>
              <w:spacing w:after="0"/>
              <w:rPr>
                <w:sz w:val="20"/>
                <w:szCs w:val="20"/>
                <w:color w:val="auto"/>
              </w:rPr>
            </w:pPr>
            <w:r>
              <w:rPr>
                <w:rFonts w:ascii="Times New Roman" w:cs="Times New Roman" w:eastAsia="Times New Roman" w:hAnsi="Times New Roman"/>
                <w:sz w:val="14"/>
                <w:szCs w:val="14"/>
                <w:color w:val="auto"/>
              </w:rPr>
              <w:t>For the six months ended June 30</w:t>
            </w:r>
          </w:p>
        </w:tc>
      </w:tr>
      <w:tr>
        <w:trPr>
          <w:trHeight w:val="142"/>
        </w:trPr>
        <w:tc>
          <w:tcPr>
            <w:tcW w:w="57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r>
      <w:tr>
        <w:trPr>
          <w:trHeight w:val="142"/>
        </w:trPr>
        <w:tc>
          <w:tcPr>
            <w:tcW w:w="578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 (Note 5)</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(3,825,151)</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(1,795,721)</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(6,270,034)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(3,036,786)</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(254,899)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(161,559)</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(432,811)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(390,872)</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(911,170)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(324,793)</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(1,795,170)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(1,132,706)</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Accounting, tax and auditing fees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(290,159)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(648,626)</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(594,657)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(1,086,756)</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communication &amp; office expenses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(1,618,732)</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(1,510,566)</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(3,246,830)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(2,462,147)</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(260,446)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(2,563)</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(404,200)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(3,357)</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(499,576)</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(220,898)</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(781,436)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(323,791)</w:t>
            </w:r>
          </w:p>
        </w:tc>
      </w:tr>
      <w:tr>
        <w:trPr>
          <w:trHeight w:val="223"/>
        </w:trPr>
        <w:tc>
          <w:tcPr>
            <w:tcW w:w="57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(7,660,133)</w:t>
            </w: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(4,664,726)</w:t>
            </w: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(13,525,138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(8,436,415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2021 the Group entered into a number of lease arrangements, which were assessed to be short-term leases (with a lease term of 12 months equaling its non-cancellable period).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 in the six months of 2022 was €68,195 (2021: €15,048), which related to property, plant and equipment and leases and is included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‘Other expenses’ line. For the second quarter of 2022 a total of €35,345 (2021: €11,987) depreciation charge was included in ‘Other expenses’.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Personnel expenses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2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For the three months ended June 30</w:t>
            </w:r>
          </w:p>
        </w:tc>
        <w:tc>
          <w:tcPr>
            <w:tcW w:w="2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For the six months ended June 30</w:t>
            </w:r>
          </w:p>
        </w:tc>
      </w:tr>
      <w:tr>
        <w:trPr>
          <w:trHeight w:val="142"/>
        </w:trPr>
        <w:tc>
          <w:tcPr>
            <w:tcW w:w="58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r>
      <w:tr>
        <w:trPr>
          <w:trHeight w:val="142"/>
        </w:trPr>
        <w:tc>
          <w:tcPr>
            <w:tcW w:w="580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 and salaries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(3,279,593)</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(1,606,969)</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(5,845,176)</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(2,618,645)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Pension charges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(177,185)</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(51,327)</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(355,729)</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(81,289)</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social security charges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(286,570)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(124,356)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(569,559)</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(235,669)</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(3,142,839)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(1,772,738)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(5,089,777)</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(3,869,348)</w:t>
            </w:r>
          </w:p>
        </w:tc>
      </w:tr>
      <w:tr>
        <w:trPr>
          <w:trHeight w:val="27"/>
        </w:trPr>
        <w:tc>
          <w:tcPr>
            <w:tcW w:w="58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(6,886,187)</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(3,555,390)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(11,860,241)</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(6,804,951)</w:t>
            </w:r>
          </w:p>
        </w:tc>
      </w:tr>
      <w:tr>
        <w:trPr>
          <w:trHeight w:val="20"/>
        </w:trPr>
        <w:tc>
          <w:tcPr>
            <w:tcW w:w="5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average number of staff (in FTEs) employed by the Group in the six months ended June 30, 2022 was 47 (2021: 17).</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Finance income/(expense)</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For the three months ended June 30</w:t>
            </w:r>
          </w:p>
        </w:tc>
        <w:tc>
          <w:tcPr>
            <w:tcW w:w="20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For the six months ended June 30</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3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11,535,811</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(2,401,910)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14,971,998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3,503,986</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over bank balances</w:t>
            </w:r>
          </w:p>
        </w:tc>
        <w:tc>
          <w:tcPr>
            <w:tcW w:w="3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(33,457)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(69,552)</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(78,517)</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(151,764)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expenses</w:t>
            </w:r>
          </w:p>
        </w:tc>
        <w:tc>
          <w:tcPr>
            <w:tcW w:w="3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(3,021)</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(7,849)</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11,501,804</w:t>
            </w: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(2,474,483)</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14,892,983</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98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 year basis and subsequently allocated using the expected full year effective tax rate. The discrete items are recognized in full in the interim period in which they emerge. In the total interim tax charge, no distinction is made between current and deferred tax expenses/income.</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4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For the three months ended June 30</w:t>
            </w:r>
          </w:p>
        </w:tc>
        <w:tc>
          <w:tcPr>
            <w:tcW w:w="212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For the six months ended June 30</w:t>
            </w:r>
          </w:p>
        </w:tc>
      </w:tr>
      <w:tr>
        <w:trPr>
          <w:trHeight w:val="156"/>
        </w:trPr>
        <w:tc>
          <w:tcPr>
            <w:tcW w:w="556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321"/>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3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261"/>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top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3"/>
                <w:szCs w:val="13"/>
                <w:color w:val="auto"/>
              </w:rPr>
            </w:pPr>
          </w:p>
        </w:tc>
      </w:tr>
      <w:tr>
        <w:trPr>
          <w:trHeight w:val="156"/>
        </w:trPr>
        <w:tc>
          <w:tcPr>
            <w:tcW w:w="556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3"/>
                <w:szCs w:val="13"/>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(2,741,102)</w:t>
            </w:r>
          </w:p>
        </w:tc>
        <w:tc>
          <w:tcPr>
            <w:tcW w:w="1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(2,965)</w:t>
            </w: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(2,779,817)</w:t>
            </w:r>
          </w:p>
        </w:tc>
        <w:tc>
          <w:tcPr>
            <w:tcW w:w="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(21,554)</w:t>
            </w:r>
          </w:p>
        </w:tc>
      </w:tr>
      <w:tr>
        <w:trPr>
          <w:trHeight w:val="223"/>
        </w:trPr>
        <w:tc>
          <w:tcPr>
            <w:tcW w:w="556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0"/>
              </w:rPr>
              <w:t>(2,741,102)</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3"/>
              </w:rPr>
              <w:t>(2,965)</w:t>
            </w:r>
          </w:p>
        </w:tc>
        <w:tc>
          <w:tcPr>
            <w:tcW w:w="30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0"/>
              </w:rPr>
              <w:t>(2,779,817)</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7"/>
              </w:rPr>
              <w:t>(21,554)</w:t>
            </w:r>
          </w:p>
        </w:tc>
        <w:tc>
          <w:tcPr>
            <w:tcW w:w="10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00"/>
        <w:spacing w:after="0" w:line="261" w:lineRule="auto"/>
        <w:rPr>
          <w:sz w:val="20"/>
          <w:szCs w:val="20"/>
          <w:color w:val="auto"/>
        </w:rPr>
      </w:pPr>
      <w:r>
        <w:rPr>
          <w:rFonts w:ascii="Times New Roman" w:cs="Times New Roman" w:eastAsia="Times New Roman" w:hAnsi="Times New Roman"/>
          <w:sz w:val="18"/>
          <w:szCs w:val="18"/>
          <w:color w:val="auto"/>
        </w:rPr>
        <w:t>The total tax expenses over the six months ended June 30, 2022 principally relates to the Dutch fiscal unity in the Netherlands, which reported an estimated tax expense of €2.7 million during the period. During the period, the Dutch fiscal unity reported a taxable income of approximately</w:t>
      </w: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€17.4 million which was mainly driven by foreign exchange gains. Of the total taxable income, an amount of €7.0 million was set off by the utilization of the accumulated losses carried forward (which were previously not recognized), resulting in a net taxable profit of €10.4 million.</w:t>
      </w:r>
    </w:p>
    <w:p>
      <w:pPr>
        <w:spacing w:after="0" w:line="18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Reconciliation of income tax benefit at statutory tax rate and the income tax expense as reported in the unaudited condensed consolidated statement of profit or loss and other comprehensive income is as follows: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2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For the three months ended June 30</w:t>
            </w:r>
          </w:p>
        </w:tc>
        <w:tc>
          <w:tcPr>
            <w:tcW w:w="21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For the six months ended June 30</w:t>
            </w:r>
          </w:p>
        </w:tc>
      </w:tr>
      <w:tr>
        <w:trPr>
          <w:trHeight w:val="156"/>
        </w:trPr>
        <w:tc>
          <w:tcPr>
            <w:tcW w:w="56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3"/>
                <w:szCs w:val="13"/>
                <w:color w:val="auto"/>
              </w:rPr>
            </w:pPr>
          </w:p>
        </w:tc>
      </w:tr>
      <w:tr>
        <w:trPr>
          <w:trHeight w:val="156"/>
        </w:trPr>
        <w:tc>
          <w:tcPr>
            <w:tcW w:w="568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3"/>
                <w:szCs w:val="13"/>
                <w:color w:val="auto"/>
              </w:rPr>
            </w:pPr>
          </w:p>
        </w:tc>
        <w:tc>
          <w:tcPr>
            <w:tcW w:w="9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9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3"/>
                <w:szCs w:val="13"/>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before tax</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(9,879,966)</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(15,199,807)</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(25,868,281)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(21,224,095)</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at statutory income tax rate in The Netherlands (25.8%)</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2,549,031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3,799,952</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6,674,016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5,306,024</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tax rates in other countries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(3,211,414)</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(1,160,468)</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(6,017,458)</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(3,171,956)</w:t>
            </w:r>
          </w:p>
        </w:tc>
      </w:tr>
      <w:tr>
        <w:trPr>
          <w:trHeight w:val="198"/>
        </w:trPr>
        <w:tc>
          <w:tcPr>
            <w:tcW w:w="5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Temporary differences for which no deferred tax assets/liabilities have been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recognized</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(184,629)</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(162,580)</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(84,694)</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(96,125)</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(190,060)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losses for which no deferred tax asset has been recognized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(1,994,025)</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(2,361,695)</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(3,246,315)</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(1,992,455)</w:t>
            </w:r>
          </w:p>
        </w:tc>
      </w:tr>
      <w:tr>
        <w:trPr>
          <w:trHeight w:val="20"/>
        </w:trPr>
        <w:tc>
          <w:tcPr>
            <w:tcW w:w="5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(2,741,102)</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(2,965)</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(2,779,817)</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(21,554)</w:t>
            </w:r>
          </w:p>
        </w:tc>
      </w:tr>
    </w:tbl>
    <w:p>
      <w:pPr>
        <w:spacing w:after="0" w:line="198"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Income tax expense is recognized based on management’s estimate of the weighted average effective annual income tax rate expected for the full financial year, bearing in mind the impact of non-discrete and discrete items. Non-discrete items in the income tax expense are recognized based on management’s estimate of the weighted average effective annual income tax rate expected for the full financial year. Discrete items in the income tax expense are recognized for the applicable statutory tax rate.</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(estimated) average annual tax rate used for the six months ended June 30, 2022 is 10.7% compared to 0.1% for the six months ended June 30, 2021. The estimated effective tax rate includes significant discrete tax effects relating to the tax impact (after utilization of DTAs previously not recognized) on foreign exchange gains. As foreign exchange results cannot be reliably forecasted, the effective tax rate at year end may deviate from the currently reflected estimated effective tax rate.</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Current period losses for which no deferred tax asset has been recognized consists of the expense related to the losses in Switzerland, offset by the benefit from the utilization of previously unrecognized losses carried forward in the Netherlands.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82"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differences in the overseas tax rates are due to the lower tax rate in Switzerland and the higher tax rate in the USA compared to the statutory income tax rate in the Netherlands.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Pharvaris N.V. is the head of the fiscal unity including Pharvaris Netherlands B.V. and Pharvaris Holdings B.V.</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Deferred tax</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Deferred tax assets relating to losses carried forward have not been recognized, and deferred tax assets on deductible temporary differences in excess of deferred tax liabilities on taxable temporary differences have neither been recognized in the unaudited condensed consolidated statement of profit or loss and other comprehensive income nor in the unaudited condensed consolidated statement of financial position.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Property, plant and equipment</w:t>
      </w:r>
    </w:p>
    <w:p>
      <w:pPr>
        <w:spacing w:after="0" w:line="23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31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color w:val="auto"/>
              </w:rPr>
              <w:t>Notes</w:t>
            </w: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Office</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equipment</w:t>
            </w:r>
          </w:p>
        </w:tc>
        <w:tc>
          <w:tcPr>
            <w:tcW w:w="0" w:type="dxa"/>
            <w:vAlign w:val="bottom"/>
          </w:tcPr>
          <w:p>
            <w:pPr>
              <w:spacing w:after="0"/>
              <w:rPr>
                <w:sz w:val="1"/>
                <w:szCs w:val="1"/>
                <w:color w:val="auto"/>
              </w:rPr>
            </w:pPr>
          </w:p>
        </w:tc>
      </w:tr>
      <w:tr>
        <w:trPr>
          <w:trHeight w:val="156"/>
        </w:trPr>
        <w:tc>
          <w:tcPr>
            <w:tcW w:w="44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3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108,099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3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49,739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31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(15,992)</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3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3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3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184,443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(42,597)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amount</w:t>
            </w:r>
          </w:p>
        </w:tc>
        <w:tc>
          <w:tcPr>
            <w:tcW w:w="3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 Group acquired assets with a cost of €49,739 (December 31, 2021: €78,251). The acquisitions during the six months ended June 30, 2022 and the year ended December 31, 2021 were related to equipment, tools and installations.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right-of-use assets: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June 30,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December 31,</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3580" w:type="dxa"/>
            <w:vAlign w:val="bottom"/>
            <w:gridSpan w:val="2"/>
          </w:tcPr>
          <w:p>
            <w:pPr>
              <w:jc w:val="right"/>
              <w:ind w:right="97"/>
              <w:spacing w:after="0"/>
              <w:rPr>
                <w:sz w:val="20"/>
                <w:szCs w:val="20"/>
                <w:color w:val="auto"/>
              </w:rPr>
            </w:pPr>
            <w:r>
              <w:rPr>
                <w:rFonts w:ascii="Times New Roman" w:cs="Times New Roman" w:eastAsia="Times New Roman" w:hAnsi="Times New Roman"/>
                <w:sz w:val="14"/>
                <w:szCs w:val="14"/>
                <w:color w:val="auto"/>
              </w:rPr>
              <w:t>2022</w:t>
            </w:r>
          </w:p>
        </w:tc>
        <w:tc>
          <w:tcPr>
            <w:tcW w:w="360" w:type="dxa"/>
            <w:vAlign w:val="bottom"/>
          </w:tcPr>
          <w:p>
            <w:pPr>
              <w:spacing w:after="0"/>
              <w:rPr>
                <w:sz w:val="14"/>
                <w:szCs w:val="14"/>
                <w:color w:val="auto"/>
              </w:rPr>
            </w:pPr>
          </w:p>
        </w:tc>
        <w:tc>
          <w:tcPr>
            <w:tcW w:w="800" w:type="dxa"/>
            <w:vAlign w:val="bottom"/>
          </w:tcPr>
          <w:p>
            <w:pPr>
              <w:jc w:val="right"/>
              <w:ind w:right="177"/>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3"/>
                <w:szCs w:val="13"/>
                <w:color w:val="auto"/>
              </w:rPr>
            </w:pPr>
          </w:p>
        </w:tc>
        <w:tc>
          <w:tcPr>
            <w:tcW w:w="8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39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243,250</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29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301,965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charges</w:t>
            </w:r>
          </w:p>
        </w:tc>
        <w:tc>
          <w:tcPr>
            <w:tcW w:w="3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(52,203)</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(58,715)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Impact of transaction of foreign currency</w:t>
            </w:r>
          </w:p>
        </w:tc>
        <w:tc>
          <w:tcPr>
            <w:tcW w:w="29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19,667</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2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210,714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243,250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940" w:type="dxa"/>
            <w:vAlign w:val="bottom"/>
            <w:vMerge w:val="restart"/>
          </w:tcPr>
          <w:p>
            <w:pPr>
              <w:jc w:val="right"/>
              <w:ind w:right="2095"/>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lease liabilities: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June 30,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December 31,</w:t>
            </w:r>
          </w:p>
        </w:tc>
      </w:tr>
      <w:tr>
        <w:trPr>
          <w:trHeight w:val="171"/>
        </w:trPr>
        <w:tc>
          <w:tcPr>
            <w:tcW w:w="6480" w:type="dxa"/>
            <w:vAlign w:val="bottom"/>
          </w:tcPr>
          <w:p>
            <w:pPr>
              <w:spacing w:after="0"/>
              <w:rPr>
                <w:sz w:val="14"/>
                <w:szCs w:val="14"/>
                <w:color w:val="auto"/>
              </w:rPr>
            </w:pPr>
          </w:p>
        </w:tc>
        <w:tc>
          <w:tcPr>
            <w:tcW w:w="7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color w:val="auto"/>
              </w:rPr>
              <w:t>2022</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4"/>
                <w:szCs w:val="14"/>
                <w:color w:val="auto"/>
              </w:rPr>
            </w:pPr>
          </w:p>
        </w:tc>
      </w:tr>
      <w:tr>
        <w:trPr>
          <w:trHeight w:val="156"/>
        </w:trPr>
        <w:tc>
          <w:tcPr>
            <w:tcW w:w="648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lease</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(212,865)</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(250,184)</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(212,865)</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(250,184)</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portion</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(110,772)</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(99,432)</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portion</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(102,093)</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(150,752)</w:t>
            </w:r>
          </w:p>
        </w:tc>
      </w:tr>
      <w:tr>
        <w:trPr>
          <w:trHeight w:val="20"/>
        </w:trPr>
        <w:tc>
          <w:tcPr>
            <w:tcW w:w="648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lease agreement started on June 1, 2021 and has a lease term of three years. The average incremental borrowing rate applied to the lease liabilities was 3.12% during the six months ended June 30, 2022 (2021: 1.5%). Cash outflows related to leases during the six months ended June 30, 2022 and 2021 were €38,428 and €5,012,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Receivables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June 30,</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7,920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8,451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VAT receivables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324,008</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691,628</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5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331,928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700,079</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June 30,</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78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3,991,672</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1,507,753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583,895</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4,575,567</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1,513,452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Prepayments mainly relate to prepaid insurance, sign-on bonus to personnel, prepaid R&amp;D expenses and rent.</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Other assets mainly consist of deferred transaction costs related to Group’s in-process equity financing (refer to note 13). The company defers the transaction costs related to any in-process financing. Upon recognition of the equity instruments, the related transaction costs are deducted from share premium.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Cash and cash equivalents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and cash equivalents comprise of cash in bank and are not subject to any restriction.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June 30, 2022, the Company’s authorized share capital amounted to €14,100,000 divided into 58,750,000 ordinary shares and 58,750,000 preferred shares, each with a nominal value of €0.12. As at June 30, 2022, a total number of ordinary shares issued was 33,765,967 (2021: 33,151,881). On June 30, 2022, the issued share capital totaled to €4,051,916 (2021: €3,975,432).</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320" w:top="482" w:right="5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March 2022, the Company filed a Form F-3 Registration Statement and prospectus with the Securities and Exchange Commission relating to an at-the-market program providing for the sales from time to time of up to $75,000,000 of its ordinary shares pursuant to a Sales Agreement with SVB Securities LLC. During the six months ended June 30, 2022, the Company sold a total of 588,100 ordinary shares in two different transactions under the sales agreement generating total net proceeds of $9,698,504 (€9.2 million), after deducting $299,954 (€308,000), which was payable to SVB Securities as commission in respect of such sales.</w:t>
      </w:r>
    </w:p>
    <w:p>
      <w:pPr>
        <w:spacing w:after="0" w:line="18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On February 5, 2021, the Company became public by listing its ordinary shares on the Nasdaq Stock Exchange. On the same date all Preferred shares A, Preferred shares B and Preferred shares C were automatically converted to ordinary shares and 9,511,075 ordinary shares were issued. Together with the issuance of the ordinary shares, the par value of each ordinary share was increased from €0.01 to €0.12.</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Ordinary shares hold the right to one vote per share.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Issued shares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June 30,</w:t>
            </w: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620" w:type="dxa"/>
            <w:vAlign w:val="bottom"/>
            <w:gridSpan w:val="3"/>
          </w:tcPr>
          <w:p>
            <w:pPr>
              <w:jc w:val="center"/>
              <w:ind w:left="2695"/>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9"/>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shares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3700" w:type="dxa"/>
            <w:vAlign w:val="bottom"/>
            <w:gridSpan w:val="4"/>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33,765,967</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33,151,881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6"/>
              </w:rPr>
              <w:t>33,765,967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6"/>
              </w:rPr>
              <w:t>33,151,881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Trade and other payables</w:t>
            </w: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00" w:type="dxa"/>
            <w:vAlign w:val="bottom"/>
            <w:gridSpan w:val="2"/>
            <w:vMerge w:val="continue"/>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June 30,</w:t>
            </w:r>
          </w:p>
        </w:tc>
        <w:tc>
          <w:tcPr>
            <w:tcW w:w="8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620" w:type="dxa"/>
            <w:vAlign w:val="bottom"/>
            <w:gridSpan w:val="3"/>
          </w:tcPr>
          <w:p>
            <w:pPr>
              <w:jc w:val="center"/>
              <w:ind w:left="2935"/>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3,681,792</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2,125,511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Tax and social security liabilities</w:t>
            </w:r>
          </w:p>
        </w:tc>
        <w:tc>
          <w:tcPr>
            <w:tcW w:w="2920" w:type="dxa"/>
            <w:vAlign w:val="bottom"/>
            <w:gridSpan w:val="2"/>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487,163</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365,061</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4,168,955</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2,490,572</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Accrued liabilities</w:t>
            </w: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00" w:type="dxa"/>
            <w:vAlign w:val="bottom"/>
            <w:gridSpan w:val="2"/>
            <w:vMerge w:val="continue"/>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June 30,</w:t>
            </w:r>
          </w:p>
        </w:tc>
        <w:tc>
          <w:tcPr>
            <w:tcW w:w="8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620" w:type="dxa"/>
            <w:vAlign w:val="bottom"/>
            <w:gridSpan w:val="3"/>
          </w:tcPr>
          <w:p>
            <w:pPr>
              <w:jc w:val="center"/>
              <w:ind w:left="2935"/>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professional and audit liability</w:t>
            </w:r>
          </w:p>
        </w:tc>
        <w:tc>
          <w:tcPr>
            <w:tcW w:w="3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1,002,291</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786,116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Clinical accrued liabilities</w:t>
            </w:r>
          </w:p>
        </w:tc>
        <w:tc>
          <w:tcPr>
            <w:tcW w:w="38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1,405,000</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386,328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accrued liabilities</w:t>
            </w:r>
          </w:p>
        </w:tc>
        <w:tc>
          <w:tcPr>
            <w:tcW w:w="3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4,487,910</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1,231,514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Pre-clinical accrued liabilities</w:t>
            </w:r>
          </w:p>
        </w:tc>
        <w:tc>
          <w:tcPr>
            <w:tcW w:w="38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99,000</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398,468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accruals</w:t>
            </w:r>
          </w:p>
        </w:tc>
        <w:tc>
          <w:tcPr>
            <w:tcW w:w="3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1,941,900</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1,459,162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920" w:type="dxa"/>
            <w:vAlign w:val="bottom"/>
            <w:gridSpan w:val="2"/>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44,937</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8,494</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8,981,038</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4,270,082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760" w:type="dxa"/>
            <w:vAlign w:val="bottom"/>
            <w:vMerge w:val="restart"/>
          </w:tcPr>
          <w:p>
            <w:pPr>
              <w:jc w:val="right"/>
              <w:ind w:right="1975"/>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Risk management activities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Group’s risk management activities are the same as disclosed in note 17 of the consolidated financial statements for the year ended December 31,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Fair values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trade receivables, trade payables, and other current liabilities approximate their carrying amounts largely due to the short-term maturities of these instruments.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Share-based payments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 (“LTIP”).</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 out below is an overview of changes in the Stock Options and Restricted Stock Units (“RSUs”) during the six months ended June 30, 2022</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620" w:type="dxa"/>
            <w:vAlign w:val="bottom"/>
            <w:gridSpan w:val="5"/>
          </w:tcPr>
          <w:p>
            <w:pPr>
              <w:jc w:val="right"/>
              <w:ind w:right="313"/>
              <w:spacing w:after="0"/>
              <w:rPr>
                <w:sz w:val="20"/>
                <w:szCs w:val="20"/>
                <w:color w:val="auto"/>
              </w:rPr>
            </w:pPr>
            <w:r>
              <w:rPr>
                <w:rFonts w:ascii="Times New Roman" w:cs="Times New Roman" w:eastAsia="Times New Roman" w:hAnsi="Times New Roman"/>
                <w:sz w:val="14"/>
                <w:szCs w:val="14"/>
                <w:color w:val="auto"/>
              </w:rPr>
              <w:t>Stock Options</w:t>
            </w:r>
          </w:p>
        </w:tc>
        <w:tc>
          <w:tcPr>
            <w:tcW w:w="34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RSUs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ind w:left="100"/>
              <w:spacing w:after="0" w:line="133" w:lineRule="exact"/>
              <w:rPr>
                <w:sz w:val="20"/>
                <w:szCs w:val="20"/>
                <w:color w:val="auto"/>
              </w:rPr>
            </w:pPr>
            <w:r>
              <w:rPr>
                <w:rFonts w:ascii="Times New Roman" w:cs="Times New Roman" w:eastAsia="Times New Roman" w:hAnsi="Times New Roman"/>
                <w:sz w:val="14"/>
                <w:szCs w:val="14"/>
                <w:color w:val="auto"/>
                <w:w w:val="99"/>
              </w:rPr>
              <w:t>Weighted</w:t>
            </w:r>
          </w:p>
        </w:tc>
        <w:tc>
          <w:tcPr>
            <w:tcW w:w="3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1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Outstanding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exercise</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color w:val="auto"/>
              </w:rPr>
              <w:t>options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w w:val="99"/>
              </w:rPr>
              <w:t>price</w:t>
            </w:r>
          </w:p>
        </w:tc>
        <w:tc>
          <w:tcPr>
            <w:tcW w:w="340" w:type="dxa"/>
            <w:vAlign w:val="bottom"/>
          </w:tcPr>
          <w:p>
            <w:pPr>
              <w:spacing w:after="0"/>
              <w:rPr>
                <w:sz w:val="15"/>
                <w:szCs w:val="15"/>
                <w:color w:val="auto"/>
              </w:rPr>
            </w:pPr>
          </w:p>
        </w:tc>
        <w:tc>
          <w:tcPr>
            <w:tcW w:w="7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color w:val="auto"/>
              </w:rPr>
              <w:t>RSUs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2,470,295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742,500</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345,196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(22,045)</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June 30, 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3,190,750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January 1, 2022, a total of 70,000 stock options were granted to members of the Board of Directors with an exercise price of $14.39 per share with a final exercise date of December 31, 2031 unless forfeited or exercised on an earlier date. 25% of the aggregate number of share options shall vest on December 31,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On April 1, 2022, a total of 552,500 stock options were granted to members of the Board of Directors and key management with an exercise price of $18.14 per share with a final exercise date of March 31, 2032 unless forfeited or exercised on an earlier date. 25% of the aggregate number of share options shall vest on March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June 1, 2022, a total of 120,000 stock options were granted to members of key management with an exercise price of $17.98 per share with a final exercise date of May 31, 2032 unless forfeited or exercised on an earlier date. 25% of the aggregate number of share options shall vest on May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a total of 345,196 RSUs were granted to employees that joined the Group in the same period and existing employees. The RSUs shall vest equally over a four-year period on each of the four anniversaries of the vesting start date until either the RSUs are fully vested or the RSUs holders’ continuous service terminates.</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fair value of the RSUs is determined based on the share value per ordinary share at the grant date (or at the first trading day after the grant date if the Nasdaq Stock Exchange is not open on this date). The grant dates were January 1, 2022, February 1, 2022, March 1, 2022, April 1, 2022, May 1, 2022 and June 1, 2022. The share closing price was $16.41, $17.00, $18.47, $18.14, $17.10, and $17.98 at January 3, 2022, February 1, 2022, March 1, 2022, April 1, 2022, May 2, 2022 and June 1, 2022, respectively.</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the Group recognized €5,089,777 of share-based payment expense in the unaudited condensed consolidated statement of income or loss and other comprehensive income (six months ended June 30, 2021: €3,869,347). For the three months ended June 30, 2022, the Group recognized €3,142,839 of share-based payment expense in the unaudited condensed consolidated statement of income or loss and other comprehensive income (three months ended June 30: €1,772,738).</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June 30, 2022, a total number of 1,287,099 stock options are exercisable (June 30, 2021: 337,667).</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inputs and outputs used in the measurement of the fair value per option at each grant/ measurement date using the Black-Scholes formula (including the related number of options and the fair value of the options) were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640" w:type="dxa"/>
            <w:vAlign w:val="bottom"/>
            <w:gridSpan w:val="4"/>
          </w:tcPr>
          <w:p>
            <w:pPr>
              <w:ind w:left="1500"/>
              <w:spacing w:after="0"/>
              <w:rPr>
                <w:sz w:val="20"/>
                <w:szCs w:val="20"/>
                <w:color w:val="auto"/>
              </w:rPr>
            </w:pPr>
            <w:r>
              <w:rPr>
                <w:rFonts w:ascii="Times New Roman" w:cs="Times New Roman" w:eastAsia="Times New Roman" w:hAnsi="Times New Roman"/>
                <w:sz w:val="14"/>
                <w:szCs w:val="14"/>
                <w:color w:val="auto"/>
              </w:rPr>
              <w:t>June 1, 2022</w:t>
            </w:r>
          </w:p>
        </w:tc>
        <w:tc>
          <w:tcPr>
            <w:tcW w:w="142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April 1, 2022</w:t>
            </w:r>
          </w:p>
        </w:tc>
        <w:tc>
          <w:tcPr>
            <w:tcW w:w="138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January 1, 2022</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w:t>
            </w:r>
          </w:p>
        </w:tc>
        <w:tc>
          <w:tcPr>
            <w:tcW w:w="1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the options</w:t>
            </w:r>
          </w:p>
        </w:tc>
        <w:tc>
          <w:tcPr>
            <w:tcW w:w="162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40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0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ordinary shares</w:t>
            </w:r>
          </w:p>
        </w:tc>
        <w:tc>
          <w:tcPr>
            <w:tcW w:w="162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2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40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40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Expected volatility is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US Government bonds, with tenure equal to the expected life. The expected dividend yield is zero considering the stage of the Group.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Basic and diluted loss per share</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Basic and diluted loss per share is calculated by dividing the loss attributable to equity holders of the Company by the weighted average number of issued and outstanding ordinary shares during the three and six months ended June 30, 2022 and June 30, 2021.</w:t>
      </w:r>
    </w:p>
    <w:p>
      <w:pPr>
        <w:spacing w:after="0" w:line="162"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All of the Company’s potential dilutive securities have been excluded from the computation of diluted net loss per share attributable to ordinary stockholders as the effect of including them would be antidilutive.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82"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2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color w:val="auto"/>
              </w:rPr>
              <w:t>For the three months</w:t>
            </w:r>
          </w:p>
        </w:tc>
        <w:tc>
          <w:tcPr>
            <w:tcW w:w="21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For the six months ended June 30,</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28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color w:val="auto"/>
              </w:rPr>
              <w:t>ended June 30,</w:t>
            </w:r>
          </w:p>
        </w:tc>
        <w:tc>
          <w:tcPr>
            <w:tcW w:w="21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8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Times New Roman" w:cs="Times New Roman" w:eastAsia="Times New Roman" w:hAnsi="Times New Roman"/>
                <w:sz w:val="14"/>
                <w:szCs w:val="14"/>
                <w:color w:val="auto"/>
              </w:rPr>
              <w:t>2021 (*)</w:t>
            </w:r>
          </w:p>
        </w:tc>
        <w:tc>
          <w:tcPr>
            <w:tcW w:w="20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Times New Roman" w:cs="Times New Roman" w:eastAsia="Times New Roman" w:hAnsi="Times New Roman"/>
                <w:sz w:val="14"/>
                <w:szCs w:val="14"/>
                <w:color w:val="auto"/>
              </w:rPr>
              <w:t>2021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9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3"/>
                <w:szCs w:val="13"/>
                <w:color w:val="auto"/>
              </w:rPr>
            </w:pPr>
          </w:p>
        </w:tc>
        <w:tc>
          <w:tcPr>
            <w:tcW w:w="940" w:type="dxa"/>
            <w:vAlign w:val="bottom"/>
          </w:tcPr>
          <w:p>
            <w:pPr>
              <w:jc w:val="right"/>
              <w:ind w:right="357"/>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9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940" w:type="dxa"/>
            <w:vAlign w:val="bottom"/>
          </w:tcPr>
          <w:p>
            <w:pPr>
              <w:jc w:val="right"/>
              <w:ind w:right="357"/>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equity holders of the Company</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(12,710,159)</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(15,202,347)</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(28,728,509)</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(21,243,974)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33,582,171</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33,126,351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33,368,220</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27,646,066</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(0.38)</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(0.86)</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This has been revised. Refer to Note 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Claims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material claims known to management related to the activities of the Group.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jc w:val="both"/>
        <w:ind w:left="120" w:right="320"/>
        <w:spacing w:after="0" w:line="282" w:lineRule="auto"/>
        <w:rPr>
          <w:sz w:val="20"/>
          <w:szCs w:val="20"/>
          <w:color w:val="auto"/>
        </w:rPr>
      </w:pPr>
      <w:r>
        <w:rPr>
          <w:rFonts w:ascii="Times New Roman" w:cs="Times New Roman" w:eastAsia="Times New Roman" w:hAnsi="Times New Roman"/>
          <w:sz w:val="18"/>
          <w:szCs w:val="18"/>
          <w:color w:val="auto"/>
        </w:rPr>
        <w:t>The Group’s contractual obligations and commitments as of June 30, 2022 amounted to €16 million, (December 31, 2021: €19.5 million) primarily related to research and development commitments.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had no contingent liabilities and no contingent assets as at June 30, 2022 and at June 30, 2021,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Related parties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management personnel compensation</w:t>
      </w: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20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8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color w:val="auto"/>
              </w:rPr>
              <w:t>For the six months</w:t>
            </w:r>
          </w:p>
        </w:tc>
      </w:tr>
      <w:tr>
        <w:trPr>
          <w:trHeight w:val="171"/>
        </w:trPr>
        <w:tc>
          <w:tcPr>
            <w:tcW w:w="6180" w:type="dxa"/>
            <w:vAlign w:val="bottom"/>
          </w:tcPr>
          <w:p>
            <w:pPr>
              <w:spacing w:after="0"/>
              <w:rPr>
                <w:sz w:val="14"/>
                <w:szCs w:val="14"/>
                <w:color w:val="auto"/>
              </w:rPr>
            </w:pPr>
          </w:p>
        </w:tc>
        <w:tc>
          <w:tcPr>
            <w:tcW w:w="20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rPr>
              <w:t>June 30,</w:t>
            </w:r>
          </w:p>
        </w:tc>
        <w:tc>
          <w:tcPr>
            <w:tcW w:w="18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ended June 30,</w:t>
            </w:r>
          </w:p>
        </w:tc>
      </w:tr>
      <w:tr>
        <w:trPr>
          <w:trHeight w:val="156"/>
        </w:trPr>
        <w:tc>
          <w:tcPr>
            <w:tcW w:w="61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2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40" w:type="dxa"/>
            <w:vAlign w:val="bottom"/>
          </w:tcPr>
          <w:p>
            <w:pPr>
              <w:spacing w:after="0"/>
              <w:rPr>
                <w:sz w:val="13"/>
                <w:szCs w:val="13"/>
                <w:color w:val="auto"/>
              </w:rPr>
            </w:pPr>
          </w:p>
        </w:tc>
      </w:tr>
      <w:tr>
        <w:trPr>
          <w:trHeight w:val="155"/>
        </w:trPr>
        <w:tc>
          <w:tcPr>
            <w:tcW w:w="618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employee benefits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771,241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894,878</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1,520,406</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1,436,106</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Post employee benefits</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33,177</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6,622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78,559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22,099</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954,796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825,074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2,175,098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2,122,736</w:t>
            </w: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1,759,214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1,726,574</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3,774,063</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3,580,941</w:t>
            </w:r>
          </w:p>
        </w:tc>
        <w:tc>
          <w:tcPr>
            <w:tcW w:w="4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total number of 445,000 stock options and 14,216 RSUs are granted to key management during the six months ended June 30, 2022. Refer to note 18 for disclosures on the share-based payments.</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Group engages several management entities for the purpose of providing key management services to the Group. The aggregate value of transactions related to key management personnel, or entities which they control were €538,744 and €974,125 in the six months ended June 30, 2022 and 2021, respectively.</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320" w:top="482" w:right="5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outstanding balances payable to key management personnel, or entities which they control, as per June 30, 2022 and December 31, 2021 were €417,760 and €1,157,029,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 Events after the reporting period</w:t>
      </w:r>
    </w:p>
    <w:p>
      <w:pPr>
        <w:spacing w:after="0" w:line="121"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On August 22, 2022, the Company announced that the U.S. Food and Drug Administration (the “FDA”) had verbally informed it that, based on its review of nonclinical data, the agency is placing a clinical hold on the clinical trials of PHA121 in the United States (the “clinical hold”). The FDA indicated it will provide a formal clinical hold letter to Pharvaris within approximately 30 days following the verbal notice.</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September 12, 2022, the Company announced that it has received formal clinical hold letters from the FDA. The FDA requested that the Company conduct an additional long-term rodent toxicology study and update the Investigator’s Brochure. The letters stated that the nonclinical observations are unlikely due to B2 receptor antagonism, the primary mechanism of action of PHA121. The Company plans to request a Type A meeting with the FDA to discuss on-demand and prophylactic proposals to address the clinical holds. In the RAPIDe-1 study, subsequent to the clinical hold in the U.S., the Company continues to evaluate PHVS416 for HAE attacks in patients enrolled outside the U.S. Given the current dataset of evaluable attacks, the Company anticipates announcing top-line data for the RAPIDe-1 study in the fourth quarter of 2022. The Company is working with country-specific regulatory authorities regarding the ongoing CHAPTER-1 Phase 2 study of PHVS416 for the prophylactic treatment of HAE attacks. The Company has notified country-specific regulatory authorities in Canada, Europe, Israel, and the UK of the U.S. clinical hold. When the Company has more clarity regarding the impact of the U.S. clinical hold and additional feedback from global regulatory authorities, the Company will provide guidance on the timing of announcing top-line data for the CHAPTER-1 trial.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Signatories to the unaudited condensed consolidated interim financial statements</w:t>
      </w: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Leiden, September 12,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Pharvaris N.V.</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w:t>
      </w:r>
    </w:p>
    <w:p>
      <w:pPr>
        <w:sectPr>
          <w:pgSz w:w="11900" w:h="16838" w:orient="portrait"/>
          <w:cols w:equalWidth="0" w:num="1">
            <w:col w:w="10139"/>
          </w:cols>
          <w:pgMar w:left="320" w:top="4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B.A.E. Modig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 de Jonge Schuermans</w:t>
      </w:r>
    </w:p>
    <w:p>
      <w:pPr>
        <w:spacing w:after="0" w:line="200" w:lineRule="exact"/>
        <w:rPr>
          <w:sz w:val="20"/>
          <w:szCs w:val="20"/>
          <w:color w:val="auto"/>
        </w:rPr>
      </w:pPr>
    </w:p>
    <w:p>
      <w:pPr>
        <w:sectPr>
          <w:pgSz w:w="11900" w:h="16838" w:orient="portrait"/>
          <w:cols w:equalWidth="0" w:num="2">
            <w:col w:w="5140" w:space="720"/>
            <w:col w:w="4279"/>
          </w:cols>
          <w:pgMar w:left="320" w:top="482" w:right="1440"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E. Björk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R.H. Glassman</w:t>
      </w:r>
    </w:p>
    <w:p>
      <w:pPr>
        <w:spacing w:after="0" w:line="200" w:lineRule="exact"/>
        <w:rPr>
          <w:sz w:val="20"/>
          <w:szCs w:val="20"/>
          <w:color w:val="auto"/>
        </w:rPr>
      </w:pPr>
    </w:p>
    <w:p>
      <w:pPr>
        <w:sectPr>
          <w:pgSz w:w="11900" w:h="16838" w:orient="portrait"/>
          <w:cols w:equalWidth="0" w:num="2">
            <w:col w:w="5140" w:space="720"/>
            <w:col w:w="4279"/>
          </w:cols>
          <w:pgMar w:left="320" w:top="482" w:right="1440"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D.P. Meeker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J.G.C.P. Schikan</w:t>
      </w:r>
    </w:p>
    <w:p>
      <w:pPr>
        <w:spacing w:after="0" w:line="200" w:lineRule="exact"/>
        <w:rPr>
          <w:sz w:val="20"/>
          <w:szCs w:val="20"/>
          <w:color w:val="auto"/>
        </w:rPr>
      </w:pPr>
    </w:p>
    <w:p>
      <w:pPr>
        <w:sectPr>
          <w:pgSz w:w="11900" w:h="16838" w:orient="portrait"/>
          <w:cols w:equalWidth="0" w:num="2">
            <w:col w:w="5140" w:space="720"/>
            <w:col w:w="4279"/>
          </w:cols>
          <w:pgMar w:left="320" w:top="482"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 Monges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sectPr>
      <w:pgSz w:w="11900" w:h="16838" w:orient="portrait"/>
      <w:cols w:equalWidth="0" w:num="1">
        <w:col w:w="10139"/>
      </w:cols>
      <w:pgMar w:left="320" w:top="48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2022-09-12T05:54:03Z</dcterms:created>
  <dcterms:modified xsi:type="dcterms:W3CDTF">2022-09-12T05:54:03Z</dcterms:modified>
</cp:coreProperties>
</file>