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175895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190500</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182880</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color w:val="auto"/>
        </w:rPr>
        <w:t>Pharvaris N.V.</w:t>
      </w: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6" w:lineRule="exact"/>
        <w:rPr>
          <w:sz w:val="24"/>
          <w:szCs w:val="24"/>
          <w:color w:val="auto"/>
        </w:rPr>
      </w:pPr>
    </w:p>
    <w:p>
      <w:pPr>
        <w:spacing w:after="0" w:line="207" w:lineRule="exact"/>
        <w:tabs>
          <w:tab w:leader="none" w:pos="1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243840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35"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22, 2022 Pharvaris N.V. (the “Company”) issued a press release. The press release is attached as Exhibit 99.1 hereto and is incorporated by reference herein.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Report on Form 6-K (including Exhibit 99.1) shall be deemed to be incorporated by reference into the registration statements on Form F-3 (Registration Number 333-263198) and Form S-8 (Registration Number 333-252897).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9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2022</w:t>
            </w:r>
          </w:p>
        </w:tc>
        <w:tc>
          <w:tcPr>
            <w:tcW w:w="2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25"/>
        </w:trPr>
        <w:tc>
          <w:tcPr>
            <w:tcW w:w="3640" w:type="dxa"/>
            <w:vAlign w:val="bottom"/>
          </w:tcPr>
          <w:p>
            <w:pPr>
              <w:spacing w:after="0"/>
              <w:rPr>
                <w:sz w:val="19"/>
                <w:szCs w:val="19"/>
                <w:color w:val="auto"/>
              </w:rPr>
            </w:pPr>
          </w:p>
        </w:tc>
        <w:tc>
          <w:tcPr>
            <w:tcW w:w="2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640" w:type="dxa"/>
            <w:vAlign w:val="bottom"/>
          </w:tcPr>
          <w:p>
            <w:pPr>
              <w:spacing w:after="0"/>
              <w:rPr>
                <w:sz w:val="20"/>
                <w:szCs w:val="20"/>
                <w:color w:val="auto"/>
              </w:rPr>
            </w:pPr>
          </w:p>
        </w:tc>
        <w:tc>
          <w:tcPr>
            <w:tcW w:w="2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Announces FDA Clinical Hold on PHA121 Clinical Trials in the U.S.</w:t>
      </w:r>
    </w:p>
    <w:p>
      <w:pPr>
        <w:spacing w:after="0" w:line="20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Zug, Switzerland, August 22, 2022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Pharvaris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PHVS), a clinical-stage company developing novel, oral bradykinin-B2-receptor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antagonists to treat and prevent hereditary angioedema (HAE) attacks, today announced that the U.S. Food and Drug Administration (FDA) verbally informed Pharvaris that, based on its review of nonclinical data, the agency is placing a clinical hold on the clinical trials of PHA121 in the U.S. under two Pharvaris Investigational New Drug (IND) applications for the treatment of HAE. The FDA indicated it will provide a formal clinical hold letter to Pharvaris in approximately 30 days. The company plans to provide additional updates following interactions with the FDA.</w:t>
      </w:r>
    </w:p>
    <w:p>
      <w:pPr>
        <w:spacing w:after="0" w:line="19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“We are fully committed to working closely with the FDA to address the agency’s concerns,” said Berndt Modig, chief executive officer of Pharvaris. “Pharvaris remains dedicated to providing new therapeutic choices for the treatment of HAE and is working diligently to bring PHA121 to people living with HAE.”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effective and convenient alternatives to treat attacks,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20"/>
          <w:szCs w:val="20"/>
          <w:u w:val="single" w:color="auto"/>
          <w:color w:val="auto"/>
        </w:rPr>
        <w:t>https://pharvaris.com/</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FDA’s clinical hold on PHA121 clinical trials in the U.S.; the expected timing, progress, or success of our clinical development programs, especially for PHVS416 and PHVS719, which were in mid-stage clinical trials and are currently on hold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9"/>
          <w:szCs w:val="19"/>
          <w:color w:val="auto"/>
        </w:rPr>
        <w:t>result of the clinical hold; risks associated with the COVID-19 pandemic, which may adversely impact our business, nonclinical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changes in general market, political and economic conditions, including as a result of the current conflict between Russia and Ukraine; and the other factors described under the headings “Cautionary Statement Regarding Forward-Looking Statements” and “Item 3. Key Information</w:t>
      </w:r>
      <w:r>
        <w:rPr>
          <w:rFonts w:ascii="Arial" w:cs="Arial" w:eastAsia="Arial" w:hAnsi="Arial"/>
          <w:sz w:val="15"/>
          <w:szCs w:val="15"/>
          <w:color w:val="auto"/>
        </w:rPr>
        <w:t>—</w:t>
      </w:r>
      <w:r>
        <w:rPr>
          <w:rFonts w:ascii="Times New Roman" w:cs="Times New Roman" w:eastAsia="Times New Roman" w:hAnsi="Times New Roman"/>
          <w:sz w:val="19"/>
          <w:szCs w:val="19"/>
          <w:color w:val="auto"/>
        </w:rPr>
        <w:t>D. Risk Factors” in our Annual Report on Form 20-F and other periodic filings with the Securities and Exchange Commission.</w:t>
      </w:r>
    </w:p>
    <w:p>
      <w:pPr>
        <w:spacing w:after="0" w:line="20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Pharvaris</w:t>
      </w:r>
    </w:p>
    <w:p>
      <w:pPr>
        <w:spacing w:after="0"/>
        <w:rPr>
          <w:sz w:val="20"/>
          <w:szCs w:val="20"/>
          <w:color w:val="auto"/>
        </w:rPr>
      </w:pPr>
      <w:r>
        <w:rPr>
          <w:rFonts w:ascii="Times New Roman" w:cs="Times New Roman" w:eastAsia="Times New Roman" w:hAnsi="Times New Roman"/>
          <w:sz w:val="20"/>
          <w:szCs w:val="20"/>
          <w:color w:val="auto"/>
        </w:rPr>
        <w:t>Maryann Cimino</w:t>
      </w:r>
    </w:p>
    <w:p>
      <w:pPr>
        <w:spacing w:after="0"/>
        <w:rPr>
          <w:sz w:val="20"/>
          <w:szCs w:val="20"/>
          <w:color w:val="auto"/>
        </w:rPr>
      </w:pPr>
      <w:r>
        <w:rPr>
          <w:rFonts w:ascii="Times New Roman" w:cs="Times New Roman" w:eastAsia="Times New Roman" w:hAnsi="Times New Roman"/>
          <w:sz w:val="20"/>
          <w:szCs w:val="20"/>
          <w:color w:val="auto"/>
        </w:rPr>
        <w:t>Director of Corporate Relations</w:t>
      </w:r>
    </w:p>
    <w:p>
      <w:pPr>
        <w:spacing w:after="0"/>
        <w:rPr>
          <w:sz w:val="20"/>
          <w:szCs w:val="20"/>
          <w:color w:val="auto"/>
        </w:rPr>
      </w:pPr>
      <w:r>
        <w:rPr>
          <w:rFonts w:ascii="Times New Roman" w:cs="Times New Roman" w:eastAsia="Times New Roman" w:hAnsi="Times New Roman"/>
          <w:sz w:val="20"/>
          <w:szCs w:val="20"/>
          <w:color w:val="auto"/>
        </w:rPr>
        <w:t>+1-617-710-7305</w:t>
      </w:r>
    </w:p>
    <w:p>
      <w:pPr>
        <w:spacing w:after="0"/>
        <w:rPr>
          <w:sz w:val="20"/>
          <w:szCs w:val="20"/>
          <w:color w:val="auto"/>
        </w:rPr>
      </w:pPr>
      <w:r>
        <w:rPr>
          <w:rFonts w:ascii="Times New Roman" w:cs="Times New Roman" w:eastAsia="Times New Roman" w:hAnsi="Times New Roman"/>
          <w:sz w:val="20"/>
          <w:szCs w:val="20"/>
          <w:u w:val="single" w:color="auto"/>
          <w:color w:val="auto"/>
        </w:rPr>
        <w:t>maryann.cimino@pharvaris.com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137160</wp:posOffset>
            </wp:positionV>
            <wp:extent cx="149987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2022-08-22T05:52:06Z</dcterms:created>
  <dcterms:modified xsi:type="dcterms:W3CDTF">2022-08-22T05:52:06Z</dcterms:modified>
</cp:coreProperties>
</file>