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1"/>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rPr>
              <w:t>UNITED STATES</w:t>
            </w:r>
          </w:p>
        </w:tc>
      </w:tr>
      <w:tr>
        <w:trPr>
          <w:trHeight w:val="339"/>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WASHINGTON, D.C. 20549</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383"/>
        </w:trPr>
        <w:tc>
          <w:tcPr>
            <w:tcW w:w="1200" w:type="dxa"/>
            <w:vAlign w:val="bottom"/>
          </w:tcPr>
          <w:p>
            <w:pPr>
              <w:spacing w:after="0"/>
              <w:rPr>
                <w:sz w:val="24"/>
                <w:szCs w:val="24"/>
                <w:color w:val="auto"/>
              </w:rPr>
            </w:pPr>
          </w:p>
        </w:tc>
        <w:tc>
          <w:tcPr>
            <w:tcW w:w="10060" w:type="dxa"/>
            <w:vAlign w:val="bottom"/>
          </w:tcPr>
          <w:p>
            <w:pPr>
              <w:jc w:val="center"/>
              <w:ind w:right="1125"/>
              <w:spacing w:after="0"/>
              <w:rPr>
                <w:sz w:val="20"/>
                <w:szCs w:val="20"/>
                <w:color w:val="auto"/>
              </w:rPr>
            </w:pPr>
            <w:r>
              <w:rPr>
                <w:rFonts w:ascii="Arial" w:cs="Arial" w:eastAsia="Arial" w:hAnsi="Arial"/>
                <w:sz w:val="28"/>
                <w:szCs w:val="28"/>
                <w:b w:val="1"/>
                <w:bCs w:val="1"/>
                <w:color w:val="auto"/>
              </w:rPr>
              <w:t>FORM 6-K</w:t>
            </w:r>
          </w:p>
        </w:tc>
      </w:tr>
      <w:tr>
        <w:trPr>
          <w:trHeight w:val="129"/>
        </w:trPr>
        <w:tc>
          <w:tcPr>
            <w:tcW w:w="1200" w:type="dxa"/>
            <w:vAlign w:val="bottom"/>
            <w:tcBorders>
              <w:bottom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r>
      <w:tr>
        <w:trPr>
          <w:trHeight w:val="152"/>
        </w:trPr>
        <w:tc>
          <w:tcPr>
            <w:tcW w:w="1200" w:type="dxa"/>
            <w:vAlign w:val="bottom"/>
          </w:tcPr>
          <w:p>
            <w:pPr>
              <w:spacing w:after="0"/>
              <w:rPr>
                <w:sz w:val="13"/>
                <w:szCs w:val="13"/>
                <w:color w:val="auto"/>
              </w:rPr>
            </w:pPr>
          </w:p>
        </w:tc>
        <w:tc>
          <w:tcPr>
            <w:tcW w:w="10060" w:type="dxa"/>
            <w:vAlign w:val="bottom"/>
          </w:tcPr>
          <w:p>
            <w:pPr>
              <w:jc w:val="center"/>
              <w:ind w:right="1125"/>
              <w:spacing w:after="0" w:line="152" w:lineRule="exact"/>
              <w:rPr>
                <w:sz w:val="20"/>
                <w:szCs w:val="20"/>
                <w:color w:val="auto"/>
              </w:rPr>
            </w:pPr>
            <w:r>
              <w:rPr>
                <w:rFonts w:ascii="Arial" w:cs="Arial" w:eastAsia="Arial" w:hAnsi="Arial"/>
                <w:sz w:val="16"/>
                <w:szCs w:val="16"/>
                <w:b w:val="1"/>
                <w:bCs w:val="1"/>
                <w:color w:val="auto"/>
                <w:w w:val="98"/>
              </w:rPr>
              <w:t>REPORT OF FOREIGN PRIVATE ISSUER</w:t>
            </w:r>
          </w:p>
        </w:tc>
      </w:tr>
      <w:tr>
        <w:trPr>
          <w:trHeight w:val="177"/>
        </w:trPr>
        <w:tc>
          <w:tcPr>
            <w:tcW w:w="1200" w:type="dxa"/>
            <w:vAlign w:val="bottom"/>
          </w:tcPr>
          <w:p>
            <w:pPr>
              <w:spacing w:after="0"/>
              <w:rPr>
                <w:sz w:val="15"/>
                <w:szCs w:val="15"/>
                <w:color w:val="auto"/>
              </w:rPr>
            </w:pPr>
          </w:p>
        </w:tc>
        <w:tc>
          <w:tcPr>
            <w:tcW w:w="10060" w:type="dxa"/>
            <w:vAlign w:val="bottom"/>
          </w:tcPr>
          <w:p>
            <w:pPr>
              <w:jc w:val="center"/>
              <w:ind w:right="1105"/>
              <w:spacing w:after="0" w:line="178" w:lineRule="exact"/>
              <w:rPr>
                <w:sz w:val="20"/>
                <w:szCs w:val="20"/>
                <w:color w:val="auto"/>
              </w:rPr>
            </w:pPr>
            <w:r>
              <w:rPr>
                <w:rFonts w:ascii="Arial" w:cs="Arial" w:eastAsia="Arial" w:hAnsi="Arial"/>
                <w:sz w:val="16"/>
                <w:szCs w:val="16"/>
                <w:b w:val="1"/>
                <w:bCs w:val="1"/>
                <w:color w:val="auto"/>
                <w:w w:val="98"/>
              </w:rPr>
              <w:t>PURSUANT TO RULE 13A-16 OR 15D-16 UNDER</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THE SECURITIES EXCHANGE ACT OF 1934</w:t>
            </w:r>
          </w:p>
        </w:tc>
      </w:tr>
      <w:tr>
        <w:trPr>
          <w:trHeight w:val="493"/>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For the month of January 2026</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8"/>
              </w:rPr>
              <w:t>Commission File Number: 001-40010</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415"/>
        </w:trPr>
        <w:tc>
          <w:tcPr>
            <w:tcW w:w="1200" w:type="dxa"/>
            <w:vAlign w:val="bottom"/>
          </w:tcPr>
          <w:p>
            <w:pPr>
              <w:spacing w:after="0"/>
              <w:rPr>
                <w:sz w:val="24"/>
                <w:szCs w:val="24"/>
                <w:color w:val="auto"/>
              </w:rPr>
            </w:pPr>
          </w:p>
        </w:tc>
        <w:tc>
          <w:tcPr>
            <w:tcW w:w="10060" w:type="dxa"/>
            <w:vAlign w:val="bottom"/>
          </w:tcPr>
          <w:p>
            <w:pPr>
              <w:jc w:val="center"/>
              <w:ind w:right="1125"/>
              <w:spacing w:after="0" w:line="414" w:lineRule="exact"/>
              <w:rPr>
                <w:sz w:val="20"/>
                <w:szCs w:val="20"/>
                <w:color w:val="auto"/>
              </w:rPr>
            </w:pPr>
            <w:r>
              <w:rPr>
                <w:rFonts w:ascii="Arial" w:cs="Arial" w:eastAsia="Arial" w:hAnsi="Arial"/>
                <w:sz w:val="38"/>
                <w:szCs w:val="38"/>
                <w:color w:val="auto"/>
                <w:w w:val="99"/>
              </w:rPr>
              <w:t>Pharvaris N.V.</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color w:val="auto"/>
                <w:w w:val="98"/>
              </w:rPr>
              <w:t>(Translation of registrant’s name into English)</w:t>
            </w:r>
          </w:p>
        </w:tc>
      </w:tr>
      <w:tr>
        <w:trPr>
          <w:trHeight w:val="163"/>
        </w:trPr>
        <w:tc>
          <w:tcPr>
            <w:tcW w:w="120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r>
      <w:tr>
        <w:trPr>
          <w:trHeight w:val="161"/>
        </w:trPr>
        <w:tc>
          <w:tcPr>
            <w:tcW w:w="1200" w:type="dxa"/>
            <w:vAlign w:val="bottom"/>
          </w:tcPr>
          <w:p>
            <w:pPr>
              <w:spacing w:after="0"/>
              <w:rPr>
                <w:sz w:val="14"/>
                <w:szCs w:val="14"/>
                <w:color w:val="auto"/>
              </w:rPr>
            </w:pPr>
          </w:p>
        </w:tc>
        <w:tc>
          <w:tcPr>
            <w:tcW w:w="10060" w:type="dxa"/>
            <w:vAlign w:val="bottom"/>
          </w:tcPr>
          <w:p>
            <w:pPr>
              <w:jc w:val="center"/>
              <w:ind w:right="1125"/>
              <w:spacing w:after="0"/>
              <w:rPr>
                <w:sz w:val="20"/>
                <w:szCs w:val="20"/>
                <w:color w:val="auto"/>
              </w:rPr>
            </w:pPr>
            <w:r>
              <w:rPr>
                <w:rFonts w:ascii="Arial" w:cs="Arial" w:eastAsia="Arial" w:hAnsi="Arial"/>
                <w:sz w:val="13"/>
                <w:szCs w:val="13"/>
                <w:b w:val="1"/>
                <w:bCs w:val="1"/>
                <w:color w:val="auto"/>
                <w:w w:val="96"/>
              </w:rPr>
              <w:t>Emmy Noetherweg 2</w:t>
            </w:r>
          </w:p>
        </w:tc>
      </w:tr>
      <w:tr>
        <w:trPr>
          <w:trHeight w:val="172"/>
        </w:trPr>
        <w:tc>
          <w:tcPr>
            <w:tcW w:w="1200" w:type="dxa"/>
            <w:vAlign w:val="bottom"/>
          </w:tcPr>
          <w:p>
            <w:pPr>
              <w:spacing w:after="0"/>
              <w:rPr>
                <w:sz w:val="14"/>
                <w:szCs w:val="14"/>
                <w:color w:val="auto"/>
              </w:rPr>
            </w:pPr>
          </w:p>
        </w:tc>
        <w:tc>
          <w:tcPr>
            <w:tcW w:w="10060" w:type="dxa"/>
            <w:vAlign w:val="bottom"/>
          </w:tcPr>
          <w:p>
            <w:pPr>
              <w:jc w:val="center"/>
              <w:ind w:right="1105"/>
              <w:spacing w:after="0"/>
              <w:rPr>
                <w:sz w:val="20"/>
                <w:szCs w:val="20"/>
                <w:color w:val="auto"/>
              </w:rPr>
            </w:pPr>
            <w:r>
              <w:rPr>
                <w:rFonts w:ascii="Arial" w:cs="Arial" w:eastAsia="Arial" w:hAnsi="Arial"/>
                <w:sz w:val="13"/>
                <w:szCs w:val="13"/>
                <w:b w:val="1"/>
                <w:bCs w:val="1"/>
                <w:color w:val="auto"/>
                <w:w w:val="97"/>
              </w:rPr>
              <w:t>2333 BK Leiden</w:t>
            </w:r>
          </w:p>
        </w:tc>
      </w:tr>
      <w:tr>
        <w:trPr>
          <w:trHeight w:val="140"/>
        </w:trPr>
        <w:tc>
          <w:tcPr>
            <w:tcW w:w="1200" w:type="dxa"/>
            <w:vAlign w:val="bottom"/>
          </w:tcPr>
          <w:p>
            <w:pPr>
              <w:spacing w:after="0"/>
              <w:rPr>
                <w:sz w:val="12"/>
                <w:szCs w:val="12"/>
                <w:color w:val="auto"/>
              </w:rPr>
            </w:pPr>
          </w:p>
        </w:tc>
        <w:tc>
          <w:tcPr>
            <w:tcW w:w="10060" w:type="dxa"/>
            <w:vAlign w:val="bottom"/>
          </w:tcPr>
          <w:p>
            <w:pPr>
              <w:jc w:val="center"/>
              <w:ind w:right="1105"/>
              <w:spacing w:after="0" w:line="141" w:lineRule="exact"/>
              <w:rPr>
                <w:sz w:val="20"/>
                <w:szCs w:val="20"/>
                <w:color w:val="auto"/>
              </w:rPr>
            </w:pPr>
            <w:r>
              <w:rPr>
                <w:rFonts w:ascii="Arial" w:cs="Arial" w:eastAsia="Arial" w:hAnsi="Arial"/>
                <w:sz w:val="13"/>
                <w:szCs w:val="13"/>
                <w:b w:val="1"/>
                <w:bCs w:val="1"/>
                <w:color w:val="auto"/>
                <w:w w:val="96"/>
              </w:rPr>
              <w:t>The Netherlands</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color w:val="auto"/>
                <w:w w:val="98"/>
              </w:rPr>
              <w:t>(Address of principal executive office)</w:t>
            </w:r>
          </w:p>
        </w:tc>
      </w:tr>
      <w:tr>
        <w:trPr>
          <w:trHeight w:val="305"/>
        </w:trPr>
        <w:tc>
          <w:tcPr>
            <w:tcW w:w="1126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tc>
      </w:tr>
      <w:tr>
        <w:trPr>
          <w:trHeight w:val="264"/>
        </w:trPr>
        <w:tc>
          <w:tcPr>
            <w:tcW w:w="1200" w:type="dxa"/>
            <w:vAlign w:val="bottom"/>
          </w:tcPr>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p>
        </w:tc>
        <w:tc>
          <w:tcPr>
            <w:tcW w:w="10060" w:type="dxa"/>
            <w:vAlign w:val="bottom"/>
          </w:tcPr>
          <w:p>
            <w:pPr>
              <w:ind w:left="280"/>
              <w:spacing w:after="0" w:line="184" w:lineRule="exact"/>
              <w:rPr>
                <w:sz w:val="20"/>
                <w:szCs w:val="20"/>
                <w:color w:val="auto"/>
              </w:rPr>
            </w:pP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tc>
      </w:tr>
    </w:tbl>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ind w:right="480"/>
        <w:spacing w:after="0" w:line="260"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6" w:lineRule="exact"/>
        <w:rPr>
          <w:sz w:val="24"/>
          <w:szCs w:val="24"/>
          <w:color w:val="auto"/>
        </w:rPr>
      </w:pPr>
    </w:p>
    <w:p>
      <w:pPr>
        <w:ind w:right="280"/>
        <w:spacing w:after="0" w:line="239"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398780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January 12, 2026, Pharvaris N.V. (the “Company”) issued a press release. The press release is attached as Exhibit 99.1 hereto and is incorporated by reference herein. Also on January 12, 2026, the Company made available an investor presentation on its website. A copy of the investor presentation is attached hereto as Exhibit 99.2.</w:t>
      </w:r>
    </w:p>
    <w:p>
      <w:pPr>
        <w:spacing w:after="0" w:line="144" w:lineRule="exact"/>
        <w:rPr>
          <w:sz w:val="20"/>
          <w:szCs w:val="20"/>
          <w:color w:val="auto"/>
        </w:rPr>
      </w:pPr>
    </w:p>
    <w:p>
      <w:pPr>
        <w:jc w:val="both"/>
        <w:ind w:right="100"/>
        <w:spacing w:after="0" w:line="241" w:lineRule="auto"/>
        <w:rPr>
          <w:sz w:val="20"/>
          <w:szCs w:val="20"/>
          <w:color w:val="auto"/>
        </w:rPr>
      </w:pPr>
      <w:r>
        <w:rPr>
          <w:rFonts w:ascii="Arial" w:cs="Arial" w:eastAsia="Arial" w:hAnsi="Arial"/>
          <w:sz w:val="16"/>
          <w:szCs w:val="16"/>
          <w:color w:val="auto"/>
        </w:rPr>
        <w:t>Exhibit 99.1 to this Report on Form 6-K shall be deemed to be incorporated by reference into the registration statements on Form F-3 (Registration Number 333-273757, 333-277705 and 333-278650) and Form S-8 (Registration Number 333-252897). Exhibit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7620" w:type="dxa"/>
            <w:vAlign w:val="bottom"/>
            <w:gridSpan w:val="2"/>
          </w:tcPr>
          <w:p>
            <w:pPr>
              <w:ind w:left="2000"/>
              <w:spacing w:after="0"/>
              <w:rPr>
                <w:sz w:val="20"/>
                <w:szCs w:val="20"/>
                <w:color w:val="auto"/>
              </w:rPr>
            </w:pPr>
            <w:r>
              <w:rPr>
                <w:rFonts w:ascii="Arial" w:cs="Arial" w:eastAsia="Arial" w:hAnsi="Arial"/>
                <w:sz w:val="16"/>
                <w:szCs w:val="16"/>
                <w:b w:val="1"/>
                <w:bCs w:val="1"/>
                <w:color w:val="auto"/>
              </w:rPr>
              <w:t>PHARVARIS N.V.</w:t>
            </w:r>
          </w:p>
        </w:tc>
      </w:tr>
      <w:tr>
        <w:trPr>
          <w:trHeight w:val="360"/>
        </w:trPr>
        <w:tc>
          <w:tcPr>
            <w:tcW w:w="3640" w:type="dxa"/>
            <w:vAlign w:val="bottom"/>
          </w:tcPr>
          <w:p>
            <w:pPr>
              <w:spacing w:after="0"/>
              <w:rPr>
                <w:sz w:val="20"/>
                <w:szCs w:val="20"/>
                <w:color w:val="auto"/>
              </w:rPr>
            </w:pPr>
            <w:r>
              <w:rPr>
                <w:rFonts w:ascii="Arial" w:cs="Arial" w:eastAsia="Arial" w:hAnsi="Arial"/>
                <w:sz w:val="16"/>
                <w:szCs w:val="16"/>
                <w:color w:val="auto"/>
              </w:rPr>
              <w:t>Date: January 12, 2026</w:t>
            </w:r>
          </w:p>
        </w:tc>
        <w:tc>
          <w:tcPr>
            <w:tcW w:w="2920" w:type="dxa"/>
            <w:vAlign w:val="bottom"/>
          </w:tcPr>
          <w:p>
            <w:pPr>
              <w:ind w:left="200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174"/>
        </w:trPr>
        <w:tc>
          <w:tcPr>
            <w:tcW w:w="3640" w:type="dxa"/>
            <w:vAlign w:val="bottom"/>
          </w:tcPr>
          <w:p>
            <w:pPr>
              <w:spacing w:after="0"/>
              <w:rPr>
                <w:sz w:val="15"/>
                <w:szCs w:val="15"/>
                <w:color w:val="auto"/>
              </w:rPr>
            </w:pPr>
          </w:p>
        </w:tc>
        <w:tc>
          <w:tcPr>
            <w:tcW w:w="2920" w:type="dxa"/>
            <w:vAlign w:val="bottom"/>
          </w:tcPr>
          <w:p>
            <w:pPr>
              <w:ind w:left="2000"/>
              <w:spacing w:after="0" w:line="175" w:lineRule="exact"/>
              <w:rPr>
                <w:sz w:val="20"/>
                <w:szCs w:val="20"/>
                <w:color w:val="auto"/>
              </w:rPr>
            </w:pPr>
            <w:r>
              <w:rPr>
                <w:rFonts w:ascii="Arial" w:cs="Arial" w:eastAsia="Arial" w:hAnsi="Arial"/>
                <w:sz w:val="16"/>
                <w:szCs w:val="16"/>
                <w:color w:val="auto"/>
              </w:rPr>
              <w:t>Name:</w:t>
            </w:r>
          </w:p>
        </w:tc>
        <w:tc>
          <w:tcPr>
            <w:tcW w:w="4700" w:type="dxa"/>
            <w:vAlign w:val="bottom"/>
          </w:tcPr>
          <w:p>
            <w:pPr>
              <w:spacing w:after="0" w:line="175" w:lineRule="exact"/>
              <w:rPr>
                <w:sz w:val="20"/>
                <w:szCs w:val="20"/>
                <w:color w:val="auto"/>
              </w:rPr>
            </w:pPr>
            <w:r>
              <w:rPr>
                <w:rFonts w:ascii="Arial" w:cs="Arial" w:eastAsia="Arial" w:hAnsi="Arial"/>
                <w:sz w:val="16"/>
                <w:szCs w:val="16"/>
                <w:color w:val="auto"/>
              </w:rPr>
              <w:t>Berndt Modig</w:t>
            </w:r>
          </w:p>
        </w:tc>
      </w:tr>
      <w:tr>
        <w:trPr>
          <w:trHeight w:val="207"/>
        </w:trPr>
        <w:tc>
          <w:tcPr>
            <w:tcW w:w="3640" w:type="dxa"/>
            <w:vAlign w:val="bottom"/>
          </w:tcPr>
          <w:p>
            <w:pPr>
              <w:spacing w:after="0"/>
              <w:rPr>
                <w:sz w:val="17"/>
                <w:szCs w:val="17"/>
                <w:color w:val="auto"/>
              </w:rPr>
            </w:pPr>
          </w:p>
        </w:tc>
        <w:tc>
          <w:tcPr>
            <w:tcW w:w="2920" w:type="dxa"/>
            <w:vAlign w:val="bottom"/>
          </w:tcPr>
          <w:p>
            <w:pPr>
              <w:ind w:left="2000"/>
              <w:spacing w:after="0"/>
              <w:rPr>
                <w:sz w:val="20"/>
                <w:szCs w:val="20"/>
                <w:color w:val="auto"/>
              </w:rPr>
            </w:pPr>
            <w:r>
              <w:rPr>
                <w:rFonts w:ascii="Arial" w:cs="Arial" w:eastAsia="Arial" w:hAnsi="Arial"/>
                <w:sz w:val="16"/>
                <w:szCs w:val="16"/>
                <w:color w:val="auto"/>
              </w:rPr>
              <w:t>Title:</w:t>
            </w:r>
          </w:p>
        </w:tc>
        <w:tc>
          <w:tcPr>
            <w:tcW w:w="470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49"/>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198"/>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7"/>
                <w:szCs w:val="17"/>
                <w:color w:val="auto"/>
              </w:rPr>
            </w:pPr>
          </w:p>
        </w:tc>
        <w:tc>
          <w:tcPr>
            <w:tcW w:w="101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54"/>
        </w:trPr>
        <w:tc>
          <w:tcPr>
            <w:tcW w:w="300" w:type="dxa"/>
            <w:vAlign w:val="bottom"/>
          </w:tcPr>
          <w:p>
            <w:pPr>
              <w:spacing w:after="0" w:line="154" w:lineRule="exact"/>
              <w:rPr>
                <w:sz w:val="20"/>
                <w:szCs w:val="20"/>
                <w:color w:val="auto"/>
              </w:rPr>
            </w:pPr>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1</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140" w:type="dxa"/>
            <w:vAlign w:val="bottom"/>
            <w:gridSpan w:val="3"/>
          </w:tcPr>
          <w:p>
            <w:pPr>
              <w:ind w:left="20"/>
              <w:spacing w:after="0" w:line="154" w:lineRule="exact"/>
              <w:rPr>
                <w:sz w:val="20"/>
                <w:szCs w:val="20"/>
                <w:color w:val="auto"/>
              </w:rPr>
            </w:pPr>
            <w:r>
              <w:rPr>
                <w:rFonts w:ascii="Arial" w:cs="Arial" w:eastAsia="Arial" w:hAnsi="Arial"/>
                <w:sz w:val="16"/>
                <w:szCs w:val="16"/>
                <w:color w:val="0000FF"/>
              </w:rPr>
              <w:t>Press release, dated January 12, 2026.</w:t>
            </w:r>
          </w:p>
        </w:tc>
      </w:tr>
      <w:tr>
        <w:trPr>
          <w:trHeight w:val="20"/>
        </w:trPr>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57"/>
        </w:trPr>
        <w:tc>
          <w:tcPr>
            <w:tcW w:w="300" w:type="dxa"/>
            <w:vAlign w:val="bottom"/>
          </w:tcPr>
          <w:p>
            <w:pPr>
              <w:spacing w:after="0" w:line="158" w:lineRule="exact"/>
              <w:rPr>
                <w:sz w:val="20"/>
                <w:szCs w:val="20"/>
                <w:color w:val="auto"/>
              </w:rPr>
            </w:pPr>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2</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140" w:type="dxa"/>
            <w:vAlign w:val="bottom"/>
            <w:gridSpan w:val="3"/>
          </w:tcPr>
          <w:p>
            <w:pPr>
              <w:ind w:left="20"/>
              <w:spacing w:after="0" w:line="158" w:lineRule="exact"/>
              <w:rPr>
                <w:sz w:val="20"/>
                <w:szCs w:val="20"/>
                <w:color w:val="auto"/>
              </w:rPr>
            </w:pPr>
            <w:r>
              <w:rPr>
                <w:rFonts w:ascii="Arial" w:cs="Arial" w:eastAsia="Arial" w:hAnsi="Arial"/>
                <w:sz w:val="16"/>
                <w:szCs w:val="16"/>
                <w:color w:val="0000FF"/>
              </w:rPr>
              <w:t>Investor Presentation, dated January 12, 2026.</w:t>
            </w:r>
          </w:p>
        </w:tc>
      </w:tr>
      <w:tr>
        <w:trPr>
          <w:trHeight w:val="859"/>
        </w:trPr>
        <w:tc>
          <w:tcPr>
            <w:tcW w:w="30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6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5509260</wp:posOffset>
            </wp:positionH>
            <wp:positionV relativeFrom="page">
              <wp:posOffset>449580</wp:posOffset>
            </wp:positionV>
            <wp:extent cx="1839595" cy="262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39595" cy="262890"/>
                    </a:xfrm>
                    <a:prstGeom prst="rect">
                      <a:avLst/>
                    </a:prstGeom>
                    <a:noFill/>
                  </pic:spPr>
                </pic:pic>
              </a:graphicData>
            </a:graphic>
          </wp:anchor>
        </w:drawing>
        <w:t>Exhibit 99.1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Pharvaris Outlines 2026 Strategic Priorities</w:t>
      </w:r>
    </w:p>
    <w:p>
      <w:pPr>
        <w:spacing w:after="0" w:line="183" w:lineRule="exact"/>
        <w:rPr>
          <w:sz w:val="20"/>
          <w:szCs w:val="20"/>
          <w:color w:val="auto"/>
        </w:rPr>
      </w:pP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Topline data from CHAPTER-3, a pivotal study of deucrictibant for prophylactic treatment of HAE attacks, anticipated in 3Q2026</w:t>
      </w:r>
    </w:p>
    <w:p>
      <w:pPr>
        <w:spacing w:after="0" w:line="2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of NDA dossier of deucrictibant for on-demand treatment of HAE attacks ongoing; timeline remains on-track for filing in 1H2026</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ongoing in CREAATE, a pivotal study of deucrictibant for the prophylactic and on-demand treatment of AAE-C1INH attacks</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cash runway into 1H2027</w:t>
      </w:r>
    </w:p>
    <w:p>
      <w:pPr>
        <w:spacing w:after="0" w:line="18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ZUG, Switzerland, January 12, 2026 – Pharvaris (Nasdaq: PHVS), a late-stage biopharmaceutical company developing novel, oral bradykinin B2 receptor antagonists to help address unmet needs of those living with bradykinin-mediated diseases such as hereditary angioedema (HAE) and acquired angioedema due to C1 inhibitor deficiency (AAE-C1INH), today outlined its strategic priorities for 2026.</w:t>
      </w:r>
    </w:p>
    <w:p>
      <w:pPr>
        <w:spacing w:after="0" w:line="15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“The readout of Pharvaris’ first pivotal Phase 3 study, RAPIDe-3, in December was the culmination of a decade of scientific rigor, operational and financial diligence, executional excellence, and, most importantly, community engagement and commitment,” said Berndt Modig, Chief Executive Officer of Pharvaris. “The data reported in December build upon Pharvaris’ legacy in HAE drug development, and we believe demonstrate deucrictibant’s potentially differentiated profile and potential to become a new standard of care for on-demand HAE treatment of attacks. Our team’s ability to conduct the most diverse Phase 3 on-demand study in HAE, by including previously underserved regions and subgroups, and improve upon the outcomes of the RAPIDe-1 Phase 2 study further bolsters our confidence in the clinical execution of the CHAPTER-3 prophylactic study, for which the timing of anticipated data readout has now been refined to the third quarter of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2026 Strategic Priorities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Long-term Prophylaxis of HAE Attacks</w:t>
      </w:r>
    </w:p>
    <w:p>
      <w:pPr>
        <w:spacing w:after="0" w:line="6" w:lineRule="exact"/>
        <w:rPr>
          <w:sz w:val="20"/>
          <w:szCs w:val="20"/>
          <w:color w:val="auto"/>
        </w:rPr>
      </w:pPr>
    </w:p>
    <w:p>
      <w:pPr>
        <w:ind w:left="740" w:right="80" w:hanging="370"/>
        <w:spacing w:after="0" w:line="251" w:lineRule="auto"/>
        <w:tabs>
          <w:tab w:leader="none" w:pos="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Topline data from CHAPTER-3 (NCT06669754) anticipated 3Q2026. </w:t>
      </w:r>
      <w:r>
        <w:rPr>
          <w:rFonts w:ascii="Times New Roman" w:cs="Times New Roman" w:eastAsia="Times New Roman" w:hAnsi="Times New Roman"/>
          <w:sz w:val="17"/>
          <w:szCs w:val="17"/>
          <w:color w:val="auto"/>
        </w:rPr>
        <w:t>CHAPTER-3 is a randomized, double-blind, placebo-controlled Phase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study of orally administered deucrictibant extended-release tablet for the prophylaxis against angioedema attacks in adults and adolescents (12 years and older) with HAE. The study aims to enroll approximately 81 participants randomized in a 2:1 ratio to receive deucrictibant extended-release tablet (40 mg), which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02" w:right="319" w:bottom="1440" w:gutter="0" w:footer="0" w:header="0"/>
        </w:sectPr>
      </w:pPr>
    </w:p>
    <w:bookmarkStart w:id="3" w:name="page4"/>
    <w:bookmarkEnd w:id="3"/>
    <w:p>
      <w:pPr>
        <w:ind w:left="740" w:right="20"/>
        <w:spacing w:after="0" w:line="259" w:lineRule="auto"/>
        <w:rPr>
          <w:sz w:val="20"/>
          <w:szCs w:val="20"/>
          <w:color w:val="auto"/>
        </w:rPr>
      </w:pPr>
      <w:r>
        <w:rPr>
          <w:rFonts w:ascii="Times New Roman" w:cs="Times New Roman" w:eastAsia="Times New Roman" w:hAnsi="Times New Roman"/>
          <w:sz w:val="17"/>
          <w:szCs w:val="17"/>
          <w:color w:val="auto"/>
        </w:rPr>
        <w:t>intended commercial dosage, or placebo, once daily for 24 weeks. Pharvaris anticipates announcing topline data of CHAPTER-3 in the third quarter of 2026.</w:t>
      </w:r>
    </w:p>
    <w:p>
      <w:pPr>
        <w:ind w:left="740" w:right="100" w:hanging="370"/>
        <w:spacing w:after="0" w:line="246" w:lineRule="auto"/>
        <w:tabs>
          <w:tab w:leader="none" w:pos="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Enrollment in CHAPTER-4 (NCT06679881) progressing as planned. </w:t>
      </w:r>
      <w:r>
        <w:rPr>
          <w:rFonts w:ascii="Times New Roman" w:cs="Times New Roman" w:eastAsia="Times New Roman" w:hAnsi="Times New Roman"/>
          <w:sz w:val="17"/>
          <w:szCs w:val="17"/>
          <w:color w:val="auto"/>
        </w:rPr>
        <w:t>CHAPTER-4 is a long-term, open-label extension study of orally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administered deucrictibant extended-release tablet (40 mg/day) for the prophylactic treatment of HAE attacks. The goal of the study is to evaluate the long-term safety and effectiveness of deucrictibant extended-release tablet in the prophylactic treatment of HAE attacks.</w:t>
      </w:r>
    </w:p>
    <w:p>
      <w:pPr>
        <w:spacing w:after="0" w:line="2" w:lineRule="exact"/>
        <w:rPr>
          <w:rFonts w:ascii="Times New Roman" w:cs="Times New Roman" w:eastAsia="Times New Roman" w:hAnsi="Times New Roman"/>
          <w:sz w:val="16"/>
          <w:szCs w:val="16"/>
          <w:color w:val="auto"/>
        </w:rPr>
      </w:pPr>
    </w:p>
    <w:p>
      <w:pPr>
        <w:ind w:left="740" w:hanging="370"/>
        <w:spacing w:after="0" w:line="251" w:lineRule="auto"/>
        <w:tabs>
          <w:tab w:leader="none" w:pos="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Completed CHAPTER-1 (NCT05047185); final data recently presented. </w:t>
      </w:r>
      <w:r>
        <w:rPr>
          <w:rFonts w:ascii="Times New Roman" w:cs="Times New Roman" w:eastAsia="Times New Roman" w:hAnsi="Times New Roman"/>
          <w:sz w:val="17"/>
          <w:szCs w:val="17"/>
          <w:color w:val="auto"/>
        </w:rPr>
        <w:t>Final Results from the randomized portion and the long-term open-label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portion of the study demonstrated that deucrictibant was well tolerated for up to approximately three years. The mean rate of HAE attacks was reduced by deucrictibant within the first week of treatment and remained low for up to approximately 34 months, with an overall mean monthly on-treatment attack rate of 0.12 throughout the completed open-label extension portion of the study.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On-demand Treatment of HAE Attacks</w:t>
      </w:r>
    </w:p>
    <w:p>
      <w:pPr>
        <w:spacing w:after="0" w:line="28" w:lineRule="exact"/>
        <w:rPr>
          <w:sz w:val="20"/>
          <w:szCs w:val="20"/>
          <w:color w:val="auto"/>
        </w:rPr>
      </w:pPr>
    </w:p>
    <w:p>
      <w:pPr>
        <w:ind w:left="740" w:right="60" w:hanging="370"/>
        <w:spacing w:after="0" w:line="24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RAPIDe-3 (NCT06343779) met primary endpoint and all secondary efficacy endpoints with statistical significance. </w:t>
      </w:r>
      <w:r>
        <w:rPr>
          <w:rFonts w:ascii="Times New Roman" w:cs="Times New Roman" w:eastAsia="Times New Roman" w:hAnsi="Times New Roman"/>
          <w:sz w:val="17"/>
          <w:szCs w:val="17"/>
          <w:color w:val="auto"/>
        </w:rPr>
        <w:t>Outcomes from RAPIDe-3,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pivotal global Phase 3 study evaluating orally administered deucrictibant immediate-release capsule (20 mg) for the on-demand treatment of HAE attacks in adults and adolescents (12 years and older), confirming the potential of deucrictibant’s differentiated profile for the on-demand treatment of HAE attacks. The primary endpoint, median time to onset of symptom relief, was achieved in 1.28 hours, significantly faster versus placebo (p&lt;0.0001), and deucrictibant was well tolerated. Pharvaris plans to present additional efficacy, safety, and patient experience data at upcoming medical congresses.</w:t>
      </w:r>
    </w:p>
    <w:p>
      <w:pPr>
        <w:spacing w:after="0" w:line="196" w:lineRule="exact"/>
        <w:rPr>
          <w:rFonts w:ascii="Times New Roman" w:cs="Times New Roman" w:eastAsia="Times New Roman" w:hAnsi="Times New Roman"/>
          <w:sz w:val="17"/>
          <w:szCs w:val="17"/>
          <w:color w:val="auto"/>
        </w:rPr>
      </w:pPr>
    </w:p>
    <w:p>
      <w:pPr>
        <w:ind w:left="740" w:right="280" w:hanging="370"/>
        <w:spacing w:after="0" w:line="253"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Filing of U.S. New Drug Application (NDA) of deucrictibant for the on-demand treatment of HAE attacks anticipated 1H2026. </w:t>
      </w:r>
      <w:r>
        <w:rPr>
          <w:rFonts w:ascii="Times New Roman" w:cs="Times New Roman" w:eastAsia="Times New Roman" w:hAnsi="Times New Roman"/>
          <w:sz w:val="17"/>
          <w:szCs w:val="17"/>
          <w:color w:val="auto"/>
        </w:rPr>
        <w:t>Pharvaris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preparing the dossier for deucrictibant’s NDA filing. The data from RAPIDe-3 and RAPIDe-2 will serve as the basis for marketing authorization applications, which are planned to be filed starting in the first half of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Development of Deucrictibant in AAE-C1 INH</w:t>
      </w:r>
    </w:p>
    <w:p>
      <w:pPr>
        <w:spacing w:after="0" w:line="28" w:lineRule="exact"/>
        <w:rPr>
          <w:sz w:val="20"/>
          <w:szCs w:val="20"/>
          <w:color w:val="auto"/>
        </w:rPr>
      </w:pPr>
    </w:p>
    <w:p>
      <w:pPr>
        <w:ind w:left="740" w:right="180" w:hanging="370"/>
        <w:spacing w:after="0" w:line="251"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CREAATE (NCT06669754) study progressing as planned. </w:t>
      </w:r>
      <w:r>
        <w:rPr>
          <w:rFonts w:ascii="Times New Roman" w:cs="Times New Roman" w:eastAsia="Times New Roman" w:hAnsi="Times New Roman"/>
          <w:sz w:val="17"/>
          <w:szCs w:val="17"/>
          <w:color w:val="auto"/>
        </w:rPr>
        <w:t>Pharvaris initiated CREAATE, a global, pivotal Phase 3 study of deucrictibant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prophylactic and on-demand treatment of AAE-C1INH attacks, in November 2025. CREAATE assesses the efficacy and safety of deucrictibant in people living with AAE-C1INH. In part 1 of CREAATE, participants receive either deucrictibant extended-release tablet (40 mg) or placebo once daily for the prophylactic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4" w:right="359" w:bottom="1440" w:gutter="0" w:footer="0" w:header="0"/>
        </w:sectPr>
      </w:pPr>
    </w:p>
    <w:bookmarkStart w:id="4" w:name="page5"/>
    <w:bookmarkEnd w:id="4"/>
    <w:p>
      <w:pPr>
        <w:ind w:left="740" w:right="40"/>
        <w:spacing w:after="0" w:line="259" w:lineRule="auto"/>
        <w:rPr>
          <w:sz w:val="20"/>
          <w:szCs w:val="20"/>
          <w:color w:val="auto"/>
        </w:rPr>
      </w:pPr>
      <w:r>
        <w:rPr>
          <w:rFonts w:ascii="Times New Roman" w:cs="Times New Roman" w:eastAsia="Times New Roman" w:hAnsi="Times New Roman"/>
          <w:sz w:val="17"/>
          <w:szCs w:val="17"/>
          <w:color w:val="auto"/>
        </w:rPr>
        <w:t>treatment of AAE-C1INH attacks. In part 2 of CREAATE, participants treat two attacks in a cross-over fashion, one attack with deucrictibant immediate-release capsule (20 mg) and one with placebo according to a randomized treatment sequence, for the on-demand treatment of AAE-C1INH attacks. Part 3 of CREAATE is the open-label extension portion of the study assessing the long-term safety and effectiveness of deucrictibant immediate-release capsule (20 mg) for on-demand treatment.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Updates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w:t>
      </w:r>
    </w:p>
    <w:p>
      <w:pPr>
        <w:spacing w:after="0" w:line="6" w:lineRule="exact"/>
        <w:rPr>
          <w:sz w:val="20"/>
          <w:szCs w:val="20"/>
          <w:color w:val="auto"/>
        </w:rPr>
      </w:pPr>
    </w:p>
    <w:p>
      <w:pPr>
        <w:ind w:left="740" w:hanging="370"/>
        <w:spacing w:after="0" w:line="246"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runway into 1H2027. </w:t>
      </w:r>
      <w:r>
        <w:rPr>
          <w:rFonts w:ascii="Times New Roman" w:cs="Times New Roman" w:eastAsia="Times New Roman" w:hAnsi="Times New Roman"/>
          <w:sz w:val="17"/>
          <w:szCs w:val="17"/>
          <w:color w:val="auto"/>
        </w:rPr>
        <w:t>Pharvaris remains diligent in its operational management and is focusing on late-stage clinical development programs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 preparedness for the potential launch of deucrictibant.</w:t>
      </w:r>
    </w:p>
    <w:p>
      <w:pPr>
        <w:spacing w:after="0" w:line="1" w:lineRule="exact"/>
        <w:rPr>
          <w:rFonts w:ascii="Times New Roman" w:cs="Times New Roman" w:eastAsia="Times New Roman" w:hAnsi="Times New Roman"/>
          <w:sz w:val="17"/>
          <w:szCs w:val="17"/>
          <w:color w:val="auto"/>
        </w:rPr>
      </w:pPr>
    </w:p>
    <w:p>
      <w:pPr>
        <w:ind w:left="740" w:right="100" w:hanging="370"/>
        <w:spacing w:after="0" w:line="253"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Pharvaris recently added to Nasdaq Biotechnology Index (NBI). </w:t>
      </w:r>
      <w:r>
        <w:rPr>
          <w:rFonts w:ascii="Times New Roman" w:cs="Times New Roman" w:eastAsia="Times New Roman" w:hAnsi="Times New Roman"/>
          <w:sz w:val="17"/>
          <w:szCs w:val="17"/>
          <w:color w:val="auto"/>
        </w:rPr>
        <w:t>In December 2025, Pharvaris was added to the NBI. Companies in the NBI must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 eligibility requirements, including minimum market capitalization, average daily trading volume and seasoning as a public company, among other criteria. The NBI is evaluated annually in December and is calculated under a modified capitalization-weighted methodology.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Upcoming Participation at Investor Conferences</w:t>
      </w:r>
    </w:p>
    <w:p>
      <w:pPr>
        <w:spacing w:after="0" w:line="28" w:lineRule="exact"/>
        <w:rPr>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Oppenheimer 36th Annual Healthcare Life Sciences Conference. </w:t>
      </w:r>
      <w:r>
        <w:rPr>
          <w:rFonts w:ascii="Times New Roman" w:cs="Times New Roman" w:eastAsia="Times New Roman" w:hAnsi="Times New Roman"/>
          <w:sz w:val="17"/>
          <w:szCs w:val="17"/>
          <w:color w:val="auto"/>
        </w:rPr>
        <w:t>Virtual, February 25-26, 2026.</w:t>
      </w:r>
    </w:p>
    <w:p>
      <w:pPr>
        <w:spacing w:after="0" w:line="5"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Format: </w:t>
      </w:r>
      <w:r>
        <w:rPr>
          <w:rFonts w:ascii="Times New Roman" w:cs="Times New Roman" w:eastAsia="Times New Roman" w:hAnsi="Times New Roman"/>
          <w:sz w:val="17"/>
          <w:szCs w:val="17"/>
          <w:color w:val="auto"/>
        </w:rPr>
        <w:t>Fireside Chat</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Thursday, February 26, 2026, 9:20-9:50 a.m. EST</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The Citizens Life Sciences Conference. </w:t>
      </w:r>
      <w:r>
        <w:rPr>
          <w:rFonts w:ascii="Times New Roman" w:cs="Times New Roman" w:eastAsia="Times New Roman" w:hAnsi="Times New Roman"/>
          <w:sz w:val="17"/>
          <w:szCs w:val="17"/>
          <w:color w:val="auto"/>
        </w:rPr>
        <w:t>Miami, FL, March 10-11, 2026.</w:t>
      </w:r>
    </w:p>
    <w:p>
      <w:pPr>
        <w:spacing w:after="0" w:line="5"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Format: </w:t>
      </w:r>
      <w:r>
        <w:rPr>
          <w:rFonts w:ascii="Times New Roman" w:cs="Times New Roman" w:eastAsia="Times New Roman" w:hAnsi="Times New Roman"/>
          <w:sz w:val="17"/>
          <w:szCs w:val="17"/>
          <w:color w:val="auto"/>
        </w:rPr>
        <w:t>Fireside Chat</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Tuesday, March 10, 2026, 11:20 a.m. EST</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Leerink Global Healthcare Conference 2026. </w:t>
      </w:r>
      <w:r>
        <w:rPr>
          <w:rFonts w:ascii="Times New Roman" w:cs="Times New Roman" w:eastAsia="Times New Roman" w:hAnsi="Times New Roman"/>
          <w:sz w:val="17"/>
          <w:szCs w:val="17"/>
          <w:color w:val="auto"/>
        </w:rPr>
        <w:t>Miami, FL, March 8-11, 2026.</w:t>
      </w:r>
    </w:p>
    <w:p>
      <w:pPr>
        <w:spacing w:after="0" w:line="5"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Format: </w:t>
      </w:r>
      <w:r>
        <w:rPr>
          <w:rFonts w:ascii="Times New Roman" w:cs="Times New Roman" w:eastAsia="Times New Roman" w:hAnsi="Times New Roman"/>
          <w:sz w:val="17"/>
          <w:szCs w:val="17"/>
          <w:color w:val="auto"/>
        </w:rPr>
        <w:t>Fireside Chat</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Wednesday, March 11, 2026, 9:20 a.m. EST</w:t>
      </w:r>
    </w:p>
    <w:p>
      <w:pPr>
        <w:spacing w:after="0" w:line="6"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7"/>
          <w:szCs w:val="17"/>
          <w:color w:val="auto"/>
        </w:rPr>
        <w:t>Live audio webcasts of the presentations will be available on the Investors section of the Pharvaris website at: https://ir.pharvaris.com/news-events/events-presentations. The audio replays will be available on Pharvaris’ website for 30 days following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1003300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color w:val="auto"/>
        </w:rPr>
        <w:t>Upcoming Presentations at Medical Congresses</w:t>
      </w:r>
    </w:p>
    <w:p>
      <w:pPr>
        <w:spacing w:after="0" w:line="31" w:lineRule="exact"/>
        <w:rPr>
          <w:sz w:val="20"/>
          <w:szCs w:val="20"/>
          <w:color w:val="auto"/>
        </w:rPr>
      </w:pPr>
    </w:p>
    <w:p>
      <w:pPr>
        <w:ind w:left="740" w:right="360" w:hanging="370"/>
        <w:spacing w:after="0" w:line="220" w:lineRule="auto"/>
        <w:tabs>
          <w:tab w:leader="none" w:pos="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Western Society of Allergy, Asthma &amp; Immunology (WSAAI) 63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7"/>
          <w:szCs w:val="17"/>
          <w:b w:val="1"/>
          <w:bCs w:val="1"/>
          <w:color w:val="auto"/>
        </w:rPr>
        <w:t xml:space="preserve"> Annual Scientific Session. </w:t>
      </w:r>
      <w:r>
        <w:rPr>
          <w:rFonts w:ascii="Times New Roman" w:cs="Times New Roman" w:eastAsia="Times New Roman" w:hAnsi="Times New Roman"/>
          <w:sz w:val="17"/>
          <w:szCs w:val="17"/>
          <w:color w:val="auto"/>
        </w:rPr>
        <w:t>Wailea, HI, February 1-5, 2026. Details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accepted presentation at WSAAI are as follows:</w:t>
      </w:r>
    </w:p>
    <w:p>
      <w:pPr>
        <w:ind w:left="1500" w:hanging="380"/>
        <w:spacing w:after="0" w:line="246" w:lineRule="auto"/>
        <w:tabs>
          <w:tab w:leader="none" w:pos="15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Safety and Efficacy of Oral Deucrictibant for Prophylaxis in Hereditary Angioedema: Results of the Phase 2 CHAPTER-1 Open-Label Extension Study</w:t>
      </w:r>
    </w:p>
    <w:p>
      <w:pPr>
        <w:spacing w:after="0" w:line="1"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Michael E. Manning, M.D.</w:t>
      </w:r>
    </w:p>
    <w:p>
      <w:pPr>
        <w:spacing w:after="0" w:line="5" w:lineRule="exact"/>
        <w:rPr>
          <w:rFonts w:ascii="Times New Roman" w:cs="Times New Roman" w:eastAsia="Times New Roman" w:hAnsi="Times New Roman"/>
          <w:sz w:val="16"/>
          <w:szCs w:val="16"/>
          <w:color w:val="auto"/>
        </w:rPr>
      </w:pPr>
    </w:p>
    <w:p>
      <w:pPr>
        <w:ind w:left="1500" w:right="28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Wednesday, February 4, 2026, 7:00-8:00 a.m. HST (12:00-1:00 p.m. EST) and 11:30 a.m.-12:00 p.m. HST (4:30-5:00 p.m.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w:t>
      </w:r>
    </w:p>
    <w:p>
      <w:pPr>
        <w:spacing w:after="0" w:line="1" w:lineRule="exact"/>
        <w:rPr>
          <w:rFonts w:ascii="Times New Roman" w:cs="Times New Roman" w:eastAsia="Times New Roman" w:hAnsi="Times New Roman"/>
          <w:sz w:val="16"/>
          <w:szCs w:val="16"/>
          <w:color w:val="auto"/>
        </w:rPr>
      </w:pPr>
    </w:p>
    <w:p>
      <w:pPr>
        <w:ind w:left="740" w:right="120" w:hanging="370"/>
        <w:spacing w:after="0" w:line="246" w:lineRule="auto"/>
        <w:tabs>
          <w:tab w:leader="none" w:pos="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American Academy of Allergy, Asthma &amp; Immunology (AAAAI) 2026 Annual Meeting. </w:t>
      </w:r>
      <w:r>
        <w:rPr>
          <w:rFonts w:ascii="Times New Roman" w:cs="Times New Roman" w:eastAsia="Times New Roman" w:hAnsi="Times New Roman"/>
          <w:sz w:val="17"/>
          <w:szCs w:val="17"/>
          <w:color w:val="auto"/>
        </w:rPr>
        <w:t>Philadelphia, PA, February 27-March 2, 2026. Details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accepted presentations at AAAAI are as follows:</w:t>
      </w:r>
    </w:p>
    <w:p>
      <w:pPr>
        <w:spacing w:after="0" w:line="1"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A Novel Kinin Biomarker Assay for Characterization of Different Types of Bradykinin-Mediated Angioedema</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Evangelia Pardali, Ph.D.</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Poster Number: </w:t>
      </w:r>
      <w:r>
        <w:rPr>
          <w:rFonts w:ascii="Times New Roman" w:cs="Times New Roman" w:eastAsia="Times New Roman" w:hAnsi="Times New Roman"/>
          <w:sz w:val="17"/>
          <w:szCs w:val="17"/>
          <w:color w:val="auto"/>
        </w:rPr>
        <w:t>078</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Friday, February 27, 2026, 2:45-3:45 p.m. EST</w:t>
      </w:r>
    </w:p>
    <w:p>
      <w:pPr>
        <w:spacing w:after="0" w:line="5"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Content Validity of the Angioedema syMptom Rating scAle (AMRA) to Assess Symptoms of Hereditary Angioedema Attacks</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Teresa Caballero, M.D., Ph.D.</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Poster Number: </w:t>
      </w:r>
      <w:r>
        <w:rPr>
          <w:rFonts w:ascii="Times New Roman" w:cs="Times New Roman" w:eastAsia="Times New Roman" w:hAnsi="Times New Roman"/>
          <w:sz w:val="17"/>
          <w:szCs w:val="17"/>
          <w:color w:val="auto"/>
        </w:rPr>
        <w:t>154</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Friday, February 27, 2026, 2:45-3:45 p.m. EST</w:t>
      </w:r>
    </w:p>
    <w:p>
      <w:pPr>
        <w:spacing w:after="0" w:line="5" w:lineRule="exact"/>
        <w:rPr>
          <w:rFonts w:ascii="Times New Roman" w:cs="Times New Roman" w:eastAsia="Times New Roman" w:hAnsi="Times New Roman"/>
          <w:sz w:val="16"/>
          <w:szCs w:val="16"/>
          <w:color w:val="auto"/>
        </w:rPr>
      </w:pPr>
    </w:p>
    <w:p>
      <w:pPr>
        <w:ind w:left="1500" w:hanging="380"/>
        <w:spacing w:after="0"/>
        <w:tabs>
          <w:tab w:leader="none" w:pos="15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Prophylactic Treatment with Oral Deucrictibant Improved Health-Related Quality of Life in Participants with Hereditary</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Angioedema: Final Results of the Phase 2 CHAPTER-1 Open-Label Extension Study</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Michael E. Manning, M.D.</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Poster Number: </w:t>
      </w:r>
      <w:r>
        <w:rPr>
          <w:rFonts w:ascii="Times New Roman" w:cs="Times New Roman" w:eastAsia="Times New Roman" w:hAnsi="Times New Roman"/>
          <w:sz w:val="17"/>
          <w:szCs w:val="17"/>
          <w:color w:val="auto"/>
        </w:rPr>
        <w:t>159</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Friday, February 27, 2026, 2:45-3:45 p.m. EST</w:t>
      </w:r>
    </w:p>
    <w:p>
      <w:pPr>
        <w:spacing w:after="0" w:line="5" w:lineRule="exact"/>
        <w:rPr>
          <w:rFonts w:ascii="Times New Roman" w:cs="Times New Roman" w:eastAsia="Times New Roman" w:hAnsi="Times New Roman"/>
          <w:sz w:val="16"/>
          <w:szCs w:val="16"/>
          <w:color w:val="auto"/>
        </w:rPr>
      </w:pPr>
    </w:p>
    <w:p>
      <w:pPr>
        <w:ind w:left="1500" w:right="160" w:hanging="380"/>
        <w:spacing w:after="0" w:line="246" w:lineRule="auto"/>
        <w:tabs>
          <w:tab w:leader="none" w:pos="15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Oral Deucrictibant Immediate-Release Capsule in Treatment of Hereditary Angioedema Attacks: Results of the Phase 3 RAPIDe-3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Study</w:t>
      </w:r>
    </w:p>
    <w:p>
      <w:pPr>
        <w:spacing w:after="0" w:line="1"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Marc A. Riedl, M.D., M.S.</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Featured Poster Number: </w:t>
      </w:r>
      <w:r>
        <w:rPr>
          <w:rFonts w:ascii="Times New Roman" w:cs="Times New Roman" w:eastAsia="Times New Roman" w:hAnsi="Times New Roman"/>
          <w:sz w:val="17"/>
          <w:szCs w:val="17"/>
          <w:color w:val="auto"/>
        </w:rPr>
        <w:t>831</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Sunday, March 1, 2026, 3:30-5:00 p.m. 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772160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2" w:right="379" w:bottom="1440" w:gutter="0" w:footer="0" w:header="0"/>
        </w:sectPr>
      </w:pPr>
    </w:p>
    <w:bookmarkStart w:id="6" w:name="page7"/>
    <w:bookmarkEnd w:id="6"/>
    <w:p>
      <w:pPr>
        <w:ind w:left="1500" w:right="520" w:hanging="380"/>
        <w:spacing w:after="0" w:line="260" w:lineRule="auto"/>
        <w:tabs>
          <w:tab w:leader="none" w:pos="1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Long-Term Safety and Efficacy of Oral Deucrictibant for Prophylaxis in Hereditary Angioedema: Final Results of the Phase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CHAPTER-1 Open-Label Extension Study</w:t>
      </w: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John Anderson, M.D.</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Featured Poster Number: </w:t>
      </w:r>
      <w:r>
        <w:rPr>
          <w:rFonts w:ascii="Times New Roman" w:cs="Times New Roman" w:eastAsia="Times New Roman" w:hAnsi="Times New Roman"/>
          <w:sz w:val="17"/>
          <w:szCs w:val="17"/>
          <w:color w:val="auto"/>
        </w:rPr>
        <w:t>832</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Sunday, March 1, 2026, 3:30-5:00 p.m. EST</w:t>
      </w:r>
    </w:p>
    <w:p>
      <w:pPr>
        <w:spacing w:after="0" w:line="5" w:lineRule="exact"/>
        <w:rPr>
          <w:rFonts w:ascii="Times New Roman" w:cs="Times New Roman" w:eastAsia="Times New Roman" w:hAnsi="Times New Roman"/>
          <w:sz w:val="16"/>
          <w:szCs w:val="16"/>
          <w:color w:val="auto"/>
        </w:rPr>
      </w:pPr>
    </w:p>
    <w:p>
      <w:pPr>
        <w:ind w:left="1500" w:right="620" w:hanging="380"/>
        <w:spacing w:after="0" w:line="246" w:lineRule="auto"/>
        <w:tabs>
          <w:tab w:leader="none" w:pos="1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Title: </w:t>
      </w:r>
      <w:r>
        <w:rPr>
          <w:rFonts w:ascii="Times New Roman" w:cs="Times New Roman" w:eastAsia="Times New Roman" w:hAnsi="Times New Roman"/>
          <w:sz w:val="17"/>
          <w:szCs w:val="17"/>
          <w:color w:val="auto"/>
        </w:rPr>
        <w:t>Sustained Therapeutic Exposure with Once-Daily Oral Deucrictibant Extended-Release Tablet for Prophylaxis of Hereditary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Angioedema Attacks</w:t>
      </w:r>
    </w:p>
    <w:p>
      <w:pPr>
        <w:spacing w:after="0" w:line="1"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Presenter: </w:t>
      </w:r>
      <w:r>
        <w:rPr>
          <w:rFonts w:ascii="Times New Roman" w:cs="Times New Roman" w:eastAsia="Times New Roman" w:hAnsi="Times New Roman"/>
          <w:sz w:val="17"/>
          <w:szCs w:val="17"/>
          <w:color w:val="auto"/>
        </w:rPr>
        <w:t>Zhi-Yi Zhang, Ph.D.</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Featured Poster Number: </w:t>
      </w:r>
      <w:r>
        <w:rPr>
          <w:rFonts w:ascii="Times New Roman" w:cs="Times New Roman" w:eastAsia="Times New Roman" w:hAnsi="Times New Roman"/>
          <w:sz w:val="17"/>
          <w:szCs w:val="17"/>
          <w:color w:val="auto"/>
        </w:rPr>
        <w:t>834</w:t>
      </w:r>
    </w:p>
    <w:p>
      <w:pPr>
        <w:spacing w:after="0" w:line="5" w:lineRule="exact"/>
        <w:rPr>
          <w:rFonts w:ascii="Times New Roman" w:cs="Times New Roman" w:eastAsia="Times New Roman" w:hAnsi="Times New Roman"/>
          <w:sz w:val="16"/>
          <w:szCs w:val="16"/>
          <w:color w:val="auto"/>
        </w:rPr>
      </w:pPr>
    </w:p>
    <w:p>
      <w:pPr>
        <w:ind w:left="1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Date, time: </w:t>
      </w:r>
      <w:r>
        <w:rPr>
          <w:rFonts w:ascii="Times New Roman" w:cs="Times New Roman" w:eastAsia="Times New Roman" w:hAnsi="Times New Roman"/>
          <w:sz w:val="17"/>
          <w:szCs w:val="17"/>
          <w:color w:val="auto"/>
        </w:rPr>
        <w:t>Sunday, March 1, 2026, 3:30-5:00 p.m. EST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posters will be available on the Investors section of the Pharvaris website at: https://ir.pharvaris.com/news-events/events-presentations.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Deucrictibant</w:t>
      </w:r>
    </w:p>
    <w:p>
      <w:pPr>
        <w:spacing w:after="0" w:line="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the European Commission, and Swissmedic.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color w:val="auto"/>
        </w:rPr>
        <w:t>Pharvaris is a late-stage biopharmaceutical company developing novel, oral bradykinin B2 receptor antagonists to help address unmet needs in bradykinin-mediated conditions, including all types of bradykinin-mediated angioedema. Pharvaris’ aspiration is to offer therapies with injectable-like efficacy™, a well-tolerated profile, and the convenience of oral administration to prevent and treat bradykinin-mediated angioedema attacks. By delivering on this aspiration, Pharvaris aims to provide a new standard of care in bradykinin-mediated angioedema. Pharvaris is preparing global marketing authorization applications for deucrictibant immediate-release capsule as an on-demand treatment of HAE attacks, and a global pivotal Phase 3 study of deucrictibant extended-release tablet for the prevention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844550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2" w:right="359" w:bottom="1440" w:gutter="0" w:footer="0" w:header="0"/>
        </w:sectPr>
      </w:pPr>
    </w:p>
    <w:bookmarkStart w:id="7" w:name="page8"/>
    <w:bookmarkEnd w:id="7"/>
    <w:p>
      <w:pPr>
        <w:ind w:right="640"/>
        <w:spacing w:after="0" w:line="284" w:lineRule="auto"/>
        <w:rPr>
          <w:sz w:val="20"/>
          <w:szCs w:val="20"/>
          <w:color w:val="auto"/>
        </w:rPr>
      </w:pPr>
      <w:r>
        <w:rPr>
          <w:rFonts w:ascii="Times New Roman" w:cs="Times New Roman" w:eastAsia="Times New Roman" w:hAnsi="Times New Roman"/>
          <w:sz w:val="17"/>
          <w:szCs w:val="17"/>
          <w:color w:val="auto"/>
        </w:rPr>
        <w:t>HAE attacks (CHAPTER-3) is ongoing with topline data anticipated in the third quarter of 2026. In addition, CREAATE is an ongoing Phase 3 study of deucrictibant for the prophylactic and on-demand treatment of AAE-C1INH attacks. For more information, visit https://pharvaris.com/.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RAPIDe-3, and CHAPTER-1 Phase 2 and Phase 3 studies in ongoing and future nonclinical studies and clinical trials, such as CHAPTER-3, and CREAATE; the timing and outcome of regulatory approvals, including the timing and outcome of our planned submission of an NDA with the FDA in the first half of 2026 for the on-demand treatment of acute attacks of HAE; risks arising from epidemic diseases, which may adversely impact our business, nonclinical studies, and clinical trials; our ability to potentially use deucrictibant for alternative purposes, for example to treat C1-INH deficiency (AAE-C1INH);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767080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4" w:right="37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7"/>
          <w:szCs w:val="17"/>
          <w:color w:val="auto"/>
        </w:rPr>
        <w:t>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Beller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Corporate and Investor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892175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254" w:right="4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2026-01-12T07:53:26Z</dcterms:created>
  <dcterms:modified xsi:type="dcterms:W3CDTF">2026-01-12T07:53:26Z</dcterms:modified>
</cp:coreProperties>
</file>