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Lesage Anne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CRANBERRY HILL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LEXINGTON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Pharvaris N.V.</w:t>
              </w:r>
            </w:hyperlink>
            <w:r>
              <w:rPr/>
              <w:t xml:space="preserve"> [ </w:t>
            </w:r>
            <w:r>
              <w:rPr>
                <w:rFonts w:ascii="Times;serif" w:hAnsi="Times;serif"/>
                <w:color w:val="0000FF"/>
                <w:sz w:val="24"/>
                <w:shd w:fill="FFFFFF" w:val="clear"/>
              </w:rPr>
              <w:t>PHVS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Early Development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20"/>
        <w:gridCol w:w="927"/>
        <w:gridCol w:w="797"/>
        <w:gridCol w:w="615"/>
        <w:gridCol w:w="337"/>
        <w:gridCol w:w="900"/>
        <w:gridCol w:w="406"/>
        <w:gridCol w:w="1006"/>
        <w:gridCol w:w="1094"/>
        <w:gridCol w:w="952"/>
        <w:gridCol w:w="135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2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0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2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0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2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38.2733</w:t>
            </w:r>
            <w:r>
              <w:rPr>
                <w:rFonts w:ascii="Times;serif" w:hAnsi="Times;serif"/>
                <w:color w:val="008000"/>
                <w:position w:val="7"/>
                <w:sz w:val="16"/>
                <w:sz w:val="20"/>
                <w:shd w:fill="FFFFFF" w:val="clear"/>
              </w:rPr>
              <w:t>(1)</w:t>
            </w:r>
          </w:p>
        </w:tc>
        <w:tc>
          <w:tcPr>
            <w:tcW w:w="10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73,969</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GrayMatters Consulting BVBA</w:t>
            </w:r>
            <w:r>
              <w:rPr>
                <w:rFonts w:ascii="Times;serif" w:hAnsi="Times;serif"/>
                <w:color w:val="008000"/>
                <w:position w:val="7"/>
                <w:sz w:val="16"/>
                <w:sz w:val="20"/>
                <w:shd w:fill="FFFFFF" w:val="clear"/>
              </w:rPr>
              <w:t>(2)</w:t>
            </w:r>
          </w:p>
        </w:tc>
      </w:tr>
      <w:tr>
        <w:trPr/>
        <w:tc>
          <w:tcPr>
            <w:tcW w:w="182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56,450</w:t>
            </w:r>
          </w:p>
        </w:tc>
        <w:tc>
          <w:tcPr>
            <w:tcW w:w="9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represents a weighted average sale price for shares sold in multiple transactions on the reported date. The shares were sold in connection with the exercise of stock options in a cashless exercise transaction. The sales prices for the transactions ranged from $38.04 to $38.65.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GrayMatters Consulting B.V., an entity controlled by Dr. Lesage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Marnus Nel, Attorney-in-Fact for Anne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3705" TargetMode="External"/><Relationship Id="rId5" Type="http://schemas.openxmlformats.org/officeDocument/2006/relationships/hyperlink" Target="http://www.sec.gov/cgi-bin/browse-edgar?action=getcompany&amp;CIK=00018304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668</Words>
  <Characters>3635</Characters>
  <CharactersWithSpaces>4231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