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39370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50800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49" w:lineRule="exact"/>
        <w:rPr>
          <w:sz w:val="24"/>
          <w:szCs w:val="24"/>
          <w:color w:val="auto"/>
        </w:rPr>
      </w:pPr>
    </w:p>
    <w:p>
      <w:pPr>
        <w:ind w:left="3940" w:right="2900" w:hanging="3919"/>
        <w:spacing w:after="0" w:line="363" w:lineRule="auto"/>
        <w:tabs>
          <w:tab w:leader="none" w:pos="37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2023</w:t>
      </w:r>
    </w:p>
    <w:p>
      <w:pPr>
        <w:spacing w:after="0" w:line="154" w:lineRule="exact"/>
        <w:rPr>
          <w:sz w:val="24"/>
          <w:szCs w:val="24"/>
          <w:color w:val="auto"/>
        </w:rPr>
      </w:pPr>
    </w:p>
    <w:p>
      <w:pPr>
        <w:ind w:left="360" w:hanging="339"/>
        <w:spacing w:after="0"/>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3300"/>
        <w:spacing w:after="0"/>
        <w:tabs>
          <w:tab w:leader="none" w:pos="6660" w:val="left"/>
          <w:tab w:leader="none" w:pos="7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3556000</wp:posOffset>
            </wp:positionH>
            <wp:positionV relativeFrom="paragraph">
              <wp:posOffset>-13335</wp:posOffset>
            </wp:positionV>
            <wp:extent cx="143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89" w:lineRule="exact"/>
        <w:rPr>
          <w:sz w:val="24"/>
          <w:szCs w:val="24"/>
          <w:color w:val="auto"/>
        </w:rPr>
      </w:pPr>
    </w:p>
    <w:p>
      <w:pPr>
        <w:ind w:left="360" w:hanging="339"/>
        <w:spacing w:after="0"/>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Commission file number: 001-40010</w:t>
      </w:r>
    </w:p>
    <w:p>
      <w:pPr>
        <w:jc w:val="center"/>
        <w:ind w:right="-39"/>
        <w:spacing w:after="0" w:line="217" w:lineRule="auto"/>
        <w:rPr>
          <w:sz w:val="20"/>
          <w:szCs w:val="20"/>
          <w:color w:val="auto"/>
        </w:rPr>
      </w:pPr>
      <w:r>
        <w:rPr>
          <w:rFonts w:ascii="Times New Roman" w:cs="Times New Roman" w:eastAsia="Times New Roman" w:hAnsi="Times New Roman"/>
          <w:sz w:val="4"/>
          <w:szCs w:val="4"/>
          <w:color w:val="auto"/>
        </w:rPr>
        <w:t>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Pharvaris N.V.</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31115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Emmy Noetherweg 2</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2333 BK Leiden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+31 (0)71 2036 410</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Berndt Modig,</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Chief Executive Officer</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 +31 (0)71 2036 410</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Emmy Noetherweg 2, 2333 BK Leiden, The Netherlands</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60960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Copies to:</w:t>
      </w:r>
    </w:p>
    <w:p>
      <w:pPr>
        <w:spacing w:after="0" w:line="38"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Sophia Hudson, P.C.</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Jennifer L. Lee, P.C.</w:t>
      </w:r>
    </w:p>
    <w:p>
      <w:pPr>
        <w:spacing w:after="0" w:line="26"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Kirkland &amp; Ellis LLP</w:t>
      </w:r>
    </w:p>
    <w:p>
      <w:pPr>
        <w:spacing w:after="0" w:line="40"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601 Lexington Avenue</w:t>
      </w:r>
    </w:p>
    <w:p>
      <w:pPr>
        <w:spacing w:after="0" w:line="40"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New York, NY 10022 Phone: (212) 446-4750</w:t>
      </w:r>
    </w:p>
    <w:p>
      <w:pPr>
        <w:spacing w:after="0" w:line="40"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Fax: (212) 446-4900</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00" w:type="dxa"/>
            <w:vAlign w:val="bottom"/>
          </w:tcPr>
          <w:p>
            <w:pPr>
              <w:ind w:left="1600"/>
              <w:spacing w:after="0"/>
              <w:rPr>
                <w:sz w:val="20"/>
                <w:szCs w:val="20"/>
                <w:color w:val="auto"/>
              </w:rPr>
            </w:pPr>
            <w:r>
              <w:rPr>
                <w:rFonts w:ascii="Arial" w:cs="Arial" w:eastAsia="Arial" w:hAnsi="Arial"/>
                <w:sz w:val="11"/>
                <w:szCs w:val="11"/>
                <w:b w:val="1"/>
                <w:bCs w:val="1"/>
                <w:color w:val="auto"/>
              </w:rPr>
              <w:t>Trading</w:t>
            </w:r>
          </w:p>
        </w:tc>
        <w:tc>
          <w:tcPr>
            <w:tcW w:w="100" w:type="dxa"/>
            <w:vAlign w:val="bottom"/>
          </w:tcPr>
          <w:p>
            <w:pPr>
              <w:spacing w:after="0"/>
              <w:rPr>
                <w:sz w:val="10"/>
                <w:szCs w:val="10"/>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7"/>
              </w:rPr>
              <w:t>Name of each exchange</w:t>
            </w:r>
          </w:p>
        </w:tc>
      </w:tr>
      <w:tr>
        <w:trPr>
          <w:trHeight w:val="14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14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Symbol(s)</w:t>
            </w:r>
          </w:p>
        </w:tc>
        <w:tc>
          <w:tcPr>
            <w:tcW w:w="100" w:type="dxa"/>
            <w:vAlign w:val="bottom"/>
          </w:tcPr>
          <w:p>
            <w:pPr>
              <w:spacing w:after="0"/>
              <w:rPr>
                <w:sz w:val="12"/>
                <w:szCs w:val="12"/>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on which registered</w:t>
            </w:r>
          </w:p>
        </w:tc>
      </w:tr>
      <w:tr>
        <w:trPr>
          <w:trHeight w:val="206"/>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Ordinary shares, par value €0.12 per share</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PHVS</w:t>
            </w:r>
          </w:p>
        </w:tc>
        <w:tc>
          <w:tcPr>
            <w:tcW w:w="10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35560</wp:posOffset>
            </wp:positionV>
            <wp:extent cx="143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2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outstanding common shares as of December 31, 2023 was 52,290,212.</w:t>
      </w:r>
    </w:p>
    <w:p>
      <w:pPr>
        <w:spacing w:after="0" w:line="1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ind w:right="200"/>
        <w:spacing w:after="0" w:line="196" w:lineRule="exact"/>
        <w:rPr>
          <w:sz w:val="20"/>
          <w:szCs w:val="20"/>
          <w:color w:val="auto"/>
        </w:rPr>
      </w:pPr>
      <w:r>
        <w:rPr>
          <w:rFonts w:ascii="Arial" w:cs="Arial" w:eastAsia="Arial" w:hAnsi="Arial"/>
          <w:sz w:val="11"/>
          <w:szCs w:val="11"/>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Note </w:t>
      </w:r>
      <w:r>
        <w:rPr>
          <w:rFonts w:ascii="Arial" w:cs="Arial" w:eastAsia="Arial" w:hAnsi="Arial"/>
          <w:sz w:val="11"/>
          <w:szCs w:val="11"/>
          <w:color w:val="auto"/>
        </w:rPr>
        <w:t>– Checking the box above will not relieve any registrant required to file reports pursuant to Section 13 or 15(d) of the Securities Exchange Act of 1934 from their obligations under those Sections.</w:t>
      </w:r>
    </w:p>
    <w:p>
      <w:pPr>
        <w:spacing w:after="0" w:line="31" w:lineRule="exact"/>
        <w:rPr>
          <w:sz w:val="24"/>
          <w:szCs w:val="24"/>
          <w:color w:val="auto"/>
        </w:rPr>
      </w:pPr>
    </w:p>
    <w:p>
      <w:pPr>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has submitted electronically, if any, every Interactive Data File required to be submitted pursuant to Rule 405 of Regulation S-T (§232.405 of this chapter)</w:t>
      </w:r>
    </w:p>
    <w:p>
      <w:pPr>
        <w:spacing w:after="0" w:line="39"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See definition of “large accelerated filer, “accelerated filer,” and “emerging growth company” in Rule 12b-2 of the Exchange Act.</w:t>
      </w:r>
    </w:p>
    <w:p>
      <w:pPr>
        <w:spacing w:after="0" w:line="23" w:lineRule="exact"/>
        <w:rPr>
          <w:sz w:val="24"/>
          <w:szCs w:val="24"/>
          <w:color w:val="auto"/>
        </w:rPr>
      </w:pPr>
    </w:p>
    <w:p>
      <w:pPr>
        <w:ind w:left="20"/>
        <w:spacing w:after="0" w:line="175" w:lineRule="exact"/>
        <w:tabs>
          <w:tab w:leader="none" w:pos="1960" w:val="left"/>
          <w:tab w:leader="none" w:pos="4660" w:val="left"/>
          <w:tab w:leader="none" w:pos="6040" w:val="left"/>
          <w:tab w:leader="none" w:pos="8820" w:val="left"/>
          <w:tab w:leader="none" w:pos="1106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ind w:left="8840"/>
        <w:spacing w:after="0" w:line="179" w:lineRule="exact"/>
        <w:tabs>
          <w:tab w:leader="none" w:pos="1106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340"/>
        <w:spacing w:after="0" w:line="171"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ind w:right="80" w:firstLine="7"/>
        <w:spacing w:after="0" w:line="156" w:lineRule="exact"/>
        <w:tabs>
          <w:tab w:leader="none" w:pos="435"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rFonts w:ascii="Times New Roman" w:cs="Times New Roman" w:eastAsia="Times New Roman" w:hAnsi="Times New Roman"/>
          <w:sz w:val="13"/>
          <w:szCs w:val="13"/>
          <w:color w:val="auto"/>
        </w:rPr>
      </w:pPr>
    </w:p>
    <w:p>
      <w:pPr>
        <w:ind w:right="60"/>
        <w:spacing w:after="0" w:line="148"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ind w:right="180"/>
        <w:spacing w:after="0" w:line="158"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23" w:lineRule="exact"/>
        <w:rPr>
          <w:sz w:val="24"/>
          <w:szCs w:val="24"/>
          <w:color w:val="auto"/>
        </w:rPr>
      </w:pPr>
    </w:p>
    <w:p>
      <w:pPr>
        <w:ind w:left="1060" w:right="20" w:hanging="3441"/>
        <w:spacing w:after="0" w:line="175" w:lineRule="exact"/>
        <w:tabs>
          <w:tab w:leader="none" w:pos="1040" w:val="left"/>
        </w:tabs>
        <w:rPr>
          <w:sz w:val="20"/>
          <w:szCs w:val="20"/>
          <w:color w:val="auto"/>
        </w:rPr>
      </w:pPr>
      <w:r>
        <w:rPr>
          <w:rFonts w:ascii="Arial" w:cs="Arial" w:eastAsia="Arial" w:hAnsi="Arial"/>
          <w:sz w:val="13"/>
          <w:szCs w:val="13"/>
          <w:color w:val="auto"/>
        </w:rPr>
        <w:t>U.S. GAAP</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International Financial Reporting Standards as issued by the International</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Other</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Accounting Standards Board</w:t>
      </w:r>
    </w:p>
    <w:p>
      <w:pPr>
        <w:spacing w:after="0" w:line="161" w:lineRule="exact"/>
        <w:rPr>
          <w:sz w:val="24"/>
          <w:szCs w:val="24"/>
          <w:color w:val="auto"/>
        </w:rPr>
      </w:pPr>
    </w:p>
    <w:p>
      <w:pPr>
        <w:ind w:right="1420"/>
        <w:spacing w:after="0" w:line="199"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17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18 If this is an annual report, 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6" w:right="359" w:bottom="246"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80" w:type="dxa"/>
            <w:vAlign w:val="bottom"/>
            <w:gridSpan w:val="7"/>
          </w:tcPr>
          <w:p>
            <w:pPr>
              <w:jc w:val="center"/>
              <w:ind w:right="4040"/>
              <w:spacing w:after="0"/>
              <w:rPr>
                <w:sz w:val="20"/>
                <w:szCs w:val="20"/>
                <w:color w:val="auto"/>
              </w:rPr>
            </w:pPr>
            <w:r>
              <w:rPr>
                <w:rFonts w:ascii="Arial" w:cs="Arial" w:eastAsia="Arial" w:hAnsi="Arial"/>
                <w:sz w:val="16"/>
                <w:szCs w:val="16"/>
                <w:b w:val="1"/>
                <w:bCs w:val="1"/>
                <w:color w:val="auto"/>
                <w:w w:val="99"/>
              </w:rPr>
              <w:t>Pharvaris N.V.</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10"/>
          </w:tcPr>
          <w:p>
            <w:pPr>
              <w:jc w:val="center"/>
              <w:ind w:right="3380"/>
              <w:spacing w:after="0"/>
              <w:rPr>
                <w:sz w:val="20"/>
                <w:szCs w:val="20"/>
                <w:color w:val="auto"/>
              </w:rPr>
            </w:pPr>
            <w:r>
              <w:rPr>
                <w:rFonts w:ascii="Arial" w:cs="Arial" w:eastAsia="Arial" w:hAnsi="Arial"/>
                <w:sz w:val="16"/>
                <w:szCs w:val="16"/>
                <w:b w:val="1"/>
                <w:bCs w:val="1"/>
                <w:color w:val="auto"/>
                <w:w w:val="99"/>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0260" w:type="dxa"/>
            <w:vAlign w:val="bottom"/>
            <w:gridSpan w:val="40"/>
            <w:vMerge w:val="restart"/>
          </w:tcPr>
          <w:p>
            <w:pPr>
              <w:spacing w:after="0"/>
              <w:rPr>
                <w:sz w:val="20"/>
                <w:szCs w:val="20"/>
                <w:color w:val="auto"/>
              </w:rPr>
            </w:pPr>
            <w:r>
              <w:rPr>
                <w:rFonts w:ascii="Arial" w:cs="Arial" w:eastAsia="Arial" w:hAnsi="Arial"/>
                <w:sz w:val="16"/>
                <w:szCs w:val="16"/>
                <w:color w:val="0000FF"/>
              </w:rPr>
              <w:t>CAUTIONARY STATEMENT REGARDING FORWARD-LOOKING STATEMENTS</w:t>
            </w: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4"/>
        </w:trPr>
        <w:tc>
          <w:tcPr>
            <w:tcW w:w="10260" w:type="dxa"/>
            <w:vAlign w:val="bottom"/>
            <w:gridSpan w:val="40"/>
            <w:vMerge w:val="continue"/>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ENFORCEABILITY OF JUDGMENTS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gridSpan w:val="3"/>
          </w:tcPr>
          <w:p>
            <w:pPr>
              <w:spacing w:after="0" w:line="181" w:lineRule="exact"/>
              <w:rPr>
                <w:sz w:val="20"/>
                <w:szCs w:val="20"/>
                <w:color w:val="auto"/>
              </w:rPr>
            </w:pPr>
            <w:r>
              <w:rPr>
                <w:rFonts w:ascii="Arial" w:cs="Arial" w:eastAsia="Arial" w:hAnsi="Arial"/>
                <w:sz w:val="16"/>
                <w:szCs w:val="16"/>
                <w:color w:val="0000FF"/>
              </w:rPr>
              <w:t>PART I</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1. IDENTITY OF DIRECTORS, SENIOR MANAGEMENT AND ADVISERS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4620" w:type="dxa"/>
            <w:vAlign w:val="bottom"/>
            <w:tcBorders>
              <w:top w:val="single" w:sz="8" w:color="0000FF"/>
            </w:tcBorders>
            <w:gridSpan w:val="33"/>
          </w:tcPr>
          <w:p>
            <w:pPr>
              <w:spacing w:after="0" w:line="181" w:lineRule="exact"/>
              <w:rPr>
                <w:sz w:val="20"/>
                <w:szCs w:val="20"/>
                <w:color w:val="auto"/>
              </w:rPr>
            </w:pPr>
            <w:r>
              <w:rPr>
                <w:rFonts w:ascii="Arial" w:cs="Arial" w:eastAsia="Arial" w:hAnsi="Arial"/>
                <w:sz w:val="16"/>
                <w:szCs w:val="16"/>
                <w:color w:val="0000FF"/>
              </w:rPr>
              <w:t>Directors and senior management</w:t>
            </w:r>
          </w:p>
        </w:tc>
        <w:tc>
          <w:tcPr>
            <w:tcW w:w="4520" w:type="dxa"/>
            <w:vAlign w:val="bottom"/>
            <w:gridSpan w:val="4"/>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Advisers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Auditors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2. OFFER STATISTICS AND EXPECTED TIMETABLE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200" w:type="dxa"/>
            <w:vAlign w:val="bottom"/>
            <w:tcBorders>
              <w:top w:val="single" w:sz="8" w:color="0000FF"/>
            </w:tcBorders>
            <w:gridSpan w:val="27"/>
          </w:tcPr>
          <w:p>
            <w:pPr>
              <w:spacing w:after="0" w:line="181" w:lineRule="exact"/>
              <w:rPr>
                <w:sz w:val="20"/>
                <w:szCs w:val="20"/>
                <w:color w:val="auto"/>
              </w:rPr>
            </w:pPr>
            <w:r>
              <w:rPr>
                <w:rFonts w:ascii="Arial" w:cs="Arial" w:eastAsia="Arial" w:hAnsi="Arial"/>
                <w:sz w:val="16"/>
                <w:szCs w:val="16"/>
                <w:color w:val="0000FF"/>
              </w:rPr>
              <w:t>Offer statistics</w:t>
            </w:r>
          </w:p>
        </w:tc>
        <w:tc>
          <w:tcPr>
            <w:tcW w:w="5940" w:type="dxa"/>
            <w:vAlign w:val="bottom"/>
            <w:gridSpan w:val="10"/>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Method and expected timetable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3. KEY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1020" w:type="dxa"/>
            <w:vAlign w:val="bottom"/>
            <w:tcBorders>
              <w:top w:val="single" w:sz="8" w:color="0000FF"/>
            </w:tcBorders>
            <w:gridSpan w:val="6"/>
          </w:tcPr>
          <w:p>
            <w:pPr>
              <w:spacing w:after="0" w:line="181" w:lineRule="exact"/>
              <w:rPr>
                <w:sz w:val="20"/>
                <w:szCs w:val="20"/>
                <w:color w:val="auto"/>
              </w:rPr>
            </w:pPr>
            <w:r>
              <w:rPr>
                <w:rFonts w:ascii="Arial" w:cs="Arial" w:eastAsia="Arial" w:hAnsi="Arial"/>
                <w:sz w:val="16"/>
                <w:szCs w:val="16"/>
                <w:color w:val="0000FF"/>
              </w:rPr>
              <w:t>Reserved</w:t>
            </w:r>
          </w:p>
        </w:tc>
        <w:tc>
          <w:tcPr>
            <w:tcW w:w="8120" w:type="dxa"/>
            <w:vAlign w:val="bottom"/>
            <w:gridSpan w:val="31"/>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Capitalization and indebtedness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Reasons for the offer and use of proceeds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Risk factors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4. INFORMATION ON THE COMPANY</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History and development of the company</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Business Overview</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Organizational structure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Property, plants and equipment</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4A. UNRESOLVED STAFF COMMENTS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5. OPERATING AND FINANCIAL REVIEW AND PROSPECTS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800" w:type="dxa"/>
            <w:vAlign w:val="bottom"/>
            <w:tcBorders>
              <w:top w:val="single" w:sz="8" w:color="0000FF"/>
            </w:tcBorders>
            <w:gridSpan w:val="29"/>
          </w:tcPr>
          <w:p>
            <w:pPr>
              <w:spacing w:after="0" w:line="181" w:lineRule="exact"/>
              <w:rPr>
                <w:sz w:val="20"/>
                <w:szCs w:val="20"/>
                <w:color w:val="auto"/>
              </w:rPr>
            </w:pPr>
            <w:r>
              <w:rPr>
                <w:rFonts w:ascii="Arial" w:cs="Arial" w:eastAsia="Arial" w:hAnsi="Arial"/>
                <w:sz w:val="16"/>
                <w:szCs w:val="16"/>
                <w:color w:val="0000FF"/>
              </w:rPr>
              <w:t>Operating results</w:t>
            </w:r>
          </w:p>
        </w:tc>
        <w:tc>
          <w:tcPr>
            <w:tcW w:w="5340" w:type="dxa"/>
            <w:vAlign w:val="bottom"/>
            <w:gridSpan w:val="8"/>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Liquidity and capital resources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Research and development, patents and licenses, etc.</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Trend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Critical accounting estimates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6. DIRECTORS, SENIOR MANAGEMENT AND EMPLOYEES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760" w:type="dxa"/>
            <w:vAlign w:val="bottom"/>
            <w:tcBorders>
              <w:top w:val="single" w:sz="8" w:color="0000FF"/>
            </w:tcBorders>
            <w:gridSpan w:val="28"/>
          </w:tcPr>
          <w:p>
            <w:pPr>
              <w:spacing w:after="0" w:line="181" w:lineRule="exact"/>
              <w:rPr>
                <w:sz w:val="20"/>
                <w:szCs w:val="20"/>
                <w:color w:val="auto"/>
              </w:rPr>
            </w:pPr>
            <w:r>
              <w:rPr>
                <w:rFonts w:ascii="Arial" w:cs="Arial" w:eastAsia="Arial" w:hAnsi="Arial"/>
                <w:sz w:val="16"/>
                <w:szCs w:val="16"/>
                <w:color w:val="0000FF"/>
              </w:rPr>
              <w:t>Directors and senior management</w:t>
            </w:r>
          </w:p>
        </w:tc>
        <w:tc>
          <w:tcPr>
            <w:tcW w:w="5380" w:type="dxa"/>
            <w:vAlign w:val="bottom"/>
            <w:gridSpan w:val="9"/>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Compensation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Board practices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Employees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Share ownership</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Disclosure of a registrant’s action to recover erroneously awarded compensation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7. MAJOR SHAREHOLDERS AND RELATED PARTY TRANSACTIONS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4460" w:type="dxa"/>
            <w:vAlign w:val="bottom"/>
            <w:tcBorders>
              <w:top w:val="single" w:sz="8" w:color="0000FF"/>
            </w:tcBorders>
            <w:gridSpan w:val="32"/>
          </w:tcPr>
          <w:p>
            <w:pPr>
              <w:spacing w:after="0" w:line="181" w:lineRule="exact"/>
              <w:rPr>
                <w:sz w:val="20"/>
                <w:szCs w:val="20"/>
                <w:color w:val="auto"/>
              </w:rPr>
            </w:pPr>
            <w:r>
              <w:rPr>
                <w:rFonts w:ascii="Arial" w:cs="Arial" w:eastAsia="Arial" w:hAnsi="Arial"/>
                <w:sz w:val="16"/>
                <w:szCs w:val="16"/>
                <w:color w:val="0000FF"/>
              </w:rPr>
              <w:t>Major shareholders</w:t>
            </w:r>
          </w:p>
        </w:tc>
        <w:tc>
          <w:tcPr>
            <w:tcW w:w="4680" w:type="dxa"/>
            <w:vAlign w:val="bottom"/>
            <w:gridSpan w:val="5"/>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Related party transactions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Interests of Experts and Counsel</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8. FINANCIAL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Consolidated statements and other financial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1420" w:type="dxa"/>
            <w:vAlign w:val="bottom"/>
            <w:tcBorders>
              <w:top w:val="single" w:sz="8" w:color="0000FF"/>
              <w:bottom w:val="single" w:sz="8" w:color="0000FF"/>
            </w:tcBorders>
            <w:gridSpan w:val="12"/>
          </w:tcPr>
          <w:p>
            <w:pPr>
              <w:ind w:left="20"/>
              <w:spacing w:after="0" w:line="181" w:lineRule="exact"/>
              <w:rPr>
                <w:sz w:val="20"/>
                <w:szCs w:val="20"/>
                <w:color w:val="auto"/>
              </w:rPr>
            </w:pPr>
            <w:r>
              <w:rPr>
                <w:rFonts w:ascii="Arial" w:cs="Arial" w:eastAsia="Arial" w:hAnsi="Arial"/>
                <w:sz w:val="16"/>
                <w:szCs w:val="16"/>
                <w:color w:val="0000FF"/>
                <w:w w:val="99"/>
              </w:rPr>
              <w:t>Significant changes</w:t>
            </w:r>
          </w:p>
        </w:tc>
        <w:tc>
          <w:tcPr>
            <w:tcW w:w="2540" w:type="dxa"/>
            <w:vAlign w:val="bottom"/>
            <w:tcBorders>
              <w:top w:val="single" w:sz="8" w:color="0000FF"/>
            </w:tcBorders>
            <w:gridSpan w:val="19"/>
          </w:tcPr>
          <w:p>
            <w:pPr>
              <w:spacing w:after="0"/>
              <w:rPr>
                <w:sz w:val="15"/>
                <w:szCs w:val="15"/>
                <w:color w:val="auto"/>
              </w:rPr>
            </w:pPr>
          </w:p>
        </w:tc>
        <w:tc>
          <w:tcPr>
            <w:tcW w:w="5180" w:type="dxa"/>
            <w:vAlign w:val="bottom"/>
            <w:gridSpan w:val="6"/>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9. THE OFFER AND LISTING</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Offering and listing details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Plan of distribution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Markets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Selling shareholders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Dilution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Expenses of the issue</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10. ADDITIONAL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1700" w:type="dxa"/>
            <w:vAlign w:val="bottom"/>
            <w:tcBorders>
              <w:top w:val="single" w:sz="8" w:color="0000FF"/>
            </w:tcBorders>
            <w:gridSpan w:val="16"/>
          </w:tcPr>
          <w:p>
            <w:pPr>
              <w:ind w:left="20"/>
              <w:spacing w:after="0" w:line="181" w:lineRule="exact"/>
              <w:rPr>
                <w:sz w:val="20"/>
                <w:szCs w:val="20"/>
                <w:color w:val="auto"/>
              </w:rPr>
            </w:pPr>
            <w:r>
              <w:rPr>
                <w:rFonts w:ascii="Arial" w:cs="Arial" w:eastAsia="Arial" w:hAnsi="Arial"/>
                <w:sz w:val="16"/>
                <w:szCs w:val="16"/>
                <w:color w:val="0000FF"/>
              </w:rPr>
              <w:t>Share capital</w:t>
            </w:r>
          </w:p>
        </w:tc>
        <w:tc>
          <w:tcPr>
            <w:tcW w:w="7440" w:type="dxa"/>
            <w:vAlign w:val="bottom"/>
            <w:gridSpan w:val="21"/>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Memorandum and Articles of Association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Material contracts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Exchange controls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Taxation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Dividends and paying agents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40" w:type="dxa"/>
            <w:vAlign w:val="bottom"/>
            <w:gridSpan w:val="1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G.</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Statement by experts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40" w:type="dxa"/>
            <w:vAlign w:val="bottom"/>
            <w:gridSpan w:val="1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H.</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Documents on display</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14"/>
            <w:shd w:val="clear" w:color="auto" w:fill="0000FF"/>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I.</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Subsidiary information</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14"/>
            <w:shd w:val="clear" w:color="auto" w:fill="0000FF"/>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J.</w:t>
            </w:r>
          </w:p>
        </w:tc>
        <w:tc>
          <w:tcPr>
            <w:tcW w:w="9140" w:type="dxa"/>
            <w:vAlign w:val="bottom"/>
            <w:gridSpan w:val="37"/>
          </w:tcPr>
          <w:p>
            <w:pPr>
              <w:spacing w:after="0" w:line="181" w:lineRule="exact"/>
              <w:rPr>
                <w:sz w:val="20"/>
                <w:szCs w:val="20"/>
                <w:color w:val="auto"/>
              </w:rPr>
            </w:pPr>
            <w:r>
              <w:rPr>
                <w:rFonts w:ascii="Arial" w:cs="Arial" w:eastAsia="Arial" w:hAnsi="Arial"/>
                <w:sz w:val="16"/>
                <w:szCs w:val="16"/>
                <w:color w:val="0000FF"/>
              </w:rPr>
              <w:t>Annual Report to Security Holders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gridSpan w:val="3"/>
          </w:tcPr>
          <w:p>
            <w:pPr>
              <w:spacing w:after="0" w:line="20" w:lineRule="exact"/>
              <w:rPr>
                <w:sz w:val="1"/>
                <w:szCs w:val="1"/>
                <w:color w:val="auto"/>
              </w:rPr>
            </w:pPr>
          </w:p>
        </w:tc>
        <w:tc>
          <w:tcPr>
            <w:tcW w:w="2400" w:type="dxa"/>
            <w:vAlign w:val="bottom"/>
            <w:gridSpan w:val="24"/>
            <w:shd w:val="clear" w:color="auto" w:fill="0000EE"/>
          </w:tcPr>
          <w:p>
            <w:pPr>
              <w:spacing w:after="0" w:line="20" w:lineRule="exact"/>
              <w:rPr>
                <w:sz w:val="1"/>
                <w:szCs w:val="1"/>
                <w:color w:val="auto"/>
              </w:rPr>
            </w:pPr>
          </w:p>
        </w:tc>
        <w:tc>
          <w:tcPr>
            <w:tcW w:w="2720" w:type="dxa"/>
            <w:vAlign w:val="bottom"/>
            <w:tcBorders>
              <w:left w:val="single" w:sz="8" w:color="0000EE"/>
            </w:tcBorders>
            <w:gridSpan w:val="11"/>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260" w:type="dxa"/>
            <w:vAlign w:val="bottom"/>
            <w:gridSpan w:val="40"/>
          </w:tcPr>
          <w:p>
            <w:pPr>
              <w:spacing w:after="0" w:line="181" w:lineRule="exact"/>
              <w:rPr>
                <w:sz w:val="20"/>
                <w:szCs w:val="20"/>
                <w:color w:val="auto"/>
              </w:rPr>
            </w:pPr>
            <w:r>
              <w:rPr>
                <w:rFonts w:ascii="Arial" w:cs="Arial" w:eastAsia="Arial" w:hAnsi="Arial"/>
                <w:sz w:val="16"/>
                <w:szCs w:val="16"/>
                <w:color w:val="0000FF"/>
              </w:rPr>
              <w:t>ITEM 11. QUANTITATIVE AND QUALITATIVE DISCLOSURES ABOUT MARKET RISK</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184"/>
        </w:trPr>
        <w:tc>
          <w:tcPr>
            <w:tcW w:w="13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9"/>
              </w:rPr>
              <w:t>Table of Contents</w:t>
            </w:r>
          </w:p>
        </w:tc>
        <w:tc>
          <w:tcPr>
            <w:tcW w:w="20" w:type="dxa"/>
            <w:vAlign w:val="bottom"/>
            <w:tcBorders>
              <w:bottom w:val="single" w:sz="8" w:color="0000EE"/>
            </w:tcBorders>
          </w:tcPr>
          <w:p>
            <w:pPr>
              <w:spacing w:after="0"/>
              <w:rPr>
                <w:sz w:val="16"/>
                <w:szCs w:val="16"/>
                <w:color w:val="auto"/>
              </w:rPr>
            </w:pPr>
          </w:p>
        </w:tc>
        <w:tc>
          <w:tcPr>
            <w:tcW w:w="8120" w:type="dxa"/>
            <w:vAlign w:val="bottom"/>
            <w:gridSpan w:val="37"/>
          </w:tcPr>
          <w:p>
            <w:pPr>
              <w:spacing w:after="0"/>
              <w:rPr>
                <w:sz w:val="16"/>
                <w:szCs w:val="16"/>
                <w:color w:val="auto"/>
              </w:rPr>
            </w:pPr>
          </w:p>
        </w:tc>
        <w:tc>
          <w:tcPr>
            <w:tcW w:w="1720" w:type="dxa"/>
            <w:vAlign w:val="bottom"/>
          </w:tcPr>
          <w:p>
            <w:pPr>
              <w:spacing w:after="0"/>
              <w:rPr>
                <w:sz w:val="16"/>
                <w:szCs w:val="16"/>
                <w:color w:val="auto"/>
              </w:rPr>
            </w:pPr>
          </w:p>
        </w:tc>
      </w:tr>
      <w:tr>
        <w:trPr>
          <w:trHeight w:val="275"/>
        </w:trPr>
        <w:tc>
          <w:tcPr>
            <w:tcW w:w="5840" w:type="dxa"/>
            <w:vAlign w:val="bottom"/>
            <w:tcBorders>
              <w:bottom w:val="single" w:sz="8" w:color="0000FF"/>
            </w:tcBorders>
            <w:gridSpan w:val="36"/>
          </w:tcPr>
          <w:p>
            <w:pPr>
              <w:ind w:left="20"/>
              <w:spacing w:after="0"/>
              <w:rPr>
                <w:sz w:val="20"/>
                <w:szCs w:val="20"/>
                <w:color w:val="auto"/>
              </w:rPr>
            </w:pPr>
            <w:r>
              <w:rPr>
                <w:rFonts w:ascii="Arial" w:cs="Arial" w:eastAsia="Arial" w:hAnsi="Arial"/>
                <w:sz w:val="16"/>
                <w:szCs w:val="16"/>
                <w:color w:val="0000FF"/>
              </w:rPr>
              <w:t>ITEM 12. DESCRIPTION OF SECURITIES OTHER THAN EQUITY SECURITIES</w:t>
            </w:r>
          </w:p>
        </w:tc>
        <w:tc>
          <w:tcPr>
            <w:tcW w:w="3660" w:type="dxa"/>
            <w:vAlign w:val="bottom"/>
            <w:gridSpan w:val="8"/>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Debt securities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Warrants and rights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Other securities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American Depositary Shares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181"/>
        </w:trPr>
        <w:tc>
          <w:tcPr>
            <w:tcW w:w="1140" w:type="dxa"/>
            <w:vAlign w:val="bottom"/>
            <w:gridSpan w:val="4"/>
          </w:tcPr>
          <w:p>
            <w:pPr>
              <w:ind w:left="20"/>
              <w:spacing w:after="0" w:line="181" w:lineRule="exact"/>
              <w:rPr>
                <w:sz w:val="20"/>
                <w:szCs w:val="20"/>
                <w:color w:val="auto"/>
              </w:rPr>
            </w:pPr>
            <w:r>
              <w:rPr>
                <w:rFonts w:ascii="Arial" w:cs="Arial" w:eastAsia="Arial" w:hAnsi="Arial"/>
                <w:sz w:val="16"/>
                <w:szCs w:val="16"/>
                <w:color w:val="0000FF"/>
              </w:rPr>
              <w:t>PART II</w:t>
            </w: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13. DEFAULTS, DIVIDEND ARREARAGES AND DELINQUENCIES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181"/>
        </w:trPr>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4160" w:type="dxa"/>
            <w:vAlign w:val="bottom"/>
            <w:tcBorders>
              <w:top w:val="single" w:sz="8" w:color="0000FF"/>
            </w:tcBorders>
            <w:gridSpan w:val="30"/>
          </w:tcPr>
          <w:p>
            <w:pPr>
              <w:spacing w:after="0" w:line="181" w:lineRule="exact"/>
              <w:rPr>
                <w:sz w:val="20"/>
                <w:szCs w:val="20"/>
                <w:color w:val="auto"/>
              </w:rPr>
            </w:pPr>
            <w:r>
              <w:rPr>
                <w:rFonts w:ascii="Arial" w:cs="Arial" w:eastAsia="Arial" w:hAnsi="Arial"/>
                <w:sz w:val="16"/>
                <w:szCs w:val="16"/>
                <w:color w:val="0000FF"/>
              </w:rPr>
              <w:t>Defaults</w:t>
            </w:r>
          </w:p>
        </w:tc>
        <w:tc>
          <w:tcPr>
            <w:tcW w:w="4200" w:type="dxa"/>
            <w:vAlign w:val="bottom"/>
            <w:gridSpan w:val="10"/>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Arrears and delinquencies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181"/>
        </w:trPr>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6880" w:type="dxa"/>
            <w:vAlign w:val="bottom"/>
            <w:tcBorders>
              <w:top w:val="single" w:sz="8" w:color="0000FF"/>
            </w:tcBorders>
            <w:gridSpan w:val="39"/>
          </w:tcPr>
          <w:p>
            <w:pPr>
              <w:spacing w:after="0" w:line="181" w:lineRule="exact"/>
              <w:rPr>
                <w:sz w:val="20"/>
                <w:szCs w:val="20"/>
                <w:color w:val="auto"/>
              </w:rPr>
            </w:pPr>
            <w:r>
              <w:rPr>
                <w:rFonts w:ascii="Arial" w:cs="Arial" w:eastAsia="Arial" w:hAnsi="Arial"/>
                <w:sz w:val="16"/>
                <w:szCs w:val="16"/>
                <w:color w:val="0000FF"/>
              </w:rPr>
              <w:t>Material modifications to instruments</w:t>
            </w:r>
          </w:p>
        </w:tc>
        <w:tc>
          <w:tcPr>
            <w:tcW w:w="14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106</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Material modifications to rights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Withdrawal or substitution of assets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Change in trustees or paying agents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Use of Proceeds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3180" w:type="dxa"/>
            <w:vAlign w:val="bottom"/>
            <w:tcBorders>
              <w:bottom w:val="single" w:sz="8" w:color="0000FF"/>
            </w:tcBorders>
            <w:gridSpan w:val="24"/>
          </w:tcPr>
          <w:p>
            <w:pPr>
              <w:ind w:left="20"/>
              <w:spacing w:after="0" w:line="181" w:lineRule="exact"/>
              <w:rPr>
                <w:sz w:val="20"/>
                <w:szCs w:val="20"/>
                <w:color w:val="auto"/>
              </w:rPr>
            </w:pPr>
            <w:r>
              <w:rPr>
                <w:rFonts w:ascii="Arial" w:cs="Arial" w:eastAsia="Arial" w:hAnsi="Arial"/>
                <w:sz w:val="16"/>
                <w:szCs w:val="16"/>
                <w:color w:val="0000FF"/>
              </w:rPr>
              <w:t>ITEM 15. CONTROLS AND PROCEDURES</w:t>
            </w:r>
          </w:p>
        </w:tc>
        <w:tc>
          <w:tcPr>
            <w:tcW w:w="20" w:type="dxa"/>
            <w:vAlign w:val="bottom"/>
            <w:tcBorders>
              <w:bottom w:val="single" w:sz="8" w:color="0000EE"/>
            </w:tcBorders>
          </w:tcPr>
          <w:p>
            <w:pPr>
              <w:spacing w:after="0"/>
              <w:rPr>
                <w:sz w:val="15"/>
                <w:szCs w:val="15"/>
                <w:color w:val="auto"/>
              </w:rPr>
            </w:pPr>
          </w:p>
        </w:tc>
        <w:tc>
          <w:tcPr>
            <w:tcW w:w="6300" w:type="dxa"/>
            <w:vAlign w:val="bottom"/>
            <w:gridSpan w:val="19"/>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Disclosure Controls and Procedures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107</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Management’s Annual Report on Internal Control over Financial Reporting</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Attestation Report of the Registered Public Accounting Firm</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Changes in Internal Control over Financial Reporting</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1600" w:type="dxa"/>
            <w:vAlign w:val="bottom"/>
            <w:tcBorders>
              <w:bottom w:val="single" w:sz="8" w:color="0000FF"/>
            </w:tcBorders>
            <w:gridSpan w:val="8"/>
          </w:tcPr>
          <w:p>
            <w:pPr>
              <w:ind w:left="20"/>
              <w:spacing w:after="0" w:line="181" w:lineRule="exact"/>
              <w:rPr>
                <w:sz w:val="20"/>
                <w:szCs w:val="20"/>
                <w:color w:val="auto"/>
              </w:rPr>
            </w:pPr>
            <w:r>
              <w:rPr>
                <w:rFonts w:ascii="Arial" w:cs="Arial" w:eastAsia="Arial" w:hAnsi="Arial"/>
                <w:sz w:val="16"/>
                <w:szCs w:val="16"/>
                <w:color w:val="0000FF"/>
                <w:w w:val="99"/>
              </w:rPr>
              <w:t>ITEM 16. RESERVED</w:t>
            </w:r>
          </w:p>
        </w:tc>
        <w:tc>
          <w:tcPr>
            <w:tcW w:w="20" w:type="dxa"/>
            <w:vAlign w:val="bottom"/>
            <w:tcBorders>
              <w:bottom w:val="single" w:sz="8" w:color="0000EE"/>
            </w:tcBorders>
          </w:tcPr>
          <w:p>
            <w:pPr>
              <w:spacing w:after="0"/>
              <w:rPr>
                <w:sz w:val="15"/>
                <w:szCs w:val="15"/>
                <w:color w:val="auto"/>
              </w:rPr>
            </w:pPr>
          </w:p>
        </w:tc>
        <w:tc>
          <w:tcPr>
            <w:tcW w:w="7880" w:type="dxa"/>
            <w:vAlign w:val="bottom"/>
            <w:gridSpan w:val="35"/>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16A. AUDIT COMMITTEE FINANCIAL EXPERT</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108</w:t>
            </w:r>
          </w:p>
        </w:tc>
      </w:tr>
      <w:tr>
        <w:trPr>
          <w:trHeight w:val="181"/>
        </w:trPr>
        <w:tc>
          <w:tcPr>
            <w:tcW w:w="2240" w:type="dxa"/>
            <w:vAlign w:val="bottom"/>
            <w:tcBorders>
              <w:top w:val="single" w:sz="8" w:color="0000FF"/>
              <w:bottom w:val="single" w:sz="8" w:color="0000FF"/>
            </w:tcBorders>
            <w:gridSpan w:val="14"/>
          </w:tcPr>
          <w:p>
            <w:pPr>
              <w:ind w:left="20"/>
              <w:spacing w:after="0" w:line="181" w:lineRule="exact"/>
              <w:rPr>
                <w:sz w:val="20"/>
                <w:szCs w:val="20"/>
                <w:color w:val="auto"/>
              </w:rPr>
            </w:pPr>
            <w:r>
              <w:rPr>
                <w:rFonts w:ascii="Arial" w:cs="Arial" w:eastAsia="Arial" w:hAnsi="Arial"/>
                <w:sz w:val="16"/>
                <w:szCs w:val="16"/>
                <w:color w:val="0000FF"/>
              </w:rPr>
              <w:t>ITEM 16B. CODE OF ETHICS</w:t>
            </w:r>
          </w:p>
        </w:tc>
        <w:tc>
          <w:tcPr>
            <w:tcW w:w="1640" w:type="dxa"/>
            <w:vAlign w:val="bottom"/>
            <w:tcBorders>
              <w:top w:val="single" w:sz="8" w:color="0000FF"/>
            </w:tcBorders>
            <w:gridSpan w:val="15"/>
          </w:tcPr>
          <w:p>
            <w:pPr>
              <w:spacing w:after="0"/>
              <w:rPr>
                <w:sz w:val="15"/>
                <w:szCs w:val="15"/>
                <w:color w:val="auto"/>
              </w:rPr>
            </w:pPr>
          </w:p>
        </w:tc>
        <w:tc>
          <w:tcPr>
            <w:tcW w:w="5620" w:type="dxa"/>
            <w:vAlign w:val="bottom"/>
            <w:gridSpan w:val="15"/>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109</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16C. PRINCIPAL ACCOUNTANT FEES AND SERVICES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jc w:val="right"/>
              <w:ind w:right="80"/>
              <w:spacing w:after="0" w:line="181" w:lineRule="exact"/>
              <w:rPr>
                <w:sz w:val="20"/>
                <w:szCs w:val="20"/>
                <w:color w:val="auto"/>
              </w:rPr>
            </w:pPr>
            <w:r>
              <w:rPr>
                <w:rFonts w:ascii="Arial" w:cs="Arial" w:eastAsia="Arial" w:hAnsi="Arial"/>
                <w:sz w:val="16"/>
                <w:szCs w:val="16"/>
                <w:color w:val="auto"/>
              </w:rPr>
              <w:t>A.</w:t>
            </w:r>
          </w:p>
        </w:tc>
        <w:tc>
          <w:tcPr>
            <w:tcW w:w="3380" w:type="dxa"/>
            <w:vAlign w:val="bottom"/>
            <w:tcBorders>
              <w:top w:val="single" w:sz="8" w:color="0000FF"/>
            </w:tcBorders>
            <w:gridSpan w:val="26"/>
          </w:tcPr>
          <w:p>
            <w:pPr>
              <w:spacing w:after="0" w:line="181" w:lineRule="exact"/>
              <w:rPr>
                <w:sz w:val="20"/>
                <w:szCs w:val="20"/>
                <w:color w:val="auto"/>
              </w:rPr>
            </w:pPr>
            <w:r>
              <w:rPr>
                <w:rFonts w:ascii="Arial" w:cs="Arial" w:eastAsia="Arial" w:hAnsi="Arial"/>
                <w:sz w:val="16"/>
                <w:szCs w:val="16"/>
                <w:color w:val="0000FF"/>
              </w:rPr>
              <w:t>Audit Fees</w:t>
            </w:r>
          </w:p>
        </w:tc>
        <w:tc>
          <w:tcPr>
            <w:tcW w:w="4980" w:type="dxa"/>
            <w:vAlign w:val="bottom"/>
            <w:gridSpan w:val="14"/>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B.</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Audit-Related Fees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C.</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Tax Fees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D.</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All Other Fees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E.</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Audit Committee’s Pre-Approval Policies and Procedures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80"/>
              <w:spacing w:after="0" w:line="181" w:lineRule="exact"/>
              <w:rPr>
                <w:sz w:val="20"/>
                <w:szCs w:val="20"/>
                <w:color w:val="auto"/>
              </w:rPr>
            </w:pPr>
            <w:r>
              <w:rPr>
                <w:rFonts w:ascii="Arial" w:cs="Arial" w:eastAsia="Arial" w:hAnsi="Arial"/>
                <w:sz w:val="16"/>
                <w:szCs w:val="16"/>
                <w:color w:val="auto"/>
              </w:rPr>
              <w:t>F.</w:t>
            </w:r>
          </w:p>
        </w:tc>
        <w:tc>
          <w:tcPr>
            <w:tcW w:w="8360" w:type="dxa"/>
            <w:vAlign w:val="bottom"/>
            <w:gridSpan w:val="40"/>
          </w:tcPr>
          <w:p>
            <w:pPr>
              <w:spacing w:after="0" w:line="181" w:lineRule="exact"/>
              <w:rPr>
                <w:sz w:val="20"/>
                <w:szCs w:val="20"/>
                <w:color w:val="auto"/>
              </w:rPr>
            </w:pPr>
            <w:r>
              <w:rPr>
                <w:rFonts w:ascii="Arial" w:cs="Arial" w:eastAsia="Arial" w:hAnsi="Arial"/>
                <w:sz w:val="16"/>
                <w:szCs w:val="16"/>
                <w:color w:val="0000FF"/>
              </w:rPr>
              <w:t>Audit Work Performed by Other Than Principal Accountant if Greater than 50%</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9"/>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10"/>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6500" w:type="dxa"/>
            <w:vAlign w:val="bottom"/>
            <w:tcBorders>
              <w:bottom w:val="single" w:sz="8" w:color="0000FF"/>
            </w:tcBorders>
            <w:gridSpan w:val="38"/>
          </w:tcPr>
          <w:p>
            <w:pPr>
              <w:ind w:left="20"/>
              <w:spacing w:after="0" w:line="181" w:lineRule="exact"/>
              <w:rPr>
                <w:sz w:val="20"/>
                <w:szCs w:val="20"/>
                <w:color w:val="auto"/>
              </w:rPr>
            </w:pPr>
            <w:r>
              <w:rPr>
                <w:rFonts w:ascii="Arial" w:cs="Arial" w:eastAsia="Arial" w:hAnsi="Arial"/>
                <w:sz w:val="16"/>
                <w:szCs w:val="16"/>
                <w:color w:val="0000FF"/>
              </w:rPr>
              <w:t>ITEM 16D. EXEMPTIONS FROM THE LISTING STANDARDS FOR AUDIT COMMITTEES</w:t>
            </w:r>
          </w:p>
        </w:tc>
        <w:tc>
          <w:tcPr>
            <w:tcW w:w="20" w:type="dxa"/>
            <w:vAlign w:val="bottom"/>
            <w:tcBorders>
              <w:bottom w:val="single" w:sz="8" w:color="0000EE"/>
            </w:tcBorders>
          </w:tcPr>
          <w:p>
            <w:pPr>
              <w:spacing w:after="0"/>
              <w:rPr>
                <w:sz w:val="15"/>
                <w:szCs w:val="15"/>
                <w:color w:val="auto"/>
              </w:rPr>
            </w:pPr>
          </w:p>
        </w:tc>
        <w:tc>
          <w:tcPr>
            <w:tcW w:w="2980" w:type="dxa"/>
            <w:vAlign w:val="bottom"/>
            <w:gridSpan w:val="5"/>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16E. PURCHASES OF EQUITY SECURITIES BY THE ISSUER AND AFFILIATED PURCHASERS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7500" w:type="dxa"/>
            <w:vAlign w:val="bottom"/>
            <w:tcBorders>
              <w:top w:val="single" w:sz="8" w:color="0000FF"/>
            </w:tcBorders>
            <w:gridSpan w:val="42"/>
          </w:tcPr>
          <w:p>
            <w:pPr>
              <w:ind w:left="20"/>
              <w:spacing w:after="0" w:line="181" w:lineRule="exact"/>
              <w:rPr>
                <w:sz w:val="20"/>
                <w:szCs w:val="20"/>
                <w:color w:val="auto"/>
              </w:rPr>
            </w:pPr>
            <w:r>
              <w:rPr>
                <w:rFonts w:ascii="Arial" w:cs="Arial" w:eastAsia="Arial" w:hAnsi="Arial"/>
                <w:sz w:val="16"/>
                <w:szCs w:val="16"/>
                <w:color w:val="0000FF"/>
              </w:rPr>
              <w:t>ITEM 16F. CHANGE IN REGISTRANT’S CERTIFYING ACCOUNTANT</w:t>
            </w:r>
          </w:p>
        </w:tc>
        <w:tc>
          <w:tcPr>
            <w:tcW w:w="2000" w:type="dxa"/>
            <w:vAlign w:val="bottom"/>
            <w:gridSpan w:val="2"/>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3040" w:type="dxa"/>
            <w:vAlign w:val="bottom"/>
            <w:tcBorders>
              <w:top w:val="single" w:sz="8" w:color="0000FF"/>
              <w:bottom w:val="single" w:sz="8" w:color="0000FF"/>
            </w:tcBorders>
            <w:gridSpan w:val="21"/>
          </w:tcPr>
          <w:p>
            <w:pPr>
              <w:ind w:left="20"/>
              <w:spacing w:after="0" w:line="181" w:lineRule="exact"/>
              <w:rPr>
                <w:sz w:val="20"/>
                <w:szCs w:val="20"/>
                <w:color w:val="auto"/>
              </w:rPr>
            </w:pPr>
            <w:r>
              <w:rPr>
                <w:rFonts w:ascii="Arial" w:cs="Arial" w:eastAsia="Arial" w:hAnsi="Arial"/>
                <w:sz w:val="16"/>
                <w:szCs w:val="16"/>
                <w:color w:val="0000FF"/>
                <w:w w:val="99"/>
              </w:rPr>
              <w:t>ITEM 16G. CORPORATE GOVERNANCE</w:t>
            </w:r>
          </w:p>
        </w:tc>
        <w:tc>
          <w:tcPr>
            <w:tcW w:w="2040" w:type="dxa"/>
            <w:vAlign w:val="bottom"/>
            <w:tcBorders>
              <w:top w:val="single" w:sz="8" w:color="0000FF"/>
            </w:tcBorders>
            <w:gridSpan w:val="11"/>
          </w:tcPr>
          <w:p>
            <w:pPr>
              <w:spacing w:after="0"/>
              <w:rPr>
                <w:sz w:val="15"/>
                <w:szCs w:val="15"/>
                <w:color w:val="auto"/>
              </w:rPr>
            </w:pPr>
          </w:p>
        </w:tc>
        <w:tc>
          <w:tcPr>
            <w:tcW w:w="4420" w:type="dxa"/>
            <w:vAlign w:val="bottom"/>
            <w:gridSpan w:val="12"/>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3000" w:type="dxa"/>
            <w:vAlign w:val="bottom"/>
            <w:tcBorders>
              <w:bottom w:val="single" w:sz="8" w:color="0000FF"/>
            </w:tcBorders>
            <w:gridSpan w:val="19"/>
          </w:tcPr>
          <w:p>
            <w:pPr>
              <w:ind w:left="20"/>
              <w:spacing w:after="0" w:line="181" w:lineRule="exact"/>
              <w:rPr>
                <w:sz w:val="20"/>
                <w:szCs w:val="20"/>
                <w:color w:val="auto"/>
              </w:rPr>
            </w:pPr>
            <w:r>
              <w:rPr>
                <w:rFonts w:ascii="Arial" w:cs="Arial" w:eastAsia="Arial" w:hAnsi="Arial"/>
                <w:sz w:val="16"/>
                <w:szCs w:val="16"/>
                <w:color w:val="0000FF"/>
                <w:w w:val="99"/>
              </w:rPr>
              <w:t>ITEM 16H. MINE SAFETY DISCLOSURE</w:t>
            </w:r>
          </w:p>
        </w:tc>
        <w:tc>
          <w:tcPr>
            <w:tcW w:w="20" w:type="dxa"/>
            <w:vAlign w:val="bottom"/>
            <w:tcBorders>
              <w:bottom w:val="single" w:sz="8" w:color="0000EE"/>
            </w:tcBorders>
          </w:tcPr>
          <w:p>
            <w:pPr>
              <w:spacing w:after="0"/>
              <w:rPr>
                <w:sz w:val="15"/>
                <w:szCs w:val="15"/>
                <w:color w:val="auto"/>
              </w:rPr>
            </w:pPr>
          </w:p>
        </w:tc>
        <w:tc>
          <w:tcPr>
            <w:tcW w:w="6480" w:type="dxa"/>
            <w:vAlign w:val="bottom"/>
            <w:gridSpan w:val="24"/>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7280" w:type="dxa"/>
            <w:vAlign w:val="bottom"/>
            <w:tcBorders>
              <w:bottom w:val="single" w:sz="8" w:color="0000FF"/>
            </w:tcBorders>
            <w:gridSpan w:val="41"/>
          </w:tcPr>
          <w:p>
            <w:pPr>
              <w:ind w:left="20"/>
              <w:spacing w:after="0" w:line="181" w:lineRule="exact"/>
              <w:rPr>
                <w:sz w:val="20"/>
                <w:szCs w:val="20"/>
                <w:color w:val="auto"/>
              </w:rPr>
            </w:pPr>
            <w:r>
              <w:rPr>
                <w:rFonts w:ascii="Arial" w:cs="Arial" w:eastAsia="Arial" w:hAnsi="Arial"/>
                <w:sz w:val="16"/>
                <w:szCs w:val="16"/>
                <w:color w:val="0000FF"/>
              </w:rPr>
              <w:t>ITEM 16I. DISCLOSURE REGARDING FOREIGN JURISDICTIONS THAT PREVENT INSPECTIONS</w:t>
            </w:r>
          </w:p>
        </w:tc>
        <w:tc>
          <w:tcPr>
            <w:tcW w:w="2220" w:type="dxa"/>
            <w:vAlign w:val="bottom"/>
            <w:gridSpan w:val="3"/>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110</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16K. CYBER SECURITY</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111</w:t>
            </w:r>
          </w:p>
        </w:tc>
      </w:tr>
      <w:tr>
        <w:trPr>
          <w:trHeight w:val="181"/>
        </w:trPr>
        <w:tc>
          <w:tcPr>
            <w:tcW w:w="620" w:type="dxa"/>
            <w:vAlign w:val="bottom"/>
            <w:tcBorders>
              <w:top w:val="single" w:sz="8" w:color="0000FF"/>
              <w:bottom w:val="single" w:sz="8" w:color="0000FF"/>
            </w:tcBorders>
            <w:gridSpan w:val="2"/>
          </w:tcPr>
          <w:p>
            <w:pPr>
              <w:ind w:left="20"/>
              <w:spacing w:after="0" w:line="181" w:lineRule="exact"/>
              <w:rPr>
                <w:sz w:val="20"/>
                <w:szCs w:val="20"/>
                <w:color w:val="auto"/>
              </w:rPr>
            </w:pPr>
            <w:r>
              <w:rPr>
                <w:rFonts w:ascii="Arial" w:cs="Arial" w:eastAsia="Arial" w:hAnsi="Arial"/>
                <w:sz w:val="16"/>
                <w:szCs w:val="16"/>
                <w:color w:val="0000FF"/>
                <w:w w:val="95"/>
              </w:rPr>
              <w:t>PART III</w:t>
            </w:r>
          </w:p>
        </w:tc>
        <w:tc>
          <w:tcPr>
            <w:tcW w:w="2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112</w:t>
            </w: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17. FINANCIAL STATEMENTS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112</w:t>
            </w:r>
          </w:p>
        </w:tc>
      </w:tr>
      <w:tr>
        <w:trPr>
          <w:trHeight w:val="20"/>
        </w:trPr>
        <w:tc>
          <w:tcPr>
            <w:tcW w:w="130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1380" w:type="dxa"/>
            <w:vAlign w:val="bottom"/>
            <w:tcBorders>
              <w:right w:val="single" w:sz="8" w:color="0000EE"/>
            </w:tcBorders>
            <w:gridSpan w:val="12"/>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380" w:type="dxa"/>
            <w:vAlign w:val="bottom"/>
            <w:gridSpan w:val="2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ITEM 18. FINANCIAL STATEMENTS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112</w:t>
            </w:r>
          </w:p>
        </w:tc>
      </w:tr>
      <w:tr>
        <w:trPr>
          <w:trHeight w:val="181"/>
        </w:trPr>
        <w:tc>
          <w:tcPr>
            <w:tcW w:w="2680" w:type="dxa"/>
            <w:vAlign w:val="bottom"/>
            <w:tcBorders>
              <w:top w:val="single" w:sz="8" w:color="0000FF"/>
            </w:tcBorders>
            <w:gridSpan w:val="17"/>
          </w:tcPr>
          <w:p>
            <w:pPr>
              <w:ind w:left="20"/>
              <w:spacing w:after="0" w:line="181" w:lineRule="exact"/>
              <w:rPr>
                <w:sz w:val="20"/>
                <w:szCs w:val="20"/>
                <w:color w:val="auto"/>
              </w:rPr>
            </w:pPr>
            <w:r>
              <w:rPr>
                <w:rFonts w:ascii="Arial" w:cs="Arial" w:eastAsia="Arial" w:hAnsi="Arial"/>
                <w:sz w:val="16"/>
                <w:szCs w:val="16"/>
                <w:color w:val="0000FF"/>
              </w:rPr>
              <w:t>ITEM 19. Exhibits</w:t>
            </w:r>
          </w:p>
        </w:tc>
        <w:tc>
          <w:tcPr>
            <w:tcW w:w="6820" w:type="dxa"/>
            <w:vAlign w:val="bottom"/>
            <w:gridSpan w:val="27"/>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112</w:t>
            </w:r>
          </w:p>
        </w:tc>
      </w:tr>
      <w:tr>
        <w:trPr>
          <w:trHeight w:val="20"/>
        </w:trPr>
        <w:tc>
          <w:tcPr>
            <w:tcW w:w="130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6380" w:type="dxa"/>
            <w:vAlign w:val="bottom"/>
            <w:gridSpan w:val="2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1"/>
        </w:trPr>
        <w:tc>
          <w:tcPr>
            <w:tcW w:w="9500" w:type="dxa"/>
            <w:vAlign w:val="bottom"/>
            <w:gridSpan w:val="44"/>
          </w:tcPr>
          <w:p>
            <w:pPr>
              <w:ind w:left="20"/>
              <w:spacing w:after="0" w:line="181" w:lineRule="exact"/>
              <w:rPr>
                <w:sz w:val="20"/>
                <w:szCs w:val="20"/>
                <w:color w:val="auto"/>
              </w:rPr>
            </w:pPr>
            <w:r>
              <w:rPr>
                <w:rFonts w:ascii="Arial" w:cs="Arial" w:eastAsia="Arial" w:hAnsi="Arial"/>
                <w:sz w:val="16"/>
                <w:szCs w:val="16"/>
                <w:color w:val="0000FF"/>
              </w:rPr>
              <w:t>Index to Consolidated Financial Statements</w:t>
            </w:r>
          </w:p>
        </w:tc>
        <w:tc>
          <w:tcPr>
            <w:tcW w:w="1720" w:type="dxa"/>
            <w:vAlign w:val="bottom"/>
          </w:tcPr>
          <w:p>
            <w:pPr>
              <w:jc w:val="right"/>
              <w:spacing w:after="0" w:line="181" w:lineRule="exact"/>
              <w:rPr>
                <w:sz w:val="20"/>
                <w:szCs w:val="20"/>
                <w:color w:val="auto"/>
              </w:rPr>
            </w:pPr>
            <w:r>
              <w:rPr>
                <w:rFonts w:ascii="Arial" w:cs="Arial" w:eastAsia="Arial" w:hAnsi="Arial"/>
                <w:sz w:val="16"/>
                <w:szCs w:val="16"/>
                <w:color w:val="auto"/>
              </w:rPr>
              <w:t>F-1</w:t>
            </w:r>
          </w:p>
        </w:tc>
      </w:tr>
      <w:tr>
        <w:trPr>
          <w:trHeight w:val="20"/>
        </w:trPr>
        <w:tc>
          <w:tcPr>
            <w:tcW w:w="5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6" w:lineRule="exact"/>
        <w:rPr>
          <w:sz w:val="20"/>
          <w:szCs w:val="20"/>
          <w:color w:val="auto"/>
        </w:rPr>
      </w:pPr>
    </w:p>
    <w:p>
      <w:pPr>
        <w:ind w:left="140" w:right="880" w:firstLine="458"/>
        <w:spacing w:after="0" w:line="282" w:lineRule="auto"/>
        <w:rPr>
          <w:sz w:val="20"/>
          <w:szCs w:val="20"/>
          <w:color w:val="auto"/>
        </w:rPr>
      </w:pPr>
      <w:r>
        <w:rPr>
          <w:rFonts w:ascii="Arial" w:cs="Arial" w:eastAsia="Arial" w:hAnsi="Arial"/>
          <w:sz w:val="14"/>
          <w:szCs w:val="14"/>
          <w:color w:val="auto"/>
        </w:rPr>
        <w:t>Unless otherwise indicated or the context otherwise requires, all references in this Annual Report on Form 20-F, or this Annual Report, to “Pharvaris N.V.,” “Pharvaris,” the “Company,” “we,” “our,” “ours,” “us” or similar terms refer to Pharvaris N.V. and its subsidiaries.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Presentation of Financial and Other Information</w:t>
      </w:r>
    </w:p>
    <w:p>
      <w:pPr>
        <w:spacing w:after="0" w:line="218" w:lineRule="exact"/>
        <w:rPr>
          <w:sz w:val="20"/>
          <w:szCs w:val="20"/>
          <w:color w:val="auto"/>
        </w:rPr>
      </w:pPr>
    </w:p>
    <w:p>
      <w:pPr>
        <w:jc w:val="both"/>
        <w:ind w:left="140" w:right="80" w:firstLine="458"/>
        <w:spacing w:after="0" w:line="254" w:lineRule="auto"/>
        <w:rPr>
          <w:sz w:val="20"/>
          <w:szCs w:val="20"/>
          <w:color w:val="auto"/>
        </w:rPr>
      </w:pPr>
      <w:r>
        <w:rPr>
          <w:rFonts w:ascii="Arial" w:cs="Arial" w:eastAsia="Arial" w:hAnsi="Arial"/>
          <w:sz w:val="16"/>
          <w:szCs w:val="16"/>
          <w:color w:val="auto"/>
        </w:rPr>
        <w:t>We report under IFRS Accounting Standards, or IFRS, as issued by the International Accounting Standards Board, or the IASB. None of the consolidated financial statements in this Annual Report were prepared in accordance with generally accepted accounting principles in the United States, or United States Generally Accepted Accounting Principles, or U.S. GAAP. We present our consolidated financial statements in euros and in accordance with IFRS, as issued by the IASB. We have made rounding adjustments to some of the figures included in this Annual Report. Accordingly, numerical figures shown as totals in some tables may not be an arithmetic aggregation of the figures that preceded them.</w:t>
      </w:r>
    </w:p>
    <w:p>
      <w:pPr>
        <w:spacing w:after="0" w:line="166" w:lineRule="exact"/>
        <w:rPr>
          <w:sz w:val="20"/>
          <w:szCs w:val="20"/>
          <w:color w:val="auto"/>
        </w:rPr>
      </w:pPr>
    </w:p>
    <w:p>
      <w:pPr>
        <w:jc w:val="both"/>
        <w:ind w:left="140" w:firstLine="458"/>
        <w:spacing w:after="0" w:line="264" w:lineRule="auto"/>
        <w:rPr>
          <w:sz w:val="20"/>
          <w:szCs w:val="20"/>
          <w:color w:val="auto"/>
        </w:rPr>
      </w:pPr>
      <w:r>
        <w:rPr>
          <w:rFonts w:ascii="Arial" w:cs="Arial" w:eastAsia="Arial" w:hAnsi="Arial"/>
          <w:sz w:val="16"/>
          <w:szCs w:val="16"/>
          <w:color w:val="auto"/>
        </w:rPr>
        <w:t>Unless otherwise indicated, all references in this Annual Report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57" w:lineRule="exact"/>
        <w:rPr>
          <w:sz w:val="20"/>
          <w:szCs w:val="20"/>
          <w:color w:val="auto"/>
        </w:rPr>
      </w:pPr>
    </w:p>
    <w:p>
      <w:pPr>
        <w:jc w:val="both"/>
        <w:ind w:left="140" w:right="280" w:firstLine="458"/>
        <w:spacing w:after="0" w:line="264" w:lineRule="auto"/>
        <w:rPr>
          <w:sz w:val="20"/>
          <w:szCs w:val="20"/>
          <w:color w:val="auto"/>
        </w:rPr>
      </w:pPr>
      <w:r>
        <w:rPr>
          <w:rFonts w:ascii="Arial" w:cs="Arial" w:eastAsia="Arial" w:hAnsi="Arial"/>
          <w:sz w:val="16"/>
          <w:szCs w:val="16"/>
          <w:color w:val="auto"/>
        </w:rPr>
        <w:t>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w:t>
      </w:r>
      <w:r>
        <w:rPr>
          <w:rFonts w:ascii="Arial" w:cs="Arial" w:eastAsia="Arial" w:hAnsi="Arial"/>
          <w:sz w:val="16"/>
          <w:szCs w:val="16"/>
          <w:color w:val="auto"/>
        </w:rPr>
        <w:t>) and changed our name from Pharvaris B.V. to Pharvaris N.V.</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Market and Industry Data</w:t>
      </w:r>
    </w:p>
    <w:p>
      <w:pPr>
        <w:spacing w:after="0" w:line="205" w:lineRule="exact"/>
        <w:rPr>
          <w:sz w:val="20"/>
          <w:szCs w:val="20"/>
          <w:color w:val="auto"/>
        </w:rPr>
      </w:pPr>
    </w:p>
    <w:p>
      <w:pPr>
        <w:ind w:left="140" w:right="20" w:firstLine="458"/>
        <w:spacing w:after="0" w:line="254" w:lineRule="auto"/>
        <w:rPr>
          <w:sz w:val="20"/>
          <w:szCs w:val="20"/>
          <w:color w:val="auto"/>
        </w:rPr>
      </w:pPr>
      <w:r>
        <w:rPr>
          <w:rFonts w:ascii="Arial" w:cs="Arial" w:eastAsia="Arial" w:hAnsi="Arial"/>
          <w:sz w:val="16"/>
          <w:szCs w:val="16"/>
          <w:color w:val="auto"/>
        </w:rPr>
        <w:t>The information in this Annual Report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Trademarks</w:t>
      </w:r>
    </w:p>
    <w:p>
      <w:pPr>
        <w:spacing w:after="0" w:line="205" w:lineRule="exact"/>
        <w:rPr>
          <w:sz w:val="20"/>
          <w:szCs w:val="20"/>
          <w:color w:val="auto"/>
        </w:rPr>
      </w:pPr>
    </w:p>
    <w:p>
      <w:pPr>
        <w:ind w:left="140" w:right="80" w:firstLine="458"/>
        <w:spacing w:after="0" w:line="257" w:lineRule="auto"/>
        <w:rPr>
          <w:sz w:val="20"/>
          <w:szCs w:val="20"/>
          <w:color w:val="auto"/>
        </w:rPr>
      </w:pPr>
      <w:r>
        <w:rPr>
          <w:rFonts w:ascii="Arial" w:cs="Arial" w:eastAsia="Arial" w:hAnsi="Arial"/>
          <w:sz w:val="16"/>
          <w:szCs w:val="16"/>
          <w:color w:val="auto"/>
        </w:rPr>
        <w:t>All trademarks, trade names and service marks appearing in this Annual Report are the property of their respective owners. Solely for convenience, the trademarks and trade names in this Annual Report are referred to without the symbols ® and ™,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8" w:lineRule="exact"/>
        <w:rPr>
          <w:sz w:val="20"/>
          <w:szCs w:val="20"/>
          <w:color w:val="auto"/>
        </w:rPr>
      </w:pPr>
    </w:p>
    <w:p>
      <w:pPr>
        <w:ind w:left="140" w:right="20" w:firstLine="458"/>
        <w:spacing w:after="0" w:line="249"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8" w:lineRule="exact"/>
        <w:rPr>
          <w:sz w:val="20"/>
          <w:szCs w:val="20"/>
          <w:color w:val="auto"/>
        </w:rPr>
      </w:pPr>
    </w:p>
    <w:p>
      <w:pPr>
        <w:ind w:left="1020" w:right="10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9" w:lineRule="exact"/>
        <w:rPr>
          <w:rFonts w:ascii="Times New Roman" w:cs="Times New Roman" w:eastAsia="Times New Roman" w:hAnsi="Times New Roman"/>
          <w:sz w:val="16"/>
          <w:szCs w:val="16"/>
          <w:color w:val="auto"/>
        </w:rPr>
      </w:pPr>
    </w:p>
    <w:p>
      <w:pPr>
        <w:ind w:left="1020" w:right="4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49" w:lineRule="exact"/>
        <w:rPr>
          <w:rFonts w:ascii="Times New Roman" w:cs="Times New Roman" w:eastAsia="Times New Roman" w:hAnsi="Times New Roman"/>
          <w:sz w:val="16"/>
          <w:szCs w:val="16"/>
          <w:color w:val="auto"/>
        </w:rPr>
      </w:pPr>
    </w:p>
    <w:p>
      <w:pPr>
        <w:ind w:left="1020" w:right="14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49" w:lineRule="exact"/>
        <w:rPr>
          <w:rFonts w:ascii="Times New Roman" w:cs="Times New Roman" w:eastAsia="Times New Roman" w:hAnsi="Times New Roman"/>
          <w:sz w:val="16"/>
          <w:szCs w:val="16"/>
          <w:color w:val="auto"/>
        </w:rPr>
      </w:pPr>
    </w:p>
    <w:p>
      <w:pPr>
        <w:ind w:left="1020" w:right="4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49" w:lineRule="exact"/>
        <w:rPr>
          <w:rFonts w:ascii="Times New Roman" w:cs="Times New Roman" w:eastAsia="Times New Roman" w:hAnsi="Times New Roman"/>
          <w:sz w:val="16"/>
          <w:szCs w:val="16"/>
          <w:color w:val="auto"/>
        </w:rPr>
      </w:pPr>
    </w:p>
    <w:p>
      <w:pPr>
        <w:ind w:left="1020" w:right="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49" w:lineRule="exact"/>
        <w:rPr>
          <w:rFonts w:ascii="Times New Roman" w:cs="Times New Roman" w:eastAsia="Times New Roman" w:hAnsi="Times New Roman"/>
          <w:sz w:val="16"/>
          <w:szCs w:val="16"/>
          <w:color w:val="auto"/>
        </w:rPr>
      </w:pPr>
    </w:p>
    <w:p>
      <w:pPr>
        <w:ind w:left="1020" w:right="30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3" w:lineRule="exact"/>
        <w:rPr>
          <w:rFonts w:ascii="Times New Roman" w:cs="Times New Roman" w:eastAsia="Times New Roman" w:hAnsi="Times New Roman"/>
          <w:sz w:val="16"/>
          <w:szCs w:val="16"/>
          <w:color w:val="auto"/>
        </w:rPr>
      </w:pPr>
    </w:p>
    <w:p>
      <w:pPr>
        <w:ind w:left="1020" w:right="8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3" w:lineRule="exact"/>
        <w:rPr>
          <w:rFonts w:ascii="Times New Roman" w:cs="Times New Roman" w:eastAsia="Times New Roman" w:hAnsi="Times New Roman"/>
          <w:sz w:val="16"/>
          <w:szCs w:val="16"/>
          <w:color w:val="auto"/>
        </w:rPr>
      </w:pPr>
    </w:p>
    <w:p>
      <w:pPr>
        <w:ind w:left="1020" w:right="6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3" w:lineRule="exact"/>
        <w:rPr>
          <w:rFonts w:ascii="Times New Roman" w:cs="Times New Roman" w:eastAsia="Times New Roman" w:hAnsi="Times New Roman"/>
          <w:sz w:val="16"/>
          <w:szCs w:val="16"/>
          <w:color w:val="auto"/>
        </w:rPr>
      </w:pPr>
    </w:p>
    <w:p>
      <w:pPr>
        <w:ind w:left="102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9" w:lineRule="exact"/>
        <w:rPr>
          <w:rFonts w:ascii="Times New Roman" w:cs="Times New Roman" w:eastAsia="Times New Roman" w:hAnsi="Times New Roman"/>
          <w:sz w:val="16"/>
          <w:szCs w:val="16"/>
          <w:color w:val="auto"/>
        </w:rPr>
      </w:pPr>
    </w:p>
    <w:p>
      <w:pPr>
        <w:ind w:left="1020" w:right="56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3" w:lineRule="exact"/>
        <w:rPr>
          <w:rFonts w:ascii="Times New Roman" w:cs="Times New Roman" w:eastAsia="Times New Roman" w:hAnsi="Times New Roman"/>
          <w:sz w:val="16"/>
          <w:szCs w:val="16"/>
          <w:color w:val="auto"/>
        </w:rPr>
      </w:pPr>
    </w:p>
    <w:p>
      <w:pPr>
        <w:ind w:left="1020" w:right="40" w:hanging="504"/>
        <w:spacing w:after="0" w:line="282"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3" w:lineRule="exact"/>
        <w:rPr>
          <w:rFonts w:ascii="Times New Roman" w:cs="Times New Roman" w:eastAsia="Times New Roman" w:hAnsi="Times New Roman"/>
          <w:sz w:val="16"/>
          <w:szCs w:val="16"/>
          <w:color w:val="auto"/>
        </w:rPr>
      </w:pPr>
    </w:p>
    <w:p>
      <w:pPr>
        <w:ind w:left="1020" w:right="80" w:hanging="504"/>
        <w:spacing w:after="0" w:line="282"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 and</w:t>
      </w:r>
    </w:p>
    <w:p>
      <w:pPr>
        <w:spacing w:after="0" w:line="123" w:lineRule="exact"/>
        <w:rPr>
          <w:rFonts w:ascii="Times New Roman" w:cs="Times New Roman" w:eastAsia="Times New Roman" w:hAnsi="Times New Roman"/>
          <w:sz w:val="16"/>
          <w:szCs w:val="16"/>
          <w:color w:val="auto"/>
        </w:rPr>
      </w:pPr>
    </w:p>
    <w:p>
      <w:pPr>
        <w:ind w:left="1020" w:right="120" w:hanging="504"/>
        <w:spacing w:after="0" w:line="282"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 and the Hamas attack against Israel and the ensuing war.</w:t>
      </w:r>
    </w:p>
    <w:p>
      <w:pPr>
        <w:spacing w:after="0" w:line="157" w:lineRule="exact"/>
        <w:rPr>
          <w:sz w:val="20"/>
          <w:szCs w:val="20"/>
          <w:color w:val="auto"/>
        </w:rPr>
      </w:pPr>
    </w:p>
    <w:p>
      <w:pPr>
        <w:ind w:left="140" w:right="120" w:firstLine="458"/>
        <w:spacing w:after="0" w:line="250" w:lineRule="auto"/>
        <w:rPr>
          <w:sz w:val="20"/>
          <w:szCs w:val="20"/>
          <w:color w:val="auto"/>
        </w:rPr>
      </w:pPr>
      <w:r>
        <w:rPr>
          <w:rFonts w:ascii="Arial" w:cs="Arial" w:eastAsia="Arial" w:hAnsi="Arial"/>
          <w:sz w:val="16"/>
          <w:szCs w:val="16"/>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83" w:lineRule="exact"/>
        <w:rPr>
          <w:sz w:val="20"/>
          <w:szCs w:val="20"/>
          <w:color w:val="auto"/>
        </w:rPr>
      </w:pPr>
    </w:p>
    <w:p>
      <w:pPr>
        <w:ind w:left="140" w:right="40" w:firstLine="458"/>
        <w:spacing w:after="0" w:line="254"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ind w:left="140" w:right="240" w:firstLine="458"/>
        <w:spacing w:after="0" w:line="264"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ENFORCEABILITY OF JUDGMENTS</w:t>
      </w:r>
    </w:p>
    <w:p>
      <w:pPr>
        <w:spacing w:after="0" w:line="218" w:lineRule="exact"/>
        <w:rPr>
          <w:sz w:val="20"/>
          <w:szCs w:val="20"/>
          <w:color w:val="auto"/>
        </w:rPr>
      </w:pPr>
    </w:p>
    <w:p>
      <w:pPr>
        <w:ind w:left="140" w:right="340" w:firstLine="458"/>
        <w:spacing w:after="0" w:line="264"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Arial" w:cs="Arial" w:eastAsia="Arial" w:hAnsi="Arial"/>
          <w:sz w:val="16"/>
          <w:szCs w:val="16"/>
          <w:i w:val="1"/>
          <w:iCs w:val="1"/>
          <w:color w:val="auto"/>
        </w:rPr>
        <w:t>functionarissen</w:t>
      </w:r>
      <w:r>
        <w:rPr>
          <w:rFonts w:ascii="Arial" w:cs="Arial" w:eastAsia="Arial" w:hAnsi="Arial"/>
          <w:sz w:val="16"/>
          <w:szCs w:val="16"/>
          <w:color w:val="auto"/>
        </w:rPr>
        <w:t>) (including our directors and executive officers) are governed in certain respects by the laws of the Netherlands.</w:t>
      </w:r>
    </w:p>
    <w:p>
      <w:pPr>
        <w:spacing w:after="0" w:line="170" w:lineRule="exact"/>
        <w:rPr>
          <w:sz w:val="20"/>
          <w:szCs w:val="20"/>
          <w:color w:val="auto"/>
        </w:rPr>
      </w:pPr>
    </w:p>
    <w:p>
      <w:pPr>
        <w:ind w:left="140" w:right="180" w:firstLine="458"/>
        <w:spacing w:after="0" w:line="257"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7" w:lineRule="exact"/>
        <w:rPr>
          <w:sz w:val="20"/>
          <w:szCs w:val="20"/>
          <w:color w:val="auto"/>
        </w:rPr>
      </w:pPr>
    </w:p>
    <w:p>
      <w:pPr>
        <w:ind w:left="140" w:right="80" w:firstLine="458"/>
        <w:spacing w:after="0" w:line="283"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left="140" w:firstLine="458"/>
        <w:spacing w:after="0" w:line="247"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United States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8" w:lineRule="exact"/>
        <w:rPr>
          <w:sz w:val="20"/>
          <w:szCs w:val="20"/>
          <w:color w:val="auto"/>
        </w:rPr>
      </w:pPr>
    </w:p>
    <w:p>
      <w:pPr>
        <w:ind w:left="140" w:right="180" w:firstLine="458"/>
        <w:spacing w:after="0" w:line="283"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jc w:val="both"/>
        <w:ind w:left="140"/>
        <w:spacing w:after="0" w:line="264" w:lineRule="auto"/>
        <w:rPr>
          <w:sz w:val="20"/>
          <w:szCs w:val="20"/>
          <w:color w:val="auto"/>
        </w:rPr>
      </w:pPr>
      <w:r>
        <w:rPr>
          <w:rFonts w:ascii="Arial" w:cs="Arial" w:eastAsia="Arial" w:hAnsi="Arial"/>
          <w:sz w:val="16"/>
          <w:szCs w:val="16"/>
          <w:color w:val="auto"/>
        </w:rPr>
        <w:t>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18" w:lineRule="exact"/>
        <w:rPr>
          <w:sz w:val="20"/>
          <w:szCs w:val="20"/>
          <w:color w:val="auto"/>
        </w:rPr>
      </w:pPr>
    </w:p>
    <w:p>
      <w:pPr>
        <w:ind w:left="900" w:hanging="429"/>
        <w:spacing w:after="0"/>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Advisers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Auditors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18" w:lineRule="exact"/>
        <w:rPr>
          <w:sz w:val="20"/>
          <w:szCs w:val="20"/>
          <w:color w:val="auto"/>
        </w:rPr>
      </w:pPr>
    </w:p>
    <w:p>
      <w:pPr>
        <w:ind w:left="900" w:hanging="429"/>
        <w:spacing w:after="0"/>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Offer statistics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Method and expected timetable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3. KEY INFORMATION</w:t>
      </w:r>
    </w:p>
    <w:p>
      <w:pPr>
        <w:spacing w:after="0" w:line="218" w:lineRule="exact"/>
        <w:rPr>
          <w:sz w:val="20"/>
          <w:szCs w:val="20"/>
          <w:color w:val="auto"/>
        </w:rPr>
      </w:pPr>
    </w:p>
    <w:p>
      <w:pPr>
        <w:ind w:left="900" w:hanging="429"/>
        <w:spacing w:after="0"/>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325" w:lineRule="exact"/>
        <w:rPr>
          <w:rFonts w:ascii="Arial" w:cs="Arial" w:eastAsia="Arial" w:hAnsi="Arial"/>
          <w:sz w:val="16"/>
          <w:szCs w:val="16"/>
          <w:b w:val="1"/>
          <w:bCs w:val="1"/>
          <w:color w:val="auto"/>
        </w:rPr>
      </w:pPr>
    </w:p>
    <w:p>
      <w:pPr>
        <w:ind w:left="900" w:hanging="429"/>
        <w:spacing w:after="0"/>
        <w:tabs>
          <w:tab w:leader="none" w:pos="9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Reasons for the offer and use of proceeds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900" w:hanging="429"/>
        <w:spacing w:after="0"/>
        <w:tabs>
          <w:tab w:leader="none" w:pos="9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1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Summary Risk Factors</w:t>
      </w:r>
    </w:p>
    <w:p>
      <w:pPr>
        <w:spacing w:after="0" w:line="109" w:lineRule="exact"/>
        <w:rPr>
          <w:sz w:val="20"/>
          <w:szCs w:val="20"/>
          <w:color w:val="auto"/>
        </w:rPr>
      </w:pPr>
    </w:p>
    <w:p>
      <w:pPr>
        <w:ind w:left="900" w:right="120" w:hanging="429"/>
        <w:spacing w:after="0" w:line="263"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4" w:lineRule="exact"/>
        <w:rPr>
          <w:rFonts w:ascii="Times New Roman" w:cs="Times New Roman" w:eastAsia="Times New Roman" w:hAnsi="Times New Roman"/>
          <w:sz w:val="16"/>
          <w:szCs w:val="16"/>
          <w:color w:val="auto"/>
        </w:rPr>
      </w:pPr>
    </w:p>
    <w:p>
      <w:pPr>
        <w:ind w:left="900" w:right="420" w:hanging="429"/>
        <w:spacing w:after="0" w:line="282"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9" w:lineRule="exact"/>
        <w:rPr>
          <w:rFonts w:ascii="Times New Roman" w:cs="Times New Roman" w:eastAsia="Times New Roman" w:hAnsi="Times New Roman"/>
          <w:sz w:val="16"/>
          <w:szCs w:val="16"/>
          <w:color w:val="auto"/>
        </w:rPr>
      </w:pPr>
    </w:p>
    <w:p>
      <w:pPr>
        <w:ind w:left="900" w:right="300" w:hanging="429"/>
        <w:spacing w:after="0" w:line="263"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such as the COVID-19 pandemic and political instability such as the current conflict between Russia and Ukraine and the Hamas attack against Israel and the ensuing war.</w:t>
      </w:r>
    </w:p>
    <w:p>
      <w:pPr>
        <w:spacing w:after="0" w:line="64" w:lineRule="exact"/>
        <w:rPr>
          <w:rFonts w:ascii="Times New Roman" w:cs="Times New Roman" w:eastAsia="Times New Roman" w:hAnsi="Times New Roman"/>
          <w:sz w:val="16"/>
          <w:szCs w:val="16"/>
          <w:color w:val="auto"/>
        </w:rPr>
      </w:pPr>
    </w:p>
    <w:p>
      <w:pPr>
        <w:ind w:left="900" w:right="60" w:hanging="429"/>
        <w:spacing w:after="0" w:line="251" w:lineRule="auto"/>
        <w:tabs>
          <w:tab w:leader="none" w:pos="90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PHVS416 and PHVS719, which are in late-stage development. We have released topline data from our RAPIDe-1 study demonstrating efficacy in our Phase 2 clinical trial for treatment of HAE attacks on demand using deucrictibant immediate-release (PHVS416) and topline data from our CHAPTER-1 study demonstrating efficacy in our Phase 2 clinical trial of deucrictibant for the prophylactic treatment of HAE attacks.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489585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46" w:lineRule="exact"/>
        <w:rPr>
          <w:sz w:val="20"/>
          <w:szCs w:val="20"/>
          <w:color w:val="auto"/>
        </w:rPr>
      </w:pPr>
    </w:p>
    <w:p>
      <w:pPr>
        <w:ind w:left="900" w:hanging="429"/>
        <w:spacing w:after="0" w:line="251"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3" w:lineRule="exact"/>
        <w:rPr>
          <w:rFonts w:ascii="Times New Roman" w:cs="Times New Roman" w:eastAsia="Times New Roman" w:hAnsi="Times New Roman"/>
          <w:sz w:val="16"/>
          <w:szCs w:val="16"/>
          <w:color w:val="auto"/>
        </w:rPr>
      </w:pPr>
    </w:p>
    <w:p>
      <w:pPr>
        <w:ind w:left="900" w:right="100" w:hanging="429"/>
        <w:spacing w:after="0" w:line="257"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9"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3" w:lineRule="exact"/>
        <w:rPr>
          <w:rFonts w:ascii="Times New Roman" w:cs="Times New Roman" w:eastAsia="Times New Roman" w:hAnsi="Times New Roman"/>
          <w:sz w:val="16"/>
          <w:szCs w:val="16"/>
          <w:color w:val="auto"/>
        </w:rPr>
      </w:pPr>
    </w:p>
    <w:p>
      <w:pPr>
        <w:ind w:left="900" w:right="8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4" w:lineRule="exact"/>
        <w:rPr>
          <w:rFonts w:ascii="Times New Roman" w:cs="Times New Roman" w:eastAsia="Times New Roman" w:hAnsi="Times New Roman"/>
          <w:sz w:val="16"/>
          <w:szCs w:val="16"/>
          <w:color w:val="auto"/>
        </w:rPr>
      </w:pPr>
    </w:p>
    <w:p>
      <w:pPr>
        <w:ind w:left="900" w:right="28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9" w:lineRule="exact"/>
        <w:rPr>
          <w:rFonts w:ascii="Times New Roman" w:cs="Times New Roman" w:eastAsia="Times New Roman" w:hAnsi="Times New Roman"/>
          <w:sz w:val="16"/>
          <w:szCs w:val="16"/>
          <w:color w:val="auto"/>
        </w:rPr>
      </w:pPr>
    </w:p>
    <w:p>
      <w:pPr>
        <w:ind w:left="90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9" w:lineRule="exact"/>
        <w:rPr>
          <w:rFonts w:ascii="Times New Roman" w:cs="Times New Roman" w:eastAsia="Times New Roman" w:hAnsi="Times New Roman"/>
          <w:sz w:val="16"/>
          <w:szCs w:val="16"/>
          <w:color w:val="auto"/>
        </w:rPr>
      </w:pPr>
    </w:p>
    <w:p>
      <w:pPr>
        <w:ind w:left="900" w:right="124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49" w:lineRule="exact"/>
        <w:rPr>
          <w:rFonts w:ascii="Times New Roman" w:cs="Times New Roman" w:eastAsia="Times New Roman" w:hAnsi="Times New Roman"/>
          <w:sz w:val="16"/>
          <w:szCs w:val="16"/>
          <w:color w:val="auto"/>
        </w:rPr>
      </w:pPr>
    </w:p>
    <w:p>
      <w:pPr>
        <w:ind w:left="900" w:right="16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4" w:lineRule="exact"/>
        <w:rPr>
          <w:rFonts w:ascii="Times New Roman" w:cs="Times New Roman" w:eastAsia="Times New Roman" w:hAnsi="Times New Roman"/>
          <w:sz w:val="16"/>
          <w:szCs w:val="16"/>
          <w:color w:val="auto"/>
        </w:rPr>
      </w:pPr>
    </w:p>
    <w:p>
      <w:pPr>
        <w:ind w:left="900" w:right="780" w:hanging="429"/>
        <w:spacing w:after="0" w:line="282"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9" w:lineRule="exact"/>
        <w:rPr>
          <w:rFonts w:ascii="Times New Roman" w:cs="Times New Roman" w:eastAsia="Times New Roman" w:hAnsi="Times New Roman"/>
          <w:sz w:val="16"/>
          <w:szCs w:val="16"/>
          <w:color w:val="auto"/>
        </w:rPr>
      </w:pPr>
    </w:p>
    <w:p>
      <w:pPr>
        <w:ind w:left="900" w:right="6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4" w:lineRule="exact"/>
        <w:rPr>
          <w:rFonts w:ascii="Times New Roman" w:cs="Times New Roman" w:eastAsia="Times New Roman" w:hAnsi="Times New Roman"/>
          <w:sz w:val="16"/>
          <w:szCs w:val="16"/>
          <w:color w:val="auto"/>
        </w:rPr>
      </w:pPr>
    </w:p>
    <w:p>
      <w:pPr>
        <w:ind w:left="900" w:right="40" w:hanging="429"/>
        <w:spacing w:after="0" w:line="254"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 Our competitors may seek or may have already obtained patents that will limit, interfere with or eliminate our ability to make, use, sell, import or otherwise exploit our product candidates, processes or other technologies.</w:t>
      </w:r>
    </w:p>
    <w:p>
      <w:pPr>
        <w:spacing w:after="0" w:line="71" w:lineRule="exact"/>
        <w:rPr>
          <w:rFonts w:ascii="Times New Roman" w:cs="Times New Roman" w:eastAsia="Times New Roman" w:hAnsi="Times New Roman"/>
          <w:sz w:val="16"/>
          <w:szCs w:val="16"/>
          <w:color w:val="auto"/>
        </w:rPr>
      </w:pPr>
    </w:p>
    <w:p>
      <w:pPr>
        <w:ind w:left="900" w:right="120" w:hanging="429"/>
        <w:spacing w:after="0" w:line="263" w:lineRule="auto"/>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180" w:hanging="429"/>
        <w:spacing w:after="0" w:line="282" w:lineRule="auto"/>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9"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218" w:lineRule="exact"/>
        <w:rPr>
          <w:sz w:val="20"/>
          <w:szCs w:val="20"/>
          <w:color w:val="auto"/>
        </w:rPr>
      </w:pPr>
    </w:p>
    <w:p>
      <w:pPr>
        <w:ind w:firstLine="458"/>
        <w:spacing w:after="0" w:line="268"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59"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3" w:lineRule="exact"/>
        <w:rPr>
          <w:rFonts w:ascii="Times New Roman" w:cs="Times New Roman" w:eastAsia="Times New Roman" w:hAnsi="Times New Roman"/>
          <w:sz w:val="16"/>
          <w:szCs w:val="16"/>
          <w:color w:val="auto"/>
        </w:rPr>
      </w:pPr>
    </w:p>
    <w:p>
      <w:pPr>
        <w:ind w:left="900" w:right="320" w:hanging="429"/>
        <w:spacing w:after="0" w:line="282" w:lineRule="auto"/>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85" w:lineRule="exact"/>
        <w:rPr>
          <w:sz w:val="20"/>
          <w:szCs w:val="20"/>
          <w:color w:val="auto"/>
        </w:rPr>
      </w:pPr>
    </w:p>
    <w:p>
      <w:pPr>
        <w:jc w:val="both"/>
        <w:ind w:left="460"/>
        <w:spacing w:after="0" w:line="268"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5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 w:firstLine="458"/>
        <w:spacing w:after="0" w:line="283"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236" w:lineRule="exact"/>
        <w:rPr>
          <w:sz w:val="20"/>
          <w:szCs w:val="20"/>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3" w:lineRule="exact"/>
        <w:rPr>
          <w:rFonts w:ascii="Times New Roman" w:cs="Times New Roman" w:eastAsia="Times New Roman" w:hAnsi="Times New Roman"/>
          <w:sz w:val="16"/>
          <w:szCs w:val="16"/>
          <w:color w:val="auto"/>
        </w:rPr>
      </w:pPr>
    </w:p>
    <w:p>
      <w:pPr>
        <w:ind w:left="900" w:right="480" w:hanging="429"/>
        <w:spacing w:after="0" w:line="282"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Contract Research Organizations ("CROs") that are assisting with our sponsored clinical trials, and other research and development activities;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3" w:lineRule="exact"/>
        <w:rPr>
          <w:rFonts w:ascii="Times New Roman" w:cs="Times New Roman" w:eastAsia="Times New Roman" w:hAnsi="Times New Roman"/>
          <w:sz w:val="16"/>
          <w:szCs w:val="16"/>
          <w:color w:val="auto"/>
        </w:rPr>
      </w:pPr>
    </w:p>
    <w:p>
      <w:pPr>
        <w:ind w:left="900" w:right="660" w:hanging="429"/>
        <w:spacing w:after="0" w:line="282"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1"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84" w:lineRule="exact"/>
        <w:rPr>
          <w:sz w:val="20"/>
          <w:szCs w:val="20"/>
          <w:color w:val="auto"/>
        </w:rPr>
      </w:pPr>
    </w:p>
    <w:p>
      <w:pPr>
        <w:ind w:left="460" w:right="280"/>
        <w:spacing w:after="0" w:line="291"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2"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have and may continue to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6"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pacing w:after="0" w:line="373" w:lineRule="exact"/>
        <w:rPr>
          <w:sz w:val="20"/>
          <w:szCs w:val="20"/>
          <w:color w:val="auto"/>
        </w:rPr>
      </w:pPr>
    </w:p>
    <w:p>
      <w:pPr>
        <w:ind w:left="460" w:right="380"/>
        <w:spacing w:after="0" w:line="29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w:t>
      </w:r>
    </w:p>
    <w:p>
      <w:pPr>
        <w:sectPr>
          <w:pgSz w:w="11900" w:h="16838" w:orient="portrait"/>
          <w:cols w:equalWidth="0" w:num="1">
            <w:col w:w="11220"/>
          </w:cols>
          <w:pgMar w:left="320" w:top="769" w:right="35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489585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42"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the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and to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as of and for the fiscal year ended December 31, 2023,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8" w:lineRule="exact"/>
        <w:rPr>
          <w:sz w:val="20"/>
          <w:szCs w:val="20"/>
          <w:color w:val="auto"/>
        </w:rPr>
      </w:pPr>
    </w:p>
    <w:p>
      <w:pPr>
        <w:ind w:left="900" w:right="140" w:hanging="429"/>
        <w:spacing w:after="0" w:line="263"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4" w:lineRule="exact"/>
        <w:rPr>
          <w:rFonts w:ascii="Times New Roman" w:cs="Times New Roman" w:eastAsia="Times New Roman" w:hAnsi="Times New Roman"/>
          <w:sz w:val="16"/>
          <w:szCs w:val="16"/>
          <w:color w:val="auto"/>
        </w:rPr>
      </w:pPr>
    </w:p>
    <w:p>
      <w:pPr>
        <w:ind w:left="900" w:right="220" w:hanging="429"/>
        <w:spacing w:after="0" w:line="254"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us maintaining sufficient personnel commensurate with our accounting and reporting requirements, and our ability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7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 During fiscal year 2023, we developed and implemented a remediation plan to address the material weaknesses identified in previous years. The remediation actions implemented during fiscal year 2023 mainly addressed the general setup for an Internal Control Over Financial Reporting system in (i) improving the composition and expertise of accounting and financial reporting personnel; (ii) further developing and documenting our scoping of key processes and risk and control matrices; (iii) finalizing our drafted formal policies on our internal controls system; (iv) implementing a new accounting system throughout fiscal year 2023 that became operational starting January 2024 which is improving the IT general controls environment, increasing the number of application controls and reducing the manual nature of execution of key controls throughout significant business processes; (v) developing a risk management policy to set out the processes, methods, and tools used to manage the risks within the Company and a risk inventory to grade the consequences and likelihood of occurrence of each risk and (vi) developing awareness and training plans for risk and control owners.</w:t>
      </w:r>
    </w:p>
    <w:p>
      <w:pPr>
        <w:spacing w:after="0" w:line="188"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81"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However, our independent registered public accounting firm was not required to attest to the effectiveness of our internal control over financial reporting and will not be so required for as long as we are an “emerging growth company” under the JOBS Act. We could be an “emerging growth company” until December 31, 2026 (the last day of our fiscal year following the fifth anniversary of our initial public offering in February 2021) although depending on certain conditions related to our market capitalization and free float, we may lose "emerging growth company" status in 2024.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be also subject to sanctions or investigations by Nasdaq, the SEC or other regulatory authorities.</w:t>
      </w:r>
    </w:p>
    <w:p>
      <w:pPr>
        <w:spacing w:after="0" w:line="220" w:lineRule="exact"/>
        <w:rPr>
          <w:sz w:val="20"/>
          <w:szCs w:val="20"/>
          <w:color w:val="auto"/>
        </w:rPr>
      </w:pPr>
    </w:p>
    <w:p>
      <w:pPr>
        <w:ind w:left="460" w:right="660"/>
        <w:spacing w:after="0" w:line="291"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2"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depends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83"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81"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0"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 xml:space="preserve">On December 20, 2021, the OECD published the Global Anti-Base Erosion Model Rules (the "GloBE Rules </w:t>
      </w:r>
      <w:r>
        <w:rPr>
          <w:rFonts w:ascii="Arial" w:cs="Arial" w:eastAsia="Arial" w:hAnsi="Arial"/>
          <w:sz w:val="16"/>
          <w:szCs w:val="16"/>
          <w:b w:val="1"/>
          <w:bCs w:val="1"/>
          <w:color w:val="auto"/>
        </w:rPr>
        <w:t>"</w:t>
      </w:r>
      <w:r>
        <w:rPr>
          <w:rFonts w:ascii="Arial" w:cs="Arial" w:eastAsia="Arial" w:hAnsi="Arial"/>
          <w:sz w:val="16"/>
          <w:szCs w:val="16"/>
          <w:color w:val="auto"/>
        </w:rPr>
        <w:t>), also known as Pillar II. The GloBE Rules aim to impose a global minimum tax of 15% on multinational enterprises with a revenue in excess of €750 million. On December 22, 2021, the European Commission published a legislative proposal for Pillar II (the "EU Pillar II Directive</w:t>
      </w:r>
      <w:r>
        <w:rPr>
          <w:rFonts w:ascii="Arial" w:cs="Arial" w:eastAsia="Arial" w:hAnsi="Arial"/>
          <w:sz w:val="16"/>
          <w:szCs w:val="16"/>
          <w:b w:val="1"/>
          <w:bCs w:val="1"/>
          <w:color w:val="auto"/>
        </w:rPr>
        <w:t>"</w:t>
      </w:r>
      <w:r>
        <w:rPr>
          <w:rFonts w:ascii="Arial" w:cs="Arial" w:eastAsia="Arial" w:hAnsi="Arial"/>
          <w:sz w:val="16"/>
          <w:szCs w:val="16"/>
          <w:color w:val="auto"/>
        </w:rPr>
        <w:t>). The EU Pillar II Directive is largely aligned with the GloBE Rules. Some deviations were introduced to ensure compliance with EU treaties.</w:t>
      </w:r>
    </w:p>
    <w:p>
      <w:pPr>
        <w:spacing w:after="0" w:line="17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 xml:space="preserve">On December 15, 2022, the Council of the European Union formally adopted the EU Pillar II Directive. The EU Pillar II Directive aims at consistently implementing among all 27 member states the GloBE Rules. EU Member States had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transpose the EU Pillar II Directive into their national laws and will have to apply the Pillar II measures in respect of the fiscal years beginning on or after December 31, 2023. The Netherlands have transposed the EU Pillar II Directive into its national legislation with effect from December 31, 2023, pursuant to the Dutch Minimum Tax Act 2024 (Wet minimumbelasting 2024).</w:t>
      </w:r>
    </w:p>
    <w:p>
      <w:pPr>
        <w:spacing w:after="0" w:line="179" w:lineRule="exact"/>
        <w:rPr>
          <w:sz w:val="20"/>
          <w:szCs w:val="20"/>
          <w:color w:val="auto"/>
        </w:rPr>
      </w:pPr>
    </w:p>
    <w:p>
      <w:pPr>
        <w:ind w:right="180" w:firstLine="458"/>
        <w:spacing w:after="0" w:line="264" w:lineRule="auto"/>
        <w:rPr>
          <w:sz w:val="20"/>
          <w:szCs w:val="20"/>
          <w:color w:val="auto"/>
        </w:rPr>
      </w:pPr>
      <w:r>
        <w:rPr>
          <w:rFonts w:ascii="Arial" w:cs="Arial" w:eastAsia="Arial" w:hAnsi="Arial"/>
          <w:sz w:val="16"/>
          <w:szCs w:val="16"/>
          <w:color w:val="auto"/>
        </w:rPr>
        <w:t>We do not yet meet the revenue threshold for Pillar II of €750 million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18" w:lineRule="exact"/>
        <w:rPr>
          <w:sz w:val="20"/>
          <w:szCs w:val="20"/>
          <w:color w:val="auto"/>
        </w:rPr>
      </w:pPr>
    </w:p>
    <w:p>
      <w:pPr>
        <w:ind w:left="520"/>
        <w:spacing w:after="0" w:line="252"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recently lifted clinical holds.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174"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 While the clinical hold was lifted, there can be no assurance that we will not</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489585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encounter similar challenges or delays in the future or that these delays or challenges will not have a material adverse impact on our business, financial condition, results of operation and prospects.</w:t>
      </w:r>
    </w:p>
    <w:p>
      <w:pPr>
        <w:spacing w:after="0" w:line="156"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60" w:lineRule="exact"/>
        <w:rPr>
          <w:sz w:val="20"/>
          <w:szCs w:val="20"/>
          <w:color w:val="auto"/>
        </w:rPr>
      </w:pPr>
    </w:p>
    <w:p>
      <w:pPr>
        <w:jc w:val="both"/>
        <w:ind w:left="1020" w:right="380" w:hanging="504"/>
        <w:spacing w:after="0" w:line="263"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PHVS416 and PHVS719 programs and designs for improving the efficiency of our clinical development path;</w:t>
      </w:r>
    </w:p>
    <w:p>
      <w:pPr>
        <w:spacing w:after="0" w:line="6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w:t>
      </w:r>
    </w:p>
    <w:p>
      <w:pPr>
        <w:spacing w:after="0" w:line="28" w:lineRule="exact"/>
        <w:rPr>
          <w:rFonts w:ascii="Times New Roman" w:cs="Times New Roman" w:eastAsia="Times New Roman" w:hAnsi="Times New Roman"/>
          <w:sz w:val="16"/>
          <w:szCs w:val="16"/>
          <w:color w:val="auto"/>
        </w:rPr>
      </w:pPr>
    </w:p>
    <w:p>
      <w:pPr>
        <w:ind w:left="1020" w:right="400"/>
        <w:spacing w:after="0" w:line="268" w:lineRule="auto"/>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 pandemics such as the COVID-19 pandemic, </w:t>
      </w:r>
      <w:r>
        <w:rPr>
          <w:rFonts w:ascii="Times New Roman" w:cs="Times New Roman" w:eastAsia="Times New Roman" w:hAnsi="Times New Roman"/>
          <w:sz w:val="17"/>
          <w:szCs w:val="17"/>
          <w:color w:val="auto"/>
        </w:rPr>
        <w:t>(ii)</w:t>
      </w:r>
      <w:r>
        <w:rPr>
          <w:rFonts w:ascii="Arial" w:cs="Arial" w:eastAsia="Arial" w:hAnsi="Arial"/>
          <w:sz w:val="16"/>
          <w:szCs w:val="16"/>
          <w:color w:val="auto"/>
        </w:rPr>
        <w:t xml:space="preserve"> the escalation of the ongoing conflict between Russia and Ukraine and (iii) the Hamas attack against Israel and the ensuing war;</w:t>
      </w:r>
    </w:p>
    <w:p>
      <w:pPr>
        <w:spacing w:after="0" w:line="58" w:lineRule="exact"/>
        <w:rPr>
          <w:rFonts w:ascii="Times New Roman" w:cs="Times New Roman" w:eastAsia="Times New Roman" w:hAnsi="Times New Roman"/>
          <w:sz w:val="16"/>
          <w:szCs w:val="16"/>
          <w:color w:val="auto"/>
        </w:rPr>
      </w:pPr>
    </w:p>
    <w:p>
      <w:pPr>
        <w:ind w:left="1020" w:right="100" w:hanging="504"/>
        <w:spacing w:after="0" w:line="282"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(i) pandemics such as the COVID-19 pandemic, (ii) the escalation of the ongoing conflict between Russia and Ukraine and (iii) the Hamas attack against Israel and the ensuing war;</w:t>
      </w:r>
    </w:p>
    <w:p>
      <w:pPr>
        <w:spacing w:after="0" w:line="49"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3" w:lineRule="exact"/>
        <w:rPr>
          <w:rFonts w:ascii="Times New Roman" w:cs="Times New Roman" w:eastAsia="Times New Roman" w:hAnsi="Times New Roman"/>
          <w:sz w:val="16"/>
          <w:szCs w:val="16"/>
          <w:color w:val="auto"/>
        </w:rPr>
      </w:pPr>
    </w:p>
    <w:p>
      <w:pPr>
        <w:ind w:left="1020" w:right="160" w:hanging="504"/>
        <w:spacing w:after="0" w:line="282"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9" w:lineRule="exact"/>
        <w:rPr>
          <w:rFonts w:ascii="Times New Roman" w:cs="Times New Roman" w:eastAsia="Times New Roman" w:hAnsi="Times New Roman"/>
          <w:sz w:val="16"/>
          <w:szCs w:val="16"/>
          <w:color w:val="auto"/>
        </w:rPr>
      </w:pPr>
    </w:p>
    <w:p>
      <w:pPr>
        <w:ind w:left="1020" w:right="40" w:hanging="504"/>
        <w:spacing w:after="0" w:line="282"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57"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patients at sites in other countries, we may not be able to complete clinical trials on our anticipated timelines.</w:t>
      </w:r>
    </w:p>
    <w:p>
      <w:pPr>
        <w:spacing w:after="0" w:line="15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180" w:firstLine="458"/>
        <w:spacing w:after="0" w:line="264"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any of our clinical trials are put on clinical hold or terminated, we may incur increased costs or be unable to continue development of deucrictibant, including our product candidates PHVS416 and PHVS719, which could have a material adverse effect on our business, financial condition, results of operations and prospects.</w:t>
      </w:r>
    </w:p>
    <w:p>
      <w:pPr>
        <w:spacing w:after="0" w:line="172" w:lineRule="exact"/>
        <w:rPr>
          <w:sz w:val="20"/>
          <w:szCs w:val="20"/>
          <w:color w:val="auto"/>
        </w:rPr>
      </w:pPr>
    </w:p>
    <w:p>
      <w:pPr>
        <w:ind w:left="520" w:right="100"/>
        <w:spacing w:after="0" w:line="254"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PHVS416 and PHVS719, which are in late-stage development. We have released topline data from our RAPIDe-1 study demonstrating efficacy in our Phase 2 clinical trial for treatment of HAE attacks on demand using deucrictibant immediate-release (PHVS416) and topline data from our CHAPTER-1 study demonstrating efficacy in our Phase 2 clinical trial of deucrictibant for the prophylactic treatment of HAE attacks. We cannot give any assurance that either product candidate, or any other compounds in development, will successfully complete clinical trials, receive regulatory approval, be commercialized, or be differentiated in the market. If we are unable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520" w:right="480"/>
        <w:spacing w:after="0" w:line="291" w:lineRule="auto"/>
        <w:rPr>
          <w:sz w:val="20"/>
          <w:szCs w:val="20"/>
          <w:color w:val="auto"/>
        </w:rPr>
      </w:pPr>
      <w:r>
        <w:rPr>
          <w:rFonts w:ascii="Arial" w:cs="Arial" w:eastAsia="Arial" w:hAnsi="Arial"/>
          <w:sz w:val="16"/>
          <w:szCs w:val="16"/>
          <w:b w:val="1"/>
          <w:bCs w:val="1"/>
          <w:i w:val="1"/>
          <w:iCs w:val="1"/>
          <w:color w:val="auto"/>
        </w:rPr>
        <w:t>to successfully commercialize our product candidates, or experience significant delays in doing so, our business, financial condition, results of operations and prospects would be materially adversely affected.</w:t>
      </w:r>
    </w:p>
    <w:p>
      <w:pPr>
        <w:spacing w:after="0" w:line="115" w:lineRule="exact"/>
        <w:rPr>
          <w:sz w:val="20"/>
          <w:szCs w:val="20"/>
          <w:color w:val="auto"/>
        </w:rPr>
      </w:pPr>
    </w:p>
    <w:p>
      <w:pPr>
        <w:ind w:right="20" w:firstLine="464"/>
        <w:spacing w:after="0" w:line="248"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To date we have data from preclinical studies, Phase 1 clinical trials in healthy volunteers, and Phase 2 trials in people living with HAE of deucrictibant in both treatment and prophylaxis of HAE attacks. However, we have not conducted a head-to-head comparison of icatibant or any other drug candidate to deucrictibant in a clinical trial. We have compared the published data for icatibant to data from our Phase 1 clinical trial of deucrictibant and Phase 2 trial of PHVS416 (RAPIDe-1).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PHVS416 and PHVS719 has been and will continue to be a time-consuming and costly process and may leave us with insufficient resources to advance other programs and product candidates. We cannot be certain that any deucrictibant-containing product candidate, including PHVS416 and PHVS719, will receive regulatory approval or be successfully commercialized, even if we receive regulatory approval.</w:t>
      </w:r>
    </w:p>
    <w:p>
      <w:pPr>
        <w:spacing w:after="0" w:line="185"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9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spacing w:after="0" w:line="268"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such as the COVID-19 pandemic, and political instability, such as the conflict between Russia and Ukraine and the Hamas attack against Israel and the ensuing war.</w:t>
      </w:r>
    </w:p>
    <w:p>
      <w:pPr>
        <w:spacing w:after="0" w:line="159"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spread of variants of infectious diseases, such as the COVID-19 virus, may interrupt, or delay, our clinical trial activities, regulatory reviews, manufacturing activities and supply chain. Infectious disease pandemics may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we experienced an approximate two-month delay in starting the enrollment of our now completed Phase 1 multiple ascending dose study of deucrictibant in healthy volunteers as a result of COVID-19.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6"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Moreover, unforeseen global events, such as the armed conflict between Russia and Ukraine and the Hamas attack against Israel and the ensuing war, could adversely impact our business and operations. The invasion of Ukraine and the Hamas attack against Israel and the retaliatory measures that have been taken, or could be taken in the future, by the United States, NATO, and other countries have created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global security concerns that could result in regional conflicts and also adversely affect our ability to conduct ongoing and future clinical trials of our product candidates. For example, our studies include a significant number of patients in Germany, Poland and Bulgaria, and we have a patient in Israel. A further escalation of the conflict in Ukraine and the Middle-East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83"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b w:val="1"/>
          <w:bCs w:val="1"/>
          <w:i w:val="1"/>
          <w:iCs w:val="1"/>
          <w:color w:val="auto"/>
        </w:rPr>
        <w:t>Disruptions at FDA, EMA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59" w:lineRule="exact"/>
        <w:rPr>
          <w:sz w:val="20"/>
          <w:szCs w:val="20"/>
          <w:color w:val="auto"/>
        </w:rPr>
      </w:pPr>
    </w:p>
    <w:p>
      <w:pPr>
        <w:ind w:right="20" w:firstLine="458"/>
        <w:spacing w:after="0" w:line="247"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Even though the FDA has since resumed standard inspection operations of domestic facilities where feasible, any resurgence of the virus or emergence of new variants may lead to further inspectional delays. Foreign pre-approval and for-cause inspection assignments that are not deemed mission-critical remain temporarily postponed, while those deemed “mission-critical” are being considered for inspection on a case-by-case basis. In addition, regulatory agencies have generally reduced face-to-face interactions relative to the pre-pandemic situation which may 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16"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Our current strategy includes developing an extended-release formulation for the deucrictibant prophylactic indication (PHVS719). To date, we have studied prospective extended-release formulation only in clinical studies in healthy volunteers. We are planning to conduct multiple dose study to assess the PK and safety of the final extended-release formulation. In future multiple dose studies, either in healthy volunteers or in HAE clinical studies, we may not observe the desired PK profile with the current or any extended-release formulation.</w:t>
      </w:r>
    </w:p>
    <w:p>
      <w:pPr>
        <w:spacing w:after="0" w:line="177"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We have filed patent applications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183"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5" w:lineRule="exact"/>
        <w:rPr>
          <w:sz w:val="20"/>
          <w:szCs w:val="20"/>
          <w:color w:val="auto"/>
        </w:rPr>
      </w:pPr>
    </w:p>
    <w:p>
      <w:pPr>
        <w:ind w:right="20" w:firstLine="464"/>
        <w:spacing w:after="0" w:line="250"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entering late-stage clinical trials: we have completed Phase 2 trials in the on-demand and prophylactic settings which have provided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3" w:lineRule="exact"/>
        <w:rPr>
          <w:sz w:val="20"/>
          <w:szCs w:val="20"/>
          <w:color w:val="auto"/>
        </w:rPr>
      </w:pPr>
    </w:p>
    <w:p>
      <w:pPr>
        <w:ind w:left="900" w:hanging="429"/>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3"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spread of an infectious disease, such as the COVID-19 pandemic;</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3"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49"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recommendations by data safety monitoring boards, to suspend or terminate clinical trials at any time for safety issues or for any other reason; and</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1"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81" w:lineRule="exact"/>
        <w:rPr>
          <w:sz w:val="20"/>
          <w:szCs w:val="20"/>
          <w:color w:val="auto"/>
        </w:rPr>
      </w:pPr>
    </w:p>
    <w:p>
      <w:pPr>
        <w:ind w:left="460" w:right="100"/>
        <w:spacing w:after="0" w:line="268"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5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deucrictibant as shown in preclinical, Phase 1 clinical trials, and Phase 2 clinical trials (RAPIDe-1 and CHAPTER-1). Potency as used in this Annual Report refers to the amount of drug required to produce a pharmacological effect of given intensity and is not a measure of therapeutic efficacy. We have released topline data from our RAPIDe-1 study demonstrating efficacy in our Phase 2 clinical trial for treatment of HAE attacks on demand using deucrictibant immediate-release (PHVS416) and topline data from our CHAPTER-1 study demonstrating efficacy in our Phase 2 clinical trial of deucrictibant for the prophylactic treatment of HAE attacks. The results of preclinical studies and early and mid-stage clinical trials, as well as data from interim analysis of ongoing clinical trials, may not be predictive of the results of ongoing or future clinical trials.</w:t>
      </w:r>
    </w:p>
    <w:p>
      <w:pPr>
        <w:spacing w:after="0" w:line="182"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8"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2"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for legislation and regulation in these areas and by disrupting these activities through protests and other means. To the extent the activities of these groups are successful, our research and development activities may be interrupted or delayed. In addition, there is a constrained supply of some types of animals for research and nonclinical studies which has arisen as a consequence of the COVID-19 pandemic. This reduction in supply and the prioritization for COVID-19-related studies have severely restricted the availability of some types of animals for other pharmaceutical development programs and has the potential to significantly delay the nonclinical toxicology and developmental and reproductive toxicity studies.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18" w:lineRule="exact"/>
        <w:rPr>
          <w:sz w:val="20"/>
          <w:szCs w:val="20"/>
          <w:color w:val="auto"/>
        </w:rPr>
      </w:pPr>
    </w:p>
    <w:p>
      <w:pPr>
        <w:ind w:left="460" w:right="340"/>
        <w:spacing w:after="0" w:line="291"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2" w:lineRule="exact"/>
        <w:rPr>
          <w:sz w:val="20"/>
          <w:szCs w:val="20"/>
          <w:color w:val="auto"/>
        </w:rPr>
      </w:pPr>
    </w:p>
    <w:p>
      <w:pPr>
        <w:ind w:right="580" w:firstLine="458"/>
        <w:spacing w:after="0" w:line="264"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or market our product candidates.</w:t>
      </w:r>
    </w:p>
    <w:p>
      <w:pPr>
        <w:spacing w:after="0" w:line="170" w:lineRule="exact"/>
        <w:rPr>
          <w:sz w:val="20"/>
          <w:szCs w:val="20"/>
          <w:color w:val="auto"/>
        </w:rPr>
      </w:pPr>
    </w:p>
    <w:p>
      <w:pPr>
        <w:ind w:right="40" w:firstLine="503"/>
        <w:spacing w:after="0" w:line="249" w:lineRule="auto"/>
        <w:rPr>
          <w:sz w:val="20"/>
          <w:szCs w:val="20"/>
          <w:color w:val="auto"/>
        </w:rPr>
      </w:pPr>
      <w:r>
        <w:rPr>
          <w:rFonts w:ascii="Arial" w:cs="Arial" w:eastAsia="Arial" w:hAnsi="Arial"/>
          <w:sz w:val="16"/>
          <w:szCs w:val="16"/>
          <w:color w:val="auto"/>
        </w:rPr>
        <w:t xml:space="preserve">Since the 1990s, many companies have tried but failed to discover oral B2 antagonists, as the bradykinin-B2-receptor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 </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4" w:lineRule="exact"/>
        <w:rPr>
          <w:sz w:val="20"/>
          <w:szCs w:val="20"/>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pacing w:after="0" w:line="123" w:lineRule="exact"/>
        <w:rPr>
          <w:rFonts w:ascii="Times New Roman" w:cs="Times New Roman" w:eastAsia="Times New Roman" w:hAnsi="Times New Roman"/>
          <w:sz w:val="16"/>
          <w:szCs w:val="16"/>
          <w:color w:val="auto"/>
        </w:rPr>
      </w:pPr>
    </w:p>
    <w:p>
      <w:pPr>
        <w:ind w:left="900" w:right="540" w:hanging="429"/>
        <w:spacing w:after="0" w:line="282"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1"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0"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6" w:lineRule="exact"/>
        <w:rPr>
          <w:sz w:val="20"/>
          <w:szCs w:val="20"/>
          <w:color w:val="auto"/>
        </w:rPr>
      </w:pPr>
    </w:p>
    <w:p>
      <w:pPr>
        <w:ind w:right="60" w:firstLine="458"/>
        <w:spacing w:after="0" w:line="248"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8"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PHVS416 and PHVS719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84"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59"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6"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6" w:lineRule="exact"/>
        <w:rPr>
          <w:sz w:val="20"/>
          <w:szCs w:val="20"/>
          <w:color w:val="auto"/>
        </w:rPr>
      </w:pPr>
    </w:p>
    <w:p>
      <w:pPr>
        <w:ind w:right="220" w:firstLine="458"/>
        <w:spacing w:after="0" w:line="264"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2"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79" w:lineRule="exact"/>
        <w:rPr>
          <w:sz w:val="20"/>
          <w:szCs w:val="20"/>
          <w:color w:val="auto"/>
        </w:rPr>
      </w:pPr>
    </w:p>
    <w:p>
      <w:pPr>
        <w:ind w:right="40" w:firstLine="503"/>
        <w:spacing w:after="0" w:line="248"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While the Biden administration has proposed to repeal, or delayed implementation of, certain of the actions taken by the Trump administration,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83"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1"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1"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18" w:lineRule="exact"/>
        <w:rPr>
          <w:sz w:val="20"/>
          <w:szCs w:val="20"/>
          <w:color w:val="auto"/>
        </w:rPr>
      </w:pPr>
    </w:p>
    <w:p>
      <w:pPr>
        <w:ind w:left="460" w:right="300"/>
        <w:spacing w:after="0" w:line="29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42"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20"/>
        <w:spacing w:after="0" w:line="268"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59"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79"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82"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88"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1"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7" w:lineRule="exact"/>
        <w:rPr>
          <w:sz w:val="20"/>
          <w:szCs w:val="20"/>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3" w:lineRule="exact"/>
        <w:rPr>
          <w:rFonts w:ascii="Times New Roman" w:cs="Times New Roman" w:eastAsia="Times New Roman" w:hAnsi="Times New Roman"/>
          <w:sz w:val="16"/>
          <w:szCs w:val="16"/>
          <w:color w:val="auto"/>
        </w:rPr>
      </w:pPr>
    </w:p>
    <w:p>
      <w:pPr>
        <w:ind w:left="900" w:right="240" w:hanging="429"/>
        <w:spacing w:after="0" w:line="282" w:lineRule="auto"/>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w:t>
      </w:r>
    </w:p>
    <w:p>
      <w:pPr>
        <w:spacing w:after="0" w:line="231"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2"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2"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81" w:lineRule="exact"/>
        <w:rPr>
          <w:sz w:val="20"/>
          <w:szCs w:val="20"/>
          <w:color w:val="auto"/>
        </w:rPr>
      </w:pPr>
    </w:p>
    <w:p>
      <w:pPr>
        <w:jc w:val="both"/>
        <w:ind w:right="40" w:firstLine="458"/>
        <w:spacing w:after="0" w:line="257"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9" w:lineRule="exact"/>
        <w:rPr>
          <w:sz w:val="20"/>
          <w:szCs w:val="20"/>
          <w:color w:val="auto"/>
        </w:rPr>
      </w:pPr>
    </w:p>
    <w:p>
      <w:pPr>
        <w:ind w:left="460" w:right="40"/>
        <w:spacing w:after="0" w:line="256"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7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86" w:lineRule="exact"/>
        <w:rPr>
          <w:sz w:val="20"/>
          <w:szCs w:val="20"/>
          <w:color w:val="auto"/>
        </w:rPr>
      </w:pPr>
    </w:p>
    <w:p>
      <w:pPr>
        <w:ind w:right="200" w:firstLine="458"/>
        <w:spacing w:after="0" w:line="248"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adhering to the principles of ‘privacy by design and by default’ when developing new products or services; (iii) complying with data minimization obligations;</w:t>
      </w:r>
    </w:p>
    <w:p>
      <w:pPr>
        <w:spacing w:after="0" w:line="4" w:lineRule="exact"/>
        <w:rPr>
          <w:sz w:val="20"/>
          <w:szCs w:val="20"/>
          <w:color w:val="auto"/>
        </w:rPr>
      </w:pPr>
    </w:p>
    <w:p>
      <w:pPr>
        <w:ind w:firstLine="7"/>
        <w:spacing w:after="0" w:line="247" w:lineRule="auto"/>
        <w:tabs>
          <w:tab w:leader="none" w:pos="2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obligations in relation to the rights of data subjects; (v) ensuring that all processors that process personal data on our behalf have adequate protections in place; and (vi)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5"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56"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9"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or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83" w:lineRule="exact"/>
        <w:rPr>
          <w:sz w:val="20"/>
          <w:szCs w:val="20"/>
          <w:color w:val="auto"/>
        </w:rPr>
      </w:pPr>
    </w:p>
    <w:p>
      <w:pPr>
        <w:ind w:left="460" w:right="580"/>
        <w:spacing w:after="0" w:line="291"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2"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are a party to certain agreements, including clinical trial agreements and licensing agreements which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18" w:lineRule="exact"/>
        <w:rPr>
          <w:sz w:val="20"/>
          <w:szCs w:val="20"/>
          <w:color w:val="auto"/>
        </w:rPr>
      </w:pPr>
    </w:p>
    <w:p>
      <w:pPr>
        <w:ind w:left="460" w:right="260"/>
        <w:spacing w:after="0" w:line="268" w:lineRule="auto"/>
        <w:rPr>
          <w:sz w:val="20"/>
          <w:szCs w:val="20"/>
          <w:color w:val="auto"/>
        </w:rPr>
      </w:pPr>
      <w:r>
        <w:rPr>
          <w:rFonts w:ascii="Arial" w:cs="Arial" w:eastAsia="Arial" w:hAnsi="Arial"/>
          <w:sz w:val="16"/>
          <w:szCs w:val="16"/>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159"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900" w:right="160" w:hanging="429"/>
        <w:spacing w:after="0" w:line="282"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1"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79"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Moreover, if we are successful in developing both PHVS416 and PHVS719, we cannot accurately predict the proportion of patients choosing prophylactic or on-demand only treatment regimens.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 instance, we were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8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83"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2" w:lineRule="exact"/>
        <w:rPr>
          <w:sz w:val="20"/>
          <w:szCs w:val="20"/>
          <w:color w:val="auto"/>
        </w:rPr>
      </w:pPr>
    </w:p>
    <w:p>
      <w:pPr>
        <w:ind w:right="180" w:firstLine="458"/>
        <w:spacing w:after="0" w:line="254"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3" w:lineRule="exact"/>
        <w:rPr>
          <w:rFonts w:ascii="Times New Roman" w:cs="Times New Roman" w:eastAsia="Times New Roman" w:hAnsi="Times New Roman"/>
          <w:sz w:val="16"/>
          <w:szCs w:val="16"/>
          <w:color w:val="auto"/>
        </w:rPr>
      </w:pPr>
    </w:p>
    <w:p>
      <w:pPr>
        <w:ind w:left="900" w:right="440" w:hanging="429"/>
        <w:spacing w:after="0" w:line="282"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9" w:lineRule="exact"/>
        <w:rPr>
          <w:rFonts w:ascii="Times New Roman" w:cs="Times New Roman" w:eastAsia="Times New Roman" w:hAnsi="Times New Roman"/>
          <w:sz w:val="16"/>
          <w:szCs w:val="16"/>
          <w:color w:val="auto"/>
        </w:rPr>
      </w:pPr>
    </w:p>
    <w:p>
      <w:pPr>
        <w:ind w:left="900" w:right="360" w:hanging="429"/>
        <w:spacing w:after="0" w:line="282"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9" w:lineRule="exact"/>
        <w:rPr>
          <w:rFonts w:ascii="Times New Roman" w:cs="Times New Roman" w:eastAsia="Times New Roman" w:hAnsi="Times New Roman"/>
          <w:sz w:val="16"/>
          <w:szCs w:val="16"/>
          <w:color w:val="auto"/>
        </w:rPr>
      </w:pPr>
    </w:p>
    <w:p>
      <w:pPr>
        <w:ind w:left="900" w:right="480" w:hanging="429"/>
        <w:spacing w:after="0" w:line="282"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79"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 —B. Business overview—Competition,”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1"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w:t>
      </w:r>
    </w:p>
    <w:p>
      <w:pPr>
        <w:sectPr>
          <w:pgSz w:w="11900" w:h="16838" w:orient="portrait"/>
          <w:cols w:equalWidth="0" w:num="1">
            <w:col w:w="11240"/>
          </w:cols>
          <w:pgMar w:left="320" w:top="769"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6"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185" w:lineRule="exact"/>
        <w:rPr>
          <w:sz w:val="20"/>
          <w:szCs w:val="20"/>
          <w:color w:val="auto"/>
        </w:rPr>
      </w:pPr>
    </w:p>
    <w:p>
      <w:pPr>
        <w:ind w:left="460" w:right="660"/>
        <w:spacing w:after="0" w:line="291"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2"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7"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172" w:lineRule="exact"/>
        <w:rPr>
          <w:sz w:val="20"/>
          <w:szCs w:val="20"/>
          <w:color w:val="auto"/>
        </w:rPr>
      </w:pPr>
    </w:p>
    <w:p>
      <w:pPr>
        <w:jc w:val="both"/>
        <w:ind w:left="460" w:right="640"/>
        <w:spacing w:after="0" w:line="268"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59" w:lineRule="exact"/>
        <w:rPr>
          <w:sz w:val="20"/>
          <w:szCs w:val="20"/>
          <w:color w:val="auto"/>
        </w:rPr>
      </w:pPr>
    </w:p>
    <w:p>
      <w:pPr>
        <w:ind w:right="180" w:firstLine="458"/>
        <w:spacing w:after="0" w:line="252"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79"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7"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440" w:firstLine="458"/>
        <w:spacing w:after="0" w:line="264"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2" w:lineRule="exact"/>
        <w:rPr>
          <w:sz w:val="20"/>
          <w:szCs w:val="20"/>
          <w:color w:val="auto"/>
        </w:rPr>
      </w:pPr>
    </w:p>
    <w:p>
      <w:pPr>
        <w:ind w:left="460" w:right="880"/>
        <w:spacing w:after="0" w:line="291"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4"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5" w:lineRule="exact"/>
        <w:rPr>
          <w:sz w:val="20"/>
          <w:szCs w:val="20"/>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1"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right="220" w:firstLine="458"/>
        <w:spacing w:after="0" w:line="257"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79" w:lineRule="exact"/>
        <w:rPr>
          <w:sz w:val="20"/>
          <w:szCs w:val="20"/>
          <w:color w:val="auto"/>
        </w:rPr>
      </w:pPr>
    </w:p>
    <w:p>
      <w:pPr>
        <w:ind w:left="460" w:right="280"/>
        <w:spacing w:after="0" w:line="291"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2"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 funded companies that currently have or are building extensive commercial operations.</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0"/>
        <w:spacing w:after="0" w:line="283" w:lineRule="auto"/>
        <w:rPr>
          <w:sz w:val="20"/>
          <w:szCs w:val="20"/>
          <w:color w:val="auto"/>
        </w:rPr>
      </w:pPr>
      <w:r>
        <w:rPr>
          <w:rFonts w:ascii="Arial" w:cs="Arial" w:eastAsia="Arial" w:hAnsi="Arial"/>
          <w:sz w:val="16"/>
          <w:szCs w:val="16"/>
          <w:color w:val="auto"/>
        </w:rPr>
        <w:t>Without an internal team or the support of a third-party to perform commercial functions, we may be unable to successfully commercialize our product candidates, if approved, and/or compete successfully against these companies.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18" w:lineRule="exact"/>
        <w:rPr>
          <w:sz w:val="20"/>
          <w:szCs w:val="20"/>
          <w:color w:val="auto"/>
        </w:rPr>
      </w:pPr>
    </w:p>
    <w:p>
      <w:pPr>
        <w:ind w:left="460" w:right="200"/>
        <w:spacing w:after="0" w:line="268"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5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85"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374"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179" w:lineRule="exact"/>
        <w:rPr>
          <w:sz w:val="20"/>
          <w:szCs w:val="20"/>
          <w:color w:val="auto"/>
        </w:rPr>
      </w:pPr>
    </w:p>
    <w:p>
      <w:pPr>
        <w:ind w:left="460" w:right="500"/>
        <w:spacing w:after="0" w:line="291"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2"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58" w:lineRule="exact"/>
        <w:rPr>
          <w:sz w:val="20"/>
          <w:szCs w:val="20"/>
          <w:color w:val="auto"/>
        </w:rPr>
      </w:pPr>
    </w:p>
    <w:p>
      <w:pPr>
        <w:ind w:left="460" w:right="600"/>
        <w:spacing w:after="0" w:line="268"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59"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1" w:lineRule="exact"/>
        <w:rPr>
          <w:sz w:val="20"/>
          <w:szCs w:val="20"/>
          <w:color w:val="auto"/>
        </w:rPr>
      </w:pPr>
    </w:p>
    <w:p>
      <w:pPr>
        <w:ind w:left="900" w:right="340" w:hanging="429"/>
        <w:spacing w:after="0" w:line="282"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9" w:lineRule="exact"/>
        <w:rPr>
          <w:rFonts w:ascii="Times New Roman" w:cs="Times New Roman" w:eastAsia="Times New Roman" w:hAnsi="Times New Roman"/>
          <w:sz w:val="16"/>
          <w:szCs w:val="16"/>
          <w:color w:val="auto"/>
        </w:rPr>
      </w:pPr>
    </w:p>
    <w:p>
      <w:pPr>
        <w:ind w:left="900" w:right="120" w:hanging="429"/>
        <w:spacing w:after="0" w:line="282"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9" w:lineRule="exact"/>
        <w:rPr>
          <w:rFonts w:ascii="Times New Roman" w:cs="Times New Roman" w:eastAsia="Times New Roman" w:hAnsi="Times New Roman"/>
          <w:sz w:val="16"/>
          <w:szCs w:val="16"/>
          <w:color w:val="auto"/>
        </w:rPr>
      </w:pPr>
    </w:p>
    <w:p>
      <w:pPr>
        <w:ind w:left="900" w:right="220" w:hanging="429"/>
        <w:spacing w:after="0" w:line="263"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123" w:lineRule="exact"/>
        <w:rPr>
          <w:rFonts w:ascii="Times New Roman" w:cs="Times New Roman" w:eastAsia="Times New Roman" w:hAnsi="Times New Roman"/>
          <w:sz w:val="16"/>
          <w:szCs w:val="16"/>
          <w:color w:val="auto"/>
        </w:rPr>
      </w:pPr>
    </w:p>
    <w:p>
      <w:pPr>
        <w:jc w:val="both"/>
        <w:ind w:left="900" w:right="340" w:hanging="429"/>
        <w:spacing w:after="0" w:line="263"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4" w:lineRule="exact"/>
        <w:rPr>
          <w:rFonts w:ascii="Times New Roman" w:cs="Times New Roman" w:eastAsia="Times New Roman" w:hAnsi="Times New Roman"/>
          <w:sz w:val="16"/>
          <w:szCs w:val="16"/>
          <w:color w:val="auto"/>
        </w:rPr>
      </w:pPr>
    </w:p>
    <w:p>
      <w:pPr>
        <w:ind w:left="900" w:right="160" w:hanging="429"/>
        <w:spacing w:after="0" w:line="282"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7" w:lineRule="exact"/>
        <w:rPr>
          <w:sz w:val="20"/>
          <w:szCs w:val="20"/>
          <w:color w:val="auto"/>
        </w:rPr>
      </w:pPr>
    </w:p>
    <w:p>
      <w:pPr>
        <w:ind w:right="60" w:firstLine="458"/>
        <w:spacing w:after="0" w:line="283"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58"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18"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159"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“ITEM 4. INFORMATION ON THE COMPANY—B. Business overview—License Agreement.”</w:t>
      </w:r>
    </w:p>
    <w:p>
      <w:pPr>
        <w:spacing w:after="0" w:line="184" w:lineRule="exact"/>
        <w:rPr>
          <w:sz w:val="20"/>
          <w:szCs w:val="20"/>
          <w:color w:val="auto"/>
        </w:rPr>
      </w:pPr>
    </w:p>
    <w:p>
      <w:pPr>
        <w:ind w:left="460" w:right="440"/>
        <w:spacing w:after="0" w:line="291"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w:t>
      </w:r>
    </w:p>
    <w:p>
      <w:pPr>
        <w:sectPr>
          <w:pgSz w:w="11900" w:h="16838" w:orient="portrait"/>
          <w:cols w:equalWidth="0" w:num="1">
            <w:col w:w="11240"/>
          </w:cols>
          <w:pgMar w:left="320" w:top="769"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b w:val="1"/>
          <w:bCs w:val="1"/>
          <w:i w:val="1"/>
          <w:iCs w:val="1"/>
          <w:color w:val="auto"/>
        </w:rPr>
        <w:t>develop and commercialize products and technology similar or identical to ours, and our ability to successfully commercialize any product candidates or technology we may develop may be adversely affected.</w:t>
      </w:r>
    </w:p>
    <w:p>
      <w:pPr>
        <w:spacing w:after="0" w:line="142"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 and to exclude others from copying our processes and technologies.</w:t>
      </w:r>
    </w:p>
    <w:p>
      <w:pPr>
        <w:spacing w:after="0" w:line="179"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9" w:lineRule="exact"/>
        <w:rPr>
          <w:sz w:val="20"/>
          <w:szCs w:val="20"/>
          <w:color w:val="auto"/>
        </w:rPr>
      </w:pPr>
    </w:p>
    <w:p>
      <w:pPr>
        <w:ind w:left="900" w:right="40" w:hanging="429"/>
        <w:spacing w:after="0" w:line="263"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4"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3" w:lineRule="exact"/>
        <w:rPr>
          <w:rFonts w:ascii="Times New Roman" w:cs="Times New Roman" w:eastAsia="Times New Roman" w:hAnsi="Times New Roman"/>
          <w:sz w:val="16"/>
          <w:szCs w:val="16"/>
          <w:color w:val="auto"/>
        </w:rPr>
      </w:pPr>
    </w:p>
    <w:p>
      <w:pPr>
        <w:ind w:left="900" w:right="760" w:hanging="429"/>
        <w:spacing w:after="0" w:line="282"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9" w:lineRule="exact"/>
        <w:rPr>
          <w:rFonts w:ascii="Times New Roman" w:cs="Times New Roman" w:eastAsia="Times New Roman" w:hAnsi="Times New Roman"/>
          <w:sz w:val="16"/>
          <w:szCs w:val="16"/>
          <w:color w:val="auto"/>
        </w:rPr>
      </w:pPr>
    </w:p>
    <w:p>
      <w:pPr>
        <w:ind w:left="900" w:hanging="429"/>
        <w:spacing w:after="0" w:line="263"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4" w:lineRule="exact"/>
        <w:rPr>
          <w:rFonts w:ascii="Times New Roman" w:cs="Times New Roman" w:eastAsia="Times New Roman" w:hAnsi="Times New Roman"/>
          <w:sz w:val="16"/>
          <w:szCs w:val="16"/>
          <w:color w:val="auto"/>
        </w:rPr>
      </w:pPr>
    </w:p>
    <w:p>
      <w:pPr>
        <w:ind w:left="900" w:right="400" w:hanging="429"/>
        <w:spacing w:after="0" w:line="263"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4"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7" w:lineRule="exact"/>
        <w:rPr>
          <w:sz w:val="20"/>
          <w:szCs w:val="20"/>
          <w:color w:val="auto"/>
        </w:rPr>
      </w:pPr>
    </w:p>
    <w:p>
      <w:pPr>
        <w:ind w:right="220" w:firstLine="458"/>
        <w:spacing w:after="0" w:line="283"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including from investors, as applicable, then our rights to such intellectual property, and ultimately our ability to protect our candidate products, may be adversely affected.</w:t>
      </w:r>
    </w:p>
    <w:p>
      <w:pPr>
        <w:spacing w:after="0" w:line="156" w:lineRule="exact"/>
        <w:rPr>
          <w:sz w:val="20"/>
          <w:szCs w:val="20"/>
          <w:color w:val="auto"/>
        </w:rPr>
      </w:pPr>
    </w:p>
    <w:p>
      <w:pPr>
        <w:ind w:right="140" w:firstLine="458"/>
        <w:spacing w:after="0" w:line="249"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or patent applications that we may own in the future, if any), or that we were the first to file for patent protection of such inventions.</w:t>
      </w:r>
    </w:p>
    <w:p>
      <w:pPr>
        <w:spacing w:after="0" w:line="188"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2"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79" w:lineRule="exact"/>
        <w:rPr>
          <w:sz w:val="20"/>
          <w:szCs w:val="20"/>
          <w:color w:val="auto"/>
        </w:rPr>
      </w:pPr>
    </w:p>
    <w:p>
      <w:pPr>
        <w:ind w:right="340" w:firstLine="458"/>
        <w:spacing w:after="0" w:line="283"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70"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In addition, patents have a limited lifespan. For example, if renewal fees are paid in a timely manner,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8"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2"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7"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6"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56"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8"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are forced to grant a license to third parties with respect to any patents relevant to our business or we are unable to enforce a patent relevant to our business against a government agency or government contractor, our competitive position may be impaired, and our business, financial condition, results of operations and prospects may be adversely affected.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6"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7"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BRCA1-&amp;BRCA2-Based Hereditary Cancer Test Patent Litigation, Mayo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pacing w:after="0" w:line="188"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2"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87"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2" w:lineRule="exact"/>
        <w:rPr>
          <w:sz w:val="20"/>
          <w:szCs w:val="20"/>
          <w:color w:val="auto"/>
        </w:rPr>
      </w:pPr>
    </w:p>
    <w:p>
      <w:pPr>
        <w:ind w:right="120" w:firstLine="458"/>
        <w:spacing w:after="0" w:line="247"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development production, manufacture, commercialization or use of our product candidates and technology. In addition, the development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1" w:lineRule="exact"/>
        <w:rPr>
          <w:sz w:val="20"/>
          <w:szCs w:val="20"/>
          <w:color w:val="auto"/>
        </w:rPr>
      </w:pPr>
    </w:p>
    <w:p>
      <w:pPr>
        <w:ind w:left="900" w:hanging="429"/>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3" w:lineRule="exact"/>
        <w:rPr>
          <w:rFonts w:ascii="Times New Roman" w:cs="Times New Roman" w:eastAsia="Times New Roman" w:hAnsi="Times New Roman"/>
          <w:sz w:val="16"/>
          <w:szCs w:val="16"/>
          <w:color w:val="auto"/>
        </w:rPr>
      </w:pPr>
    </w:p>
    <w:p>
      <w:pPr>
        <w:ind w:left="900" w:right="20" w:hanging="429"/>
        <w:spacing w:after="0" w:line="257"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Times New Roman" w:cs="Times New Roman" w:eastAsia="Times New Roman" w:hAnsi="Times New Roman"/>
          <w:sz w:val="16"/>
          <w:szCs w:val="16"/>
          <w:color w:val="auto"/>
        </w:rPr>
      </w:pPr>
    </w:p>
    <w:p>
      <w:pPr>
        <w:ind w:left="900" w:hanging="429"/>
        <w:spacing w:after="0" w:line="282"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9" w:lineRule="exact"/>
        <w:rPr>
          <w:rFonts w:ascii="Times New Roman" w:cs="Times New Roman" w:eastAsia="Times New Roman" w:hAnsi="Times New Roman"/>
          <w:sz w:val="16"/>
          <w:szCs w:val="16"/>
          <w:color w:val="auto"/>
        </w:rPr>
      </w:pPr>
    </w:p>
    <w:p>
      <w:pPr>
        <w:ind w:left="900" w:right="220" w:hanging="429"/>
        <w:spacing w:after="0" w:line="282"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18"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88"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2" w:lineRule="exact"/>
        <w:rPr>
          <w:sz w:val="20"/>
          <w:szCs w:val="20"/>
          <w:color w:val="auto"/>
        </w:rPr>
      </w:pPr>
    </w:p>
    <w:p>
      <w:pPr>
        <w:ind w:right="320" w:firstLine="458"/>
        <w:spacing w:after="0" w:line="28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w:t>
      </w:r>
    </w:p>
    <w:p>
      <w:pPr>
        <w:sectPr>
          <w:pgSz w:w="11900" w:h="16838" w:orient="portrait"/>
          <w:cols w:equalWidth="0" w:num="1">
            <w:col w:w="11220"/>
          </w:cols>
          <w:pgMar w:left="320" w:top="769" w:right="3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79"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finance our business activities and to compete in the marketplace.</w:t>
      </w:r>
    </w:p>
    <w:p>
      <w:pPr>
        <w:spacing w:after="0" w:line="183" w:lineRule="exact"/>
        <w:rPr>
          <w:sz w:val="20"/>
          <w:szCs w:val="20"/>
          <w:color w:val="auto"/>
        </w:rPr>
      </w:pPr>
    </w:p>
    <w:p>
      <w:pPr>
        <w:jc w:val="both"/>
        <w:ind w:left="460" w:right="140"/>
        <w:spacing w:after="0" w:line="268"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59" w:lineRule="exact"/>
        <w:rPr>
          <w:sz w:val="20"/>
          <w:szCs w:val="20"/>
          <w:color w:val="auto"/>
        </w:rPr>
      </w:pPr>
    </w:p>
    <w:p>
      <w:pPr>
        <w:ind w:right="260" w:firstLine="458"/>
        <w:spacing w:after="0" w:line="251"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we may not be able to prevent potential competitors from entering the market and this circumstance could have a material adverse effect on our business.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85"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6" w:lineRule="exact"/>
        <w:rPr>
          <w:sz w:val="20"/>
          <w:szCs w:val="20"/>
          <w:color w:val="auto"/>
        </w:rPr>
      </w:pPr>
    </w:p>
    <w:p>
      <w:pPr>
        <w:ind w:right="60" w:firstLine="458"/>
        <w:spacing w:after="0" w:line="283"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9" w:lineRule="exact"/>
        <w:rPr>
          <w:sz w:val="20"/>
          <w:szCs w:val="20"/>
          <w:color w:val="auto"/>
        </w:rPr>
      </w:pPr>
    </w:p>
    <w:p>
      <w:pPr>
        <w:ind w:left="900" w:right="38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9"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9" w:lineRule="exact"/>
        <w:rPr>
          <w:rFonts w:ascii="Times New Roman" w:cs="Times New Roman" w:eastAsia="Times New Roman" w:hAnsi="Times New Roman"/>
          <w:sz w:val="16"/>
          <w:szCs w:val="16"/>
          <w:color w:val="auto"/>
        </w:rPr>
      </w:pPr>
    </w:p>
    <w:p>
      <w:pPr>
        <w:ind w:left="900" w:right="32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9" w:lineRule="exact"/>
        <w:rPr>
          <w:rFonts w:ascii="Times New Roman" w:cs="Times New Roman" w:eastAsia="Times New Roman" w:hAnsi="Times New Roman"/>
          <w:sz w:val="16"/>
          <w:szCs w:val="16"/>
          <w:color w:val="auto"/>
        </w:rPr>
      </w:pPr>
    </w:p>
    <w:p>
      <w:pPr>
        <w:ind w:left="900" w:right="62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3" w:lineRule="exact"/>
        <w:rPr>
          <w:rFonts w:ascii="Times New Roman" w:cs="Times New Roman" w:eastAsia="Times New Roman" w:hAnsi="Times New Roman"/>
          <w:sz w:val="16"/>
          <w:szCs w:val="16"/>
          <w:color w:val="auto"/>
        </w:rPr>
      </w:pPr>
    </w:p>
    <w:p>
      <w:pPr>
        <w:ind w:left="900" w:right="66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to which we may hold rights may be held invalid or unenforceable, including as a result of legal challenges by our competitors;</w:t>
      </w:r>
    </w:p>
    <w:p>
      <w:pPr>
        <w:spacing w:after="0" w:line="49"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additional proprietary technologies that are not patentable;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3" w:lineRule="exact"/>
        <w:rPr>
          <w:rFonts w:ascii="Times New Roman" w:cs="Times New Roman" w:eastAsia="Times New Roman" w:hAnsi="Times New Roman"/>
          <w:sz w:val="16"/>
          <w:szCs w:val="16"/>
          <w:color w:val="auto"/>
        </w:rPr>
      </w:pPr>
    </w:p>
    <w:p>
      <w:pPr>
        <w:ind w:left="900" w:right="520" w:hanging="429"/>
        <w:spacing w:after="0" w:line="282"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18"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70"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1" w:lineRule="exact"/>
        <w:rPr>
          <w:sz w:val="20"/>
          <w:szCs w:val="20"/>
          <w:color w:val="auto"/>
        </w:rPr>
      </w:pPr>
    </w:p>
    <w:p>
      <w:pPr>
        <w:ind w:left="900" w:right="40" w:hanging="429"/>
        <w:spacing w:after="0" w:line="257"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69" w:lineRule="exact"/>
        <w:rPr>
          <w:rFonts w:ascii="Times New Roman" w:cs="Times New Roman" w:eastAsia="Times New Roman" w:hAnsi="Times New Roman"/>
          <w:sz w:val="16"/>
          <w:szCs w:val="16"/>
          <w:color w:val="auto"/>
        </w:rPr>
      </w:pPr>
    </w:p>
    <w:p>
      <w:pPr>
        <w:ind w:left="900" w:right="60" w:hanging="429"/>
        <w:spacing w:after="0" w:line="257"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Times New Roman" w:cs="Times New Roman" w:eastAsia="Times New Roman" w:hAnsi="Times New Roman"/>
          <w:sz w:val="16"/>
          <w:szCs w:val="16"/>
          <w:color w:val="auto"/>
        </w:rPr>
      </w:pPr>
    </w:p>
    <w:p>
      <w:pPr>
        <w:ind w:left="900" w:right="60" w:hanging="429"/>
        <w:spacing w:after="0" w:line="263"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4" w:lineRule="exact"/>
        <w:rPr>
          <w:rFonts w:ascii="Times New Roman" w:cs="Times New Roman" w:eastAsia="Times New Roman" w:hAnsi="Times New Roman"/>
          <w:sz w:val="16"/>
          <w:szCs w:val="16"/>
          <w:color w:val="auto"/>
        </w:rPr>
      </w:pPr>
    </w:p>
    <w:p>
      <w:pPr>
        <w:ind w:left="900" w:hanging="429"/>
        <w:spacing w:after="0" w:line="263"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control of, any health care benefit program in connection with the delivery of or payment for healthcare benefits, items, or services;</w:t>
      </w:r>
    </w:p>
    <w:p>
      <w:pPr>
        <w:spacing w:after="0" w:line="111" w:lineRule="exact"/>
        <w:rPr>
          <w:sz w:val="20"/>
          <w:szCs w:val="20"/>
          <w:color w:val="auto"/>
        </w:rPr>
      </w:pPr>
    </w:p>
    <w:p>
      <w:pPr>
        <w:ind w:left="900" w:right="140" w:hanging="429"/>
        <w:spacing w:after="0" w:line="257"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jc w:val="both"/>
        <w:ind w:left="900" w:right="40" w:hanging="429"/>
        <w:spacing w:after="0" w:line="257"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certain U.S. state laws, as well as the General Data Protection Regulation, impose particular requirements regarding the processing of personal data especially when handling sensitive data, such as health information. Additionally, laws in all 50 U.S. states and the General Data Protection Regulation require in some circumstances businesses to notify relevant (Data Protection) Authorities and data subjects when a data breach has occurred;</w:t>
      </w:r>
    </w:p>
    <w:p>
      <w:pPr>
        <w:spacing w:after="0" w:line="69" w:lineRule="exact"/>
        <w:rPr>
          <w:rFonts w:ascii="Times New Roman" w:cs="Times New Roman" w:eastAsia="Times New Roman" w:hAnsi="Times New Roman"/>
          <w:sz w:val="16"/>
          <w:szCs w:val="16"/>
          <w:color w:val="auto"/>
        </w:rPr>
      </w:pPr>
    </w:p>
    <w:p>
      <w:pPr>
        <w:ind w:left="900" w:right="220" w:hanging="429"/>
        <w:spacing w:after="0" w:line="254"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1" w:lineRule="exact"/>
        <w:rPr>
          <w:rFonts w:ascii="Times New Roman" w:cs="Times New Roman" w:eastAsia="Times New Roman" w:hAnsi="Times New Roman"/>
          <w:sz w:val="16"/>
          <w:szCs w:val="16"/>
          <w:color w:val="auto"/>
        </w:rPr>
      </w:pPr>
    </w:p>
    <w:p>
      <w:pPr>
        <w:ind w:left="900" w:right="54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9" w:lineRule="exact"/>
        <w:rPr>
          <w:rFonts w:ascii="Times New Roman" w:cs="Times New Roman" w:eastAsia="Times New Roman" w:hAnsi="Times New Roman"/>
          <w:sz w:val="16"/>
          <w:szCs w:val="16"/>
          <w:color w:val="auto"/>
        </w:rPr>
      </w:pPr>
    </w:p>
    <w:p>
      <w:pPr>
        <w:ind w:left="900" w:right="4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9" w:lineRule="exact"/>
        <w:rPr>
          <w:rFonts w:ascii="Times New Roman" w:cs="Times New Roman" w:eastAsia="Times New Roman" w:hAnsi="Times New Roman"/>
          <w:sz w:val="16"/>
          <w:szCs w:val="16"/>
          <w:color w:val="auto"/>
        </w:rPr>
      </w:pPr>
    </w:p>
    <w:p>
      <w:pPr>
        <w:ind w:left="900" w:right="40" w:hanging="429"/>
        <w:spacing w:after="0" w:line="263"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4" w:lineRule="exact"/>
        <w:rPr>
          <w:rFonts w:ascii="Times New Roman" w:cs="Times New Roman" w:eastAsia="Times New Roman" w:hAnsi="Times New Roman"/>
          <w:sz w:val="16"/>
          <w:szCs w:val="16"/>
          <w:color w:val="auto"/>
        </w:rPr>
      </w:pPr>
    </w:p>
    <w:p>
      <w:pPr>
        <w:ind w:left="900" w:right="38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commercialization-related activities, drug price transparency disclosures, and other practices; and</w:t>
      </w:r>
    </w:p>
    <w:p>
      <w:pPr>
        <w:spacing w:after="0" w:line="49"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 (for example, with respect to Dutch law, including but not limited to the anti-bribery, anti-corruption, anti-fraud and anti-forgery provisions).</w:t>
      </w:r>
    </w:p>
    <w:p>
      <w:pPr>
        <w:spacing w:after="0" w:line="157"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77"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5" w:lineRule="exact"/>
        <w:rPr>
          <w:sz w:val="20"/>
          <w:szCs w:val="20"/>
          <w:color w:val="auto"/>
        </w:rPr>
      </w:pPr>
    </w:p>
    <w:p>
      <w:pPr>
        <w:ind w:right="460" w:firstLine="458"/>
        <w:spacing w:after="0" w:line="283"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6" w:lineRule="exact"/>
        <w:rPr>
          <w:sz w:val="20"/>
          <w:szCs w:val="20"/>
          <w:color w:val="auto"/>
        </w:rPr>
      </w:pPr>
    </w:p>
    <w:p>
      <w:pPr>
        <w:ind w:right="840" w:firstLine="458"/>
        <w:spacing w:after="0" w:line="283"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9" w:lineRule="exact"/>
        <w:rPr>
          <w:sz w:val="20"/>
          <w:szCs w:val="20"/>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3" w:lineRule="exact"/>
        <w:rPr>
          <w:rFonts w:ascii="Times New Roman" w:cs="Times New Roman" w:eastAsia="Times New Roman" w:hAnsi="Times New Roman"/>
          <w:sz w:val="16"/>
          <w:szCs w:val="16"/>
          <w:color w:val="auto"/>
        </w:rPr>
      </w:pPr>
    </w:p>
    <w:p>
      <w:pPr>
        <w:ind w:left="900" w:right="140" w:hanging="429"/>
        <w:spacing w:after="0" w:line="282" w:lineRule="auto"/>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and weather-related events, including earthquakes, typhoons, floods and fires.</w:t>
      </w:r>
    </w:p>
    <w:p>
      <w:pPr>
        <w:spacing w:after="0" w:line="159" w:lineRule="exact"/>
        <w:rPr>
          <w:sz w:val="20"/>
          <w:szCs w:val="20"/>
          <w:color w:val="auto"/>
        </w:rPr>
      </w:pPr>
    </w:p>
    <w:p>
      <w:pPr>
        <w:ind w:left="460" w:right="320"/>
        <w:spacing w:after="0" w:line="291"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2"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18" w:lineRule="exact"/>
        <w:rPr>
          <w:sz w:val="20"/>
          <w:szCs w:val="20"/>
          <w:color w:val="auto"/>
        </w:rPr>
      </w:pPr>
    </w:p>
    <w:p>
      <w:pPr>
        <w:ind w:left="460" w:right="440"/>
        <w:spacing w:after="0" w:line="268"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compliance or remediation activities which may adversely affect our business and financial condition.</w:t>
      </w:r>
    </w:p>
    <w:p>
      <w:pPr>
        <w:spacing w:after="0" w:line="15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and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83" w:lineRule="exact"/>
        <w:rPr>
          <w:sz w:val="20"/>
          <w:szCs w:val="20"/>
          <w:color w:val="auto"/>
        </w:rPr>
      </w:pPr>
    </w:p>
    <w:p>
      <w:pPr>
        <w:ind w:right="240" w:firstLine="458"/>
        <w:spacing w:after="0" w:line="257"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Regulatory and legislative bodies in the United States, Europe and elsewhere continue to focus on environmental policies relating to climate change, greenhouse gas emissions, carbon taxes and sustainable manufacturing, as well as human rights and equity matters, and disclosure regarding the foregoing, many of which policies may be ambiguous, inconsistent, dynamic or conflicting. We expect to experience increased restrictions, compliance costs, legal costs and expenses related to such new or changing legal or regulatory requirements, current and future environmental, health and/or safety compliance, remediation obligations and/or measurement obligations, in which case, our production and development efforts may be interrupted or delayed and our financial condition and results of operations may be materially adversely affected. Moreover, compliance with any such legal or regulatory requirements may require us to devote substantial time and attention to these matters. In addition, we could be subject to penalties or potential litigation if such laws and regulations are interpreted or applied in a manner inconsistent with our practices.</w:t>
      </w:r>
    </w:p>
    <w:p>
      <w:pPr>
        <w:spacing w:after="0" w:line="185" w:lineRule="exact"/>
        <w:rPr>
          <w:sz w:val="20"/>
          <w:szCs w:val="20"/>
          <w:color w:val="auto"/>
        </w:rPr>
      </w:pPr>
    </w:p>
    <w:p>
      <w:pPr>
        <w:ind w:left="460" w:right="60"/>
        <w:spacing w:after="0" w:line="268"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79"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18"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2" w:lineRule="exact"/>
        <w:rPr>
          <w:sz w:val="20"/>
          <w:szCs w:val="20"/>
          <w:color w:val="auto"/>
        </w:rPr>
      </w:pPr>
    </w:p>
    <w:p>
      <w:pPr>
        <w:jc w:val="both"/>
        <w:ind w:firstLine="458"/>
        <w:spacing w:after="0" w:line="257"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6" w:lineRule="exact"/>
        <w:rPr>
          <w:sz w:val="20"/>
          <w:szCs w:val="20"/>
          <w:color w:val="auto"/>
        </w:rPr>
      </w:pPr>
    </w:p>
    <w:p>
      <w:pPr>
        <w:ind w:right="360" w:firstLine="458"/>
        <w:spacing w:after="0" w:line="264" w:lineRule="auto"/>
        <w:rPr>
          <w:sz w:val="20"/>
          <w:szCs w:val="20"/>
          <w:color w:val="auto"/>
        </w:rPr>
      </w:pPr>
      <w:r>
        <w:rPr>
          <w:rFonts w:ascii="Arial" w:cs="Arial" w:eastAsia="Arial" w:hAnsi="Arial"/>
          <w:sz w:val="16"/>
          <w:szCs w:val="16"/>
          <w:color w:val="auto"/>
        </w:rPr>
        <w:t>As of April 1, 2024, our significant shareholders beneficially owned ordinary shares representing approximately 59.01% of our outstanding ordinary shares. For more information regarding our significant shareholders, please see “ITEM 7. MAJOR SHAREHOLDERS AND RELATED PARTY TRANSACTIONS—A. Major Shareholders.”</w:t>
      </w:r>
    </w:p>
    <w:p>
      <w:pPr>
        <w:spacing w:after="0" w:line="17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81" w:lineRule="exact"/>
        <w:rPr>
          <w:sz w:val="20"/>
          <w:szCs w:val="20"/>
          <w:color w:val="auto"/>
        </w:rPr>
      </w:pPr>
    </w:p>
    <w:p>
      <w:pPr>
        <w:ind w:left="460" w:right="240"/>
        <w:spacing w:after="0" w:line="268"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59"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81"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2" w:lineRule="exact"/>
        <w:rPr>
          <w:sz w:val="20"/>
          <w:szCs w:val="20"/>
          <w:color w:val="auto"/>
        </w:rPr>
      </w:pPr>
    </w:p>
    <w:p>
      <w:pPr>
        <w:ind w:left="460" w:right="320"/>
        <w:spacing w:after="0" w:line="291"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 with which you do not agree and in ways that may not yield a return on your investment.</w:t>
      </w:r>
    </w:p>
    <w:p>
      <w:pPr>
        <w:spacing w:after="0" w:line="155"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As of December 31, 2023, we had €391.2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81"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2"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6"/>
          <w:szCs w:val="16"/>
          <w:color w:val="auto"/>
        </w:rPr>
        <w:t>We had a total of 53,816,707 ordinary shares outstanding as of April 1, 2024.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6"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ind w:left="460" w:right="120"/>
        <w:spacing w:after="0" w:line="268"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5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1" w:lineRule="exact"/>
        <w:rPr>
          <w:sz w:val="20"/>
          <w:szCs w:val="20"/>
          <w:color w:val="auto"/>
        </w:rPr>
      </w:pPr>
    </w:p>
    <w:p>
      <w:pPr>
        <w:jc w:val="both"/>
        <w:ind w:right="300" w:firstLine="458"/>
        <w:spacing w:after="0" w:line="251"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85"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2"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79" w:lineRule="exact"/>
        <w:rPr>
          <w:sz w:val="20"/>
          <w:szCs w:val="20"/>
          <w:color w:val="auto"/>
        </w:rPr>
      </w:pPr>
    </w:p>
    <w:p>
      <w:pPr>
        <w:ind w:right="280" w:firstLine="458"/>
        <w:spacing w:after="0" w:line="254"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179" w:lineRule="exact"/>
        <w:rPr>
          <w:sz w:val="20"/>
          <w:szCs w:val="20"/>
          <w:color w:val="auto"/>
        </w:rPr>
      </w:pPr>
    </w:p>
    <w:p>
      <w:pPr>
        <w:ind w:left="460" w:right="680"/>
        <w:spacing w:after="0" w:line="291"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142"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an exemption from the auditor attestation requirement in the assessment of our internal control over financial reporting pursuant to the Sarbanes-Oxley Act; and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83"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may take advantage of these provisions until such time that we are no longer an emerging growth company. We would cease to be an emerging growth company on December 31, 2026 (the last day of our fiscal year following the fifth anniversary of the date of the completion of our initial public offering in February 2021) or earlier if we have more than $1.235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 report under IFRS, as issued by the IASB.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 We have taken advantage of reduced reporting requirements in this Annual Report. Accordingly, the information contained herein may be different than the information you receive from other public companies in which you hold equity securities.</w:t>
      </w:r>
    </w:p>
    <w:p>
      <w:pPr>
        <w:spacing w:after="0" w:line="190" w:lineRule="exact"/>
        <w:rPr>
          <w:sz w:val="20"/>
          <w:szCs w:val="20"/>
          <w:color w:val="auto"/>
        </w:rPr>
      </w:pPr>
    </w:p>
    <w:p>
      <w:pPr>
        <w:ind w:left="460" w:right="640"/>
        <w:spacing w:after="0" w:line="291"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185" w:lineRule="exact"/>
        <w:rPr>
          <w:sz w:val="20"/>
          <w:szCs w:val="20"/>
          <w:color w:val="auto"/>
        </w:rPr>
      </w:pPr>
    </w:p>
    <w:p>
      <w:pPr>
        <w:ind w:left="460" w:right="360"/>
        <w:spacing w:after="0" w:line="291"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w:t>
      </w:r>
    </w:p>
    <w:p>
      <w:pPr>
        <w:spacing w:after="0" w:line="218"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 These include:</w:t>
      </w:r>
    </w:p>
    <w:p>
      <w:pPr>
        <w:spacing w:after="0" w:line="49" w:lineRule="exact"/>
        <w:rPr>
          <w:sz w:val="20"/>
          <w:szCs w:val="20"/>
          <w:color w:val="auto"/>
        </w:rPr>
      </w:pPr>
    </w:p>
    <w:p>
      <w:pPr>
        <w:ind w:left="1020" w:right="160" w:hanging="504"/>
        <w:spacing w:after="0" w:line="263"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being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4" w:lineRule="exact"/>
        <w:rPr>
          <w:rFonts w:ascii="Times New Roman" w:cs="Times New Roman" w:eastAsia="Times New Roman" w:hAnsi="Times New Roman"/>
          <w:sz w:val="16"/>
          <w:szCs w:val="16"/>
          <w:color w:val="auto"/>
        </w:rPr>
      </w:pPr>
    </w:p>
    <w:p>
      <w:pPr>
        <w:ind w:left="1020" w:right="100" w:hanging="504"/>
        <w:spacing w:after="0" w:line="263"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4" w:lineRule="exact"/>
        <w:rPr>
          <w:rFonts w:ascii="Times New Roman" w:cs="Times New Roman" w:eastAsia="Times New Roman" w:hAnsi="Times New Roman"/>
          <w:sz w:val="16"/>
          <w:szCs w:val="16"/>
          <w:color w:val="auto"/>
        </w:rPr>
      </w:pPr>
    </w:p>
    <w:p>
      <w:pPr>
        <w:ind w:left="1020" w:right="160" w:hanging="504"/>
        <w:spacing w:after="0" w:line="282"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9" w:lineRule="exact"/>
        <w:rPr>
          <w:rFonts w:ascii="Times New Roman" w:cs="Times New Roman" w:eastAsia="Times New Roman" w:hAnsi="Times New Roman"/>
          <w:sz w:val="16"/>
          <w:szCs w:val="16"/>
          <w:color w:val="auto"/>
        </w:rPr>
      </w:pPr>
    </w:p>
    <w:p>
      <w:pPr>
        <w:ind w:left="1020" w:right="120" w:hanging="504"/>
        <w:spacing w:after="0" w:line="282"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80" w:firstLine="458"/>
        <w:spacing w:after="0" w:line="283"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56"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capital as a consequence of a successful public bid.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6"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1"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5" w:lineRule="exact"/>
        <w:rPr>
          <w:sz w:val="20"/>
          <w:szCs w:val="20"/>
          <w:color w:val="auto"/>
        </w:rPr>
      </w:pPr>
    </w:p>
    <w:p>
      <w:pPr>
        <w:ind w:right="200" w:firstLine="466"/>
        <w:spacing w:after="0" w:line="283" w:lineRule="auto"/>
        <w:tabs>
          <w:tab w:leader="none" w:pos="816"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8" w:lineRule="exact"/>
        <w:rPr>
          <w:rFonts w:ascii="Arial" w:cs="Arial" w:eastAsia="Arial" w:hAnsi="Arial"/>
          <w:sz w:val="16"/>
          <w:szCs w:val="16"/>
          <w:color w:val="auto"/>
        </w:rPr>
      </w:pPr>
    </w:p>
    <w:p>
      <w:pPr>
        <w:ind w:left="820" w:hanging="354"/>
        <w:spacing w:after="0"/>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0" w:lineRule="exact"/>
        <w:rPr>
          <w:rFonts w:ascii="Arial" w:cs="Arial" w:eastAsia="Arial" w:hAnsi="Arial"/>
          <w:sz w:val="16"/>
          <w:szCs w:val="16"/>
          <w:color w:val="auto"/>
        </w:rPr>
      </w:pPr>
    </w:p>
    <w:p>
      <w:pPr>
        <w:jc w:val="both"/>
        <w:ind w:right="20" w:firstLine="466"/>
        <w:spacing w:after="0" w:line="283" w:lineRule="auto"/>
        <w:tabs>
          <w:tab w:leader="none" w:pos="816"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58"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w:t>
      </w:r>
    </w:p>
    <w:p>
      <w:pPr>
        <w:spacing w:after="0" w:line="14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the event of an issuance of our ordinary shares or a grant of rights to subscribe for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and/or officers.</w:t>
      </w:r>
    </w:p>
    <w:p>
      <w:pPr>
        <w:spacing w:after="0" w:line="216" w:lineRule="exact"/>
        <w:rPr>
          <w:sz w:val="20"/>
          <w:szCs w:val="20"/>
          <w:color w:val="auto"/>
        </w:rPr>
      </w:pPr>
    </w:p>
    <w:p>
      <w:pPr>
        <w:ind w:right="460" w:firstLine="458"/>
        <w:spacing w:after="0" w:line="264"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(functionarissen) (including our directors and executive officers) are governed in certain respects by the laws of the Netherlands.</w:t>
      </w:r>
    </w:p>
    <w:p>
      <w:pPr>
        <w:spacing w:after="0" w:line="170"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7"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(behoorlijke rechtspleging), (iii) binding effect of such United States judgment is not contrary to Dutch public order (openbare orde)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8"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171" w:lineRule="exact"/>
        <w:rPr>
          <w:sz w:val="20"/>
          <w:szCs w:val="20"/>
          <w:color w:val="auto"/>
        </w:rPr>
      </w:pPr>
    </w:p>
    <w:p>
      <w:pPr>
        <w:ind w:left="460" w:right="1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designate specific courts as the exclusive forum for certain litigation that may be initiated by our shareholders, which could limit our shareholders’ ability to obtain a favorable judicial forum for disputes with us or our directors, officers or employees.</w:t>
      </w:r>
    </w:p>
    <w:p>
      <w:pPr>
        <w:spacing w:after="0" w:line="164" w:lineRule="exact"/>
        <w:rPr>
          <w:sz w:val="20"/>
          <w:szCs w:val="20"/>
          <w:color w:val="auto"/>
        </w:rPr>
      </w:pPr>
    </w:p>
    <w:p>
      <w:pPr>
        <w:ind w:right="40" w:firstLine="458"/>
        <w:spacing w:after="0" w:line="247" w:lineRule="auto"/>
        <w:rPr>
          <w:sz w:val="20"/>
          <w:szCs w:val="20"/>
          <w:color w:val="auto"/>
        </w:rPr>
      </w:pPr>
      <w:r>
        <w:rPr>
          <w:rFonts w:ascii="Arial" w:cs="Arial" w:eastAsia="Arial" w:hAnsi="Arial"/>
          <w:sz w:val="16"/>
          <w:szCs w:val="16"/>
          <w:color w:val="auto"/>
        </w:rPr>
        <w:t>Our Articles of Association provide for a federal forum selection provision stating that the sole and exclusive forum for any complaint asserting a cause of action arising under the Securities Act, to the fullest extent permitted by applicable law, shall be the U.S. federal district courts. In principle, our shareholders will be bound by this arrangement, provided, however, that our shareholders cannot and will 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favourable to us than our shareholders.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investors.</w:t>
      </w:r>
    </w:p>
    <w:p>
      <w:pPr>
        <w:spacing w:after="0" w:line="202"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2023 and we do not expect to be a PFIC for our current taxable year or in the foreseeable future. In addition, we may, directly or indirectly, hold equity interests in other PFICs. Whether we or any of our subsidiaries will be a PFIC in 2024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2024 or any future taxable year.</w:t>
      </w:r>
    </w:p>
    <w:p>
      <w:pPr>
        <w:spacing w:after="0" w:line="182" w:lineRule="exact"/>
        <w:rPr>
          <w:sz w:val="20"/>
          <w:szCs w:val="20"/>
          <w:color w:val="auto"/>
        </w:rPr>
      </w:pPr>
    </w:p>
    <w:p>
      <w:pPr>
        <w:ind w:right="220" w:firstLine="458"/>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58"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42"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under U.S. insolvency laws.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6" w:lineRule="exact"/>
        <w:rPr>
          <w:sz w:val="20"/>
          <w:szCs w:val="20"/>
          <w:color w:val="auto"/>
        </w:rPr>
      </w:pPr>
    </w:p>
    <w:p>
      <w:pPr>
        <w:ind w:firstLine="458"/>
        <w:spacing w:after="0" w:line="246"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5"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2"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ind w:left="460" w:right="460"/>
        <w:spacing w:after="0" w:line="291"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3" w:lineRule="exact"/>
        <w:rPr>
          <w:rFonts w:ascii="Times New Roman" w:cs="Times New Roman" w:eastAsia="Times New Roman" w:hAnsi="Times New Roman"/>
          <w:sz w:val="16"/>
          <w:szCs w:val="16"/>
          <w:color w:val="auto"/>
        </w:rPr>
      </w:pPr>
    </w:p>
    <w:p>
      <w:pPr>
        <w:ind w:left="900" w:right="360" w:hanging="429"/>
        <w:spacing w:after="0" w:line="282"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3"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 such as the COVID-19 pandemic;</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2"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1"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2" w:lineRule="exact"/>
        <w:rPr>
          <w:sz w:val="20"/>
          <w:szCs w:val="20"/>
          <w:color w:val="auto"/>
        </w:rPr>
      </w:pPr>
    </w:p>
    <w:p>
      <w:pPr>
        <w:ind w:right="240" w:firstLine="458"/>
        <w:spacing w:after="0" w:line="25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Particularly after we are no longer an “emerging growth company” or cease to qualify as a foreign private issuer, we expect to incur significant legal, accounting and other expenses.</w:t>
      </w:r>
    </w:p>
    <w:p>
      <w:pPr>
        <w:spacing w:after="0" w:line="177"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public company reporting requirements and our potential failure to satisfy these requirements can have a material adverse effect on our operations, business, financial condition or results of operations.</w:t>
      </w:r>
    </w:p>
    <w:p>
      <w:pPr>
        <w:spacing w:after="0" w:line="158" w:lineRule="exact"/>
        <w:rPr>
          <w:sz w:val="20"/>
          <w:szCs w:val="20"/>
          <w:color w:val="auto"/>
        </w:rPr>
      </w:pPr>
    </w:p>
    <w:p>
      <w:pPr>
        <w:ind w:left="460" w:right="60"/>
        <w:spacing w:after="0" w:line="268"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59"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 INFORMATION ON THE COMPANY</w:t>
      </w:r>
    </w:p>
    <w:p>
      <w:pPr>
        <w:spacing w:after="0" w:line="218" w:lineRule="exact"/>
        <w:rPr>
          <w:sz w:val="20"/>
          <w:szCs w:val="20"/>
          <w:color w:val="auto"/>
        </w:rPr>
      </w:pPr>
    </w:p>
    <w:p>
      <w:pPr>
        <w:ind w:left="900" w:hanging="429"/>
        <w:spacing w:after="0"/>
        <w:tabs>
          <w:tab w:leader="none" w:pos="90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History and development of the </w:t>
      </w:r>
      <w:r>
        <w:rPr>
          <w:rFonts w:ascii="Arial" w:cs="Arial" w:eastAsia="Arial" w:hAnsi="Arial"/>
          <w:sz w:val="16"/>
          <w:szCs w:val="16"/>
          <w:color w:val="auto"/>
        </w:rPr>
        <w:t>C</w:t>
      </w:r>
      <w:r>
        <w:rPr>
          <w:rFonts w:ascii="Arial" w:cs="Arial" w:eastAsia="Arial" w:hAnsi="Arial"/>
          <w:sz w:val="16"/>
          <w:szCs w:val="16"/>
          <w:b w:val="1"/>
          <w:bCs w:val="1"/>
          <w:color w:val="auto"/>
        </w:rPr>
        <w:t>ompany</w:t>
      </w:r>
    </w:p>
    <w:p>
      <w:pPr>
        <w:spacing w:after="0" w:line="218"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PHA121 demonstrated over 4000-fold selectivity for the bradykinin-B2-receptor when compared to approximately 170 other molecular targets, including the bradykinin-B1-receptor.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183" w:lineRule="exact"/>
        <w:rPr>
          <w:sz w:val="20"/>
          <w:szCs w:val="20"/>
          <w:color w:val="auto"/>
        </w:rPr>
      </w:pPr>
    </w:p>
    <w:p>
      <w:pPr>
        <w:ind w:right="460" w:firstLine="458"/>
        <w:spacing w:after="0" w:line="257"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177"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188"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founded in 2015 in Leiden, The Netherlands. Our principal executive offices are located in Emmy Noetherweg 2, 2333 BK Leiden, The Netherlands, telephone: +31 (0)71 2036 410. Our agent for service of process in the United States is Dr. Morgan Conn, who is registered in PO Box 121, Buckingham PA 18912, USA.</w:t>
      </w:r>
    </w:p>
    <w:p>
      <w:pPr>
        <w:spacing w:after="0" w:line="179" w:lineRule="exact"/>
        <w:rPr>
          <w:sz w:val="20"/>
          <w:szCs w:val="20"/>
          <w:color w:val="auto"/>
        </w:rPr>
      </w:pPr>
    </w:p>
    <w:p>
      <w:pPr>
        <w:ind w:right="300" w:firstLine="458"/>
        <w:spacing w:after="0" w:line="264"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AND FINANCIAL REVIEW AND PROSPECTS—B. Liquidity and Capital Resources.”</w:t>
      </w:r>
    </w:p>
    <w:p>
      <w:pPr>
        <w:spacing w:after="0" w:line="170" w:lineRule="exact"/>
        <w:rPr>
          <w:sz w:val="20"/>
          <w:szCs w:val="20"/>
          <w:color w:val="auto"/>
        </w:rPr>
      </w:pPr>
    </w:p>
    <w:p>
      <w:pPr>
        <w:ind w:right="280" w:firstLine="458"/>
        <w:spacing w:after="0" w:line="264"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278" w:lineRule="exact"/>
        <w:rPr>
          <w:sz w:val="20"/>
          <w:szCs w:val="20"/>
          <w:color w:val="auto"/>
        </w:rPr>
      </w:pPr>
    </w:p>
    <w:p>
      <w:pPr>
        <w:ind w:left="900" w:hanging="429"/>
        <w:spacing w:after="0"/>
        <w:tabs>
          <w:tab w:leader="none" w:pos="90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1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Overview</w:t>
      </w:r>
    </w:p>
    <w:p>
      <w:pPr>
        <w:spacing w:after="0" w:line="218"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Deucrictibant (PHA121, PHA-022121) is a novel, highly potent inhibitor and selective small molecule bradykinin-B2-receptor antagonist and, to our knowledge, the only orally available bradykinin-B2-receptor antagonist currently in development. Deucrictibant has been observed to be a potent inhibitor in vitro as assessed using human recombinant bradykinin-B2-receptors (150 pM); ex vivo as studied against endogenous bradykinin-B2-receptors in a human umbilical vein model (350 pM); and in vivo in the human bradykinin-challenge model (170 pM). Potency as used in this Annual Report refers to the amount of drug required to produce a pharmacological effect of given intensity and is not a measure of therapeutic efficacy. PHA121 demonstrated over 4000-fold selectivity for the bradykinin-B2-receptor when compared to approximately 170 other molecular targets, including the bradykinin B1 receptor. We designed deucrictibant as a new chemotype with properties compatible with oral delivery. We are developing deucrictibant for the on-demand indication as PHVS416, which is delivered in a softgel capsule designed to rapidly treat symptoms with a single dose. We are also developing deucrictibant for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prophylactic indication as PHVS719, which is a small daily dose tablet with an extended-release formulation designed for the patient to maintain therapeutic levels for at least 24 hours and to achieve a steady-state plasma concentration within 72 hours. We have released topline data from our RAPIDe-1 study demonstrating efficacy and tolerability in our Phase 2 clinical trial for treatment of HAE attacks on demand using PHVS416 and topline data from our CHAPTER-1 study demonstrating efficacy and tolerability of deucrictibant for the prophylactic treatment of HAE attacks. CHAPTER-1 used twice daily dosing of PhVS416 for proof-of-concept. We intend to use PHVS719 extended-release deucrictibant in further trials and commercially for prophylaxis.</w:t>
      </w:r>
    </w:p>
    <w:p>
      <w:pPr>
        <w:spacing w:after="0" w:line="17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or PK, with and without food. In addition, we observed deucrictibant to be a potent antagonist of the bradykinin-B2-receptor, in vitro and in vivo with healthy volunteers. In our models based on PK data from our Phase 1 clinical trial of deucrictibant and published data for icatibant, both in the BK challenge assessment, deucrictibant was shown to be consistently 25-fold more potent at inhibiting the effects of administered bradykinin than icatibant on a molar basis. We have not conducted a head-to-head comparison of icatibant to deucrictibant in a clinical trial but have compared the published data for icatibant to data from our Phase 1 and Phase 2 clinical trials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3"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our Phase 2 placebo-controlled trial evaluating the efficacy and tolerability of PHVS416 for on-demand treatment of attacks in patients with HAE type 1 and 2 (RAPIDe-1), a statistically significant and clinical meaningful reduction of the patient-reported symptoms of HAE was observed for the attacks treated with all doses of PHVS416 (10, 20, 30 mg) compared to placebo-treated attacks. The study’s primary endpoint—symptom relief at four hours after treatment with study drug—as well as all key secondary efficacy endpoints were met. Consistently with its pharmacokinetic profile, PHVS416 demonstrated rapid onset of action, symptom relief, and resolution of the manifestations of HAE attacks as well as sustained clinical effects, with consistent findings across outcome measures. In addition, PHVS416 substantially reduced the use of rescue medication compared to the placebo. PHVS416 was generally well tolerated at all dose levels with three treatment-related adverse events (TRAEs) reported for one PHVS416 30-mg-treated attack (2.8%) and one TRAE reported for one placebo-treated attack (1.9%); there were no treatment-related serious adverse events (SAEs), no treatment-related adverse events (AEs) of severe severity, and no AEs leading to treatment discontinuation. We believe these positive Phase 2 data support further development of PHVS416 as a potential oral on-demand therapy for HAE attacks.</w:t>
      </w:r>
    </w:p>
    <w:p>
      <w:pPr>
        <w:spacing w:after="0" w:line="182"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In our Phase 2 placebo-controlled trial evaluating the efficacy and the safety and tolerability of deucrictibant for long-term prophylaxis against angioedema attacks in HAE type 1 and 2 (CHAPTER-1), a statistically significant and clinical meaningful reduction in mean monthly attack rate was observed compared to placebo-treated attacks. The study’s primary endpoint was met as 40 mg per day orally administered deucrictibant significantly reduced the mean monthly HAE attack rate by 84.5% compared to placebo.</w:t>
      </w:r>
    </w:p>
    <w:p>
      <w:pPr>
        <w:spacing w:after="0" w:line="284"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81"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Global sales of treatments for HAE in 2022 are estimated at approximately $2.7 billion based on publicly available information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bradykinin-B2-receptor,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Based on results observed from our four completed clinical trials to-date, we believe our product candidates that contain deucrictibant will demonstrate advantages and differentiation relative to currently approved HAE therapies and other oral therapies in clinical development. Deucrictibant’s bradykinin-B2-receptor-inhibition mechanism has a well-established clinical therapeutic profile in a currently approved product in the rapid treatment of acute HAE attacks. We have observed greater potency for deucrictibant compared to icatibant using a surrogate endpoint in the bradykinin challenge study, potentially resulting in both a smaller therapeutic dose and a longer duration of effect. We evaluated the PD and PK of deucrictibant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deucrictibant on cardiovascular parameters affected by bradykinin such as blood pressure, heart rate and cardiac output in healthy volunteers. We observed that deucrictibant was more potent in blocking the effects of BK in humans than icatibant, when comparing the deucrictibant results of the trial to published data on icatibant. The data from this trial allowed us to generate a PK/PD correlation model. Based on this model and published data on icatibant,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predict the duration of effect for a single oral dose of 12 mg deucrictibant to exceed that of 30 mg of icatibant and a single oral dose of 22 mg deucrictibant will cover the same duration of effect as two icatibant injections of 30 mg administered six hours apart. Furthermore, analysis based on the results from this trial suggest that therapeutic doses of deucrictibant may be at least 10-fold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The topline data from our deucrictibant Phase 2 RAPIDe-1 trial treating HAE attacks were consistent with the predictions of the BK challenge in both onset of symptom relief and duration of effect (use of rescue medication). However, we have not conducted a head-to-head comparison of icatibant to deucrictibant in a clinical trial but have compared the published data for icatibant to data from our Phase 1 clinical trial of deucrictibant. Potency as used in this Annual Report refers to the amount of drug required to produce a pharmacological effect of given intensity and is not a measure of therapeutic efficacy.</w:t>
      </w:r>
    </w:p>
    <w:p>
      <w:pPr>
        <w:spacing w:after="0" w:line="186" w:lineRule="exact"/>
        <w:rPr>
          <w:sz w:val="20"/>
          <w:szCs w:val="20"/>
          <w:color w:val="auto"/>
        </w:rPr>
      </w:pPr>
    </w:p>
    <w:p>
      <w:pPr>
        <w:ind w:right="60" w:firstLine="464"/>
        <w:spacing w:after="0" w:line="252"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1" w:lineRule="exact"/>
        <w:rPr>
          <w:sz w:val="20"/>
          <w:szCs w:val="20"/>
          <w:color w:val="auto"/>
        </w:rPr>
      </w:pPr>
    </w:p>
    <w:p>
      <w:pPr>
        <w:ind w:right="140" w:firstLine="464"/>
        <w:spacing w:after="0" w:line="257" w:lineRule="auto"/>
        <w:rPr>
          <w:sz w:val="20"/>
          <w:szCs w:val="20"/>
          <w:color w:val="auto"/>
        </w:rPr>
      </w:pPr>
      <w:r>
        <w:rPr>
          <w:rFonts w:ascii="Arial" w:cs="Arial" w:eastAsia="Arial" w:hAnsi="Arial"/>
          <w:sz w:val="16"/>
          <w:szCs w:val="16"/>
          <w:color w:val="auto"/>
        </w:rPr>
        <w:t>Additional trials may be required by the FDA, EMA or other regulators even with positive data from RAPIDe-1 and CHAPTER-1. We are also planning to conduct a registration-directed trial in the on-demand setting and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111"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We believe that deucrictibant, as the molecule underlying both PHVS416 and PHVS719, has the potential to be highly differentiated for both the on-demand and prophylactic settings with the key benefits below:</w:t>
      </w:r>
    </w:p>
    <w:p>
      <w:pPr>
        <w:spacing w:after="0" w:line="156"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i w:val="1"/>
          <w:iCs w:val="1"/>
          <w:color w:val="auto"/>
        </w:rPr>
        <w:t xml:space="preserve">PHVS416. </w:t>
      </w:r>
      <w:r>
        <w:rPr>
          <w:rFonts w:ascii="Arial" w:cs="Arial" w:eastAsia="Arial" w:hAnsi="Arial"/>
          <w:sz w:val="16"/>
          <w:szCs w:val="16"/>
          <w:color w:val="auto"/>
        </w:rPr>
        <w:t>We believe that PHVS416, an on-demand, rapid exposure softgel capsule, has the potential to be highly differentiated for patients suffering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acute HAE attacks with the following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Complete Symptom Resolution</w:t>
            </w:r>
          </w:p>
        </w:tc>
        <w:tc>
          <w:tcPr>
            <w:tcW w:w="8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Clinically validated mechanism of bradykinin-B2-receptor antagonism</w:t>
            </w:r>
          </w:p>
        </w:tc>
        <w:tc>
          <w:tcPr>
            <w:tcW w:w="0" w:type="dxa"/>
            <w:vAlign w:val="bottom"/>
          </w:tcPr>
          <w:p>
            <w:pPr>
              <w:spacing w:after="0"/>
              <w:rPr>
                <w:sz w:val="1"/>
                <w:szCs w:val="1"/>
                <w:color w:val="auto"/>
              </w:rPr>
            </w:pPr>
          </w:p>
        </w:tc>
      </w:tr>
      <w:tr>
        <w:trPr>
          <w:trHeight w:val="301"/>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 xml:space="preserve">Utilizing same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surrogate assessment for dose selection as the</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development program for icatibant (validity confirmed in the RAPIDe-1 Phase 2</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trial)</w:t>
            </w:r>
          </w:p>
        </w:tc>
        <w:tc>
          <w:tcPr>
            <w:tcW w:w="0" w:type="dxa"/>
            <w:vAlign w:val="bottom"/>
          </w:tcPr>
          <w:p>
            <w:pPr>
              <w:spacing w:after="0"/>
              <w:rPr>
                <w:sz w:val="1"/>
                <w:szCs w:val="1"/>
                <w:color w:val="auto"/>
              </w:rPr>
            </w:pPr>
          </w:p>
        </w:tc>
      </w:tr>
      <w:tr>
        <w:trPr>
          <w:trHeight w:val="282"/>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More potent inhibitor than icatibant</w:t>
            </w:r>
          </w:p>
        </w:tc>
        <w:tc>
          <w:tcPr>
            <w:tcW w:w="0" w:type="dxa"/>
            <w:vAlign w:val="bottom"/>
          </w:tcPr>
          <w:p>
            <w:pPr>
              <w:spacing w:after="0"/>
              <w:rPr>
                <w:sz w:val="1"/>
                <w:szCs w:val="1"/>
                <w:color w:val="auto"/>
              </w:rPr>
            </w:pPr>
          </w:p>
        </w:tc>
      </w:tr>
      <w:tr>
        <w:trPr>
          <w:trHeight w:val="375"/>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Longer half-life than icatibant</w:t>
            </w:r>
          </w:p>
        </w:tc>
        <w:tc>
          <w:tcPr>
            <w:tcW w:w="0" w:type="dxa"/>
            <w:vAlign w:val="bottom"/>
          </w:tcPr>
          <w:p>
            <w:pPr>
              <w:spacing w:after="0"/>
              <w:rPr>
                <w:sz w:val="1"/>
                <w:szCs w:val="1"/>
                <w:color w:val="auto"/>
              </w:rPr>
            </w:pPr>
          </w:p>
        </w:tc>
      </w:tr>
      <w:tr>
        <w:trPr>
          <w:trHeight w:val="95"/>
        </w:trPr>
        <w:tc>
          <w:tcPr>
            <w:tcW w:w="45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Rapid Onset of Activity</w:t>
            </w:r>
          </w:p>
        </w:tc>
        <w:tc>
          <w:tcPr>
            <w:tcW w:w="880" w:type="dxa"/>
            <w:vAlign w:val="bottom"/>
          </w:tcPr>
          <w:p>
            <w:pPr>
              <w:ind w:left="7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line="181" w:lineRule="exact"/>
              <w:rPr>
                <w:sz w:val="20"/>
                <w:szCs w:val="20"/>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in</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30 minutes, with or without food</w:t>
            </w:r>
          </w:p>
        </w:tc>
        <w:tc>
          <w:tcPr>
            <w:tcW w:w="0" w:type="dxa"/>
            <w:vAlign w:val="bottom"/>
          </w:tcPr>
          <w:p>
            <w:pPr>
              <w:spacing w:after="0"/>
              <w:rPr>
                <w:sz w:val="1"/>
                <w:szCs w:val="1"/>
                <w:color w:val="auto"/>
              </w:rPr>
            </w:pPr>
          </w:p>
        </w:tc>
      </w:tr>
      <w:tr>
        <w:trPr>
          <w:trHeight w:val="247"/>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r>
        <w:trPr>
          <w:trHeight w:val="69"/>
        </w:trPr>
        <w:tc>
          <w:tcPr>
            <w:tcW w:w="452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80" w:type="dxa"/>
            <w:vAlign w:val="bottom"/>
          </w:tcPr>
          <w:p>
            <w:pPr>
              <w:ind w:left="7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line="181" w:lineRule="exact"/>
              <w:rPr>
                <w:sz w:val="20"/>
                <w:szCs w:val="20"/>
                <w:color w:val="auto"/>
              </w:rPr>
            </w:pPr>
            <w:r>
              <w:rPr>
                <w:rFonts w:ascii="Arial" w:cs="Arial" w:eastAsia="Arial" w:hAnsi="Arial"/>
                <w:sz w:val="16"/>
                <w:szCs w:val="16"/>
                <w:color w:val="auto"/>
              </w:rPr>
              <w:t>Convenient oral formulation removes barriers inherent in current injectable</w:t>
            </w:r>
          </w:p>
        </w:tc>
        <w:tc>
          <w:tcPr>
            <w:tcW w:w="0" w:type="dxa"/>
            <w:vAlign w:val="bottom"/>
          </w:tcPr>
          <w:p>
            <w:pPr>
              <w:spacing w:after="0"/>
              <w:rPr>
                <w:sz w:val="1"/>
                <w:szCs w:val="1"/>
                <w:color w:val="auto"/>
              </w:rPr>
            </w:pPr>
          </w:p>
        </w:tc>
      </w:tr>
      <w:tr>
        <w:trPr>
          <w:trHeight w:val="141"/>
        </w:trPr>
        <w:tc>
          <w:tcPr>
            <w:tcW w:w="45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treatments to facilitate early treatment of acute HAE attacks and overall treatment</w:t>
            </w: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of more attacks than currently reported</w:t>
            </w:r>
          </w:p>
        </w:tc>
        <w:tc>
          <w:tcPr>
            <w:tcW w:w="0" w:type="dxa"/>
            <w:vAlign w:val="bottom"/>
          </w:tcPr>
          <w:p>
            <w:pPr>
              <w:spacing w:after="0"/>
              <w:rPr>
                <w:sz w:val="1"/>
                <w:szCs w:val="1"/>
                <w:color w:val="auto"/>
              </w:rPr>
            </w:pPr>
          </w:p>
        </w:tc>
      </w:tr>
      <w:tr>
        <w:trPr>
          <w:trHeight w:val="282"/>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Capsule reduces treatment burden</w:t>
            </w:r>
          </w:p>
        </w:tc>
        <w:tc>
          <w:tcPr>
            <w:tcW w:w="0" w:type="dxa"/>
            <w:vAlign w:val="bottom"/>
          </w:tcPr>
          <w:p>
            <w:pPr>
              <w:spacing w:after="0"/>
              <w:rPr>
                <w:sz w:val="1"/>
                <w:szCs w:val="1"/>
                <w:color w:val="auto"/>
              </w:rPr>
            </w:pPr>
          </w:p>
        </w:tc>
      </w:tr>
      <w:tr>
        <w:trPr>
          <w:trHeight w:val="375"/>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on-demand treatment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140" w:firstLine="464"/>
        <w:spacing w:after="0" w:line="283" w:lineRule="auto"/>
        <w:rPr>
          <w:sz w:val="20"/>
          <w:szCs w:val="20"/>
          <w:color w:val="auto"/>
        </w:rPr>
      </w:pPr>
      <w:r>
        <w:rPr>
          <w:rFonts w:ascii="Arial" w:cs="Arial" w:eastAsia="Arial" w:hAnsi="Arial"/>
          <w:sz w:val="16"/>
          <w:szCs w:val="16"/>
          <w:i w:val="1"/>
          <w:iCs w:val="1"/>
          <w:color w:val="auto"/>
        </w:rPr>
        <w:t>PHVS719</w:t>
      </w:r>
      <w:r>
        <w:rPr>
          <w:rFonts w:ascii="Arial" w:cs="Arial" w:eastAsia="Arial" w:hAnsi="Arial"/>
          <w:sz w:val="16"/>
          <w:szCs w:val="16"/>
          <w:color w:val="auto"/>
        </w:rPr>
        <w:t>. We believe that PHVS719, a prophylactic extended-release tablet designed to be taken in small, daily doses, has the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HAE patients with the following benefits: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Protection From Attacks</w:t>
            </w:r>
          </w:p>
        </w:tc>
        <w:tc>
          <w:tcPr>
            <w:tcW w:w="8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Validated, proven mechanism to address all bradykinin, regardless of pathway</w:t>
            </w:r>
          </w:p>
        </w:tc>
      </w:tr>
      <w:tr>
        <w:trPr>
          <w:trHeight w:val="32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Ideal Release Profile for Prophylactic Use</w:t>
            </w: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Reaches and maintains steady-state concentration within 72 hours</w:t>
            </w:r>
          </w:p>
        </w:tc>
      </w:tr>
      <w:tr>
        <w:trPr>
          <w:trHeight w:val="309"/>
        </w:trPr>
        <w:tc>
          <w:tcPr>
            <w:tcW w:w="4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Appropriate pharmacokinetic profile with or without food</w:t>
            </w:r>
          </w:p>
        </w:tc>
      </w:tr>
      <w:tr>
        <w:trPr>
          <w:trHeight w:val="322"/>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Convenient oral daily dosing with extended-release tablet</w:t>
            </w:r>
          </w:p>
        </w:tc>
      </w:tr>
      <w:tr>
        <w:trPr>
          <w:trHeight w:val="32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for once-a-day dosing</w:t>
            </w:r>
          </w:p>
        </w:tc>
      </w:tr>
      <w:tr>
        <w:trPr>
          <w:trHeight w:val="327"/>
        </w:trPr>
        <w:tc>
          <w:tcPr>
            <w:tcW w:w="4520" w:type="dxa"/>
            <w:vAlign w:val="bottom"/>
          </w:tcPr>
          <w:p>
            <w:pPr>
              <w:spacing w:after="0"/>
              <w:rPr>
                <w:sz w:val="24"/>
                <w:szCs w:val="24"/>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treatment; ease of administration</w:t>
            </w:r>
          </w:p>
        </w:tc>
      </w:tr>
      <w:tr>
        <w:trPr>
          <w:trHeight w:val="202"/>
        </w:trPr>
        <w:tc>
          <w:tcPr>
            <w:tcW w:w="4520" w:type="dxa"/>
            <w:vAlign w:val="bottom"/>
          </w:tcPr>
          <w:p>
            <w:pPr>
              <w:spacing w:after="0"/>
              <w:rPr>
                <w:sz w:val="17"/>
                <w:szCs w:val="17"/>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Well tolerated throughout therapeutic ranges as demonstrated by multiple clinical</w:t>
            </w:r>
          </w:p>
        </w:tc>
      </w:tr>
      <w:tr>
        <w:trPr>
          <w:trHeight w:val="214"/>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trials to-date</w:t>
            </w:r>
          </w:p>
        </w:tc>
      </w:tr>
      <w:tr>
        <w:trPr>
          <w:trHeight w:val="214"/>
        </w:trPr>
        <w:tc>
          <w:tcPr>
            <w:tcW w:w="4520" w:type="dxa"/>
            <w:vAlign w:val="bottom"/>
          </w:tcPr>
          <w:p>
            <w:pPr>
              <w:spacing w:after="0"/>
              <w:rPr>
                <w:sz w:val="18"/>
                <w:szCs w:val="18"/>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No injection needed</w:t>
            </w:r>
          </w:p>
        </w:tc>
      </w:tr>
    </w:tbl>
    <w:p>
      <w:pPr>
        <w:spacing w:after="0" w:line="200" w:lineRule="exact"/>
        <w:rPr>
          <w:sz w:val="20"/>
          <w:szCs w:val="20"/>
          <w:color w:val="auto"/>
        </w:rPr>
      </w:pPr>
    </w:p>
    <w:p>
      <w:pPr>
        <w:spacing w:after="0" w:line="203" w:lineRule="exact"/>
        <w:rPr>
          <w:sz w:val="20"/>
          <w:szCs w:val="20"/>
          <w:color w:val="auto"/>
        </w:rPr>
      </w:pPr>
    </w:p>
    <w:p>
      <w:pPr>
        <w:jc w:val="both"/>
        <w:ind w:right="440" w:firstLine="464"/>
        <w:spacing w:after="0" w:line="263"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get treated on-demand only and graduate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262890</wp:posOffset>
            </wp:positionV>
            <wp:extent cx="5617845" cy="1685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17845" cy="168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464"/>
        <w:spacing w:after="0" w:line="254"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deucrictibant. PHVS416 will be a softgel capsule, and PHVS719 will be an extended-release tablet. We reported topline data from our RAPIDe-1 Phase 2 clinical trial of PHVS416 in acute treatment in December 2022 and topline data from our CHAPTER-1 Phase 2 clinical trial in prophylaxis in December 2023. We also reported data from a Phase 1 clinical trial with PHVS719 in 2022 showing once-daily pharmacokinetics and tolerability of the extended-release formulation.</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10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Our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that could include cardiovascular, allergy and immunology and others.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111" w:lineRule="exact"/>
        <w:rPr>
          <w:sz w:val="20"/>
          <w:szCs w:val="20"/>
          <w:color w:val="auto"/>
        </w:rPr>
      </w:pPr>
    </w:p>
    <w:p>
      <w:pPr>
        <w:ind w:left="900" w:right="400" w:hanging="429"/>
        <w:spacing w:after="0" w:line="282"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FIRAZYR through European approval, and a key member from the TAKHZYRO development team;</w:t>
      </w:r>
    </w:p>
    <w:p>
      <w:pPr>
        <w:spacing w:after="0" w:line="49"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HAE;</w:t>
      </w:r>
    </w:p>
    <w:p>
      <w:pPr>
        <w:sectPr>
          <w:pgSz w:w="11900" w:h="16838" w:orient="portrait"/>
          <w:cols w:equalWidth="0" w:num="1">
            <w:col w:w="11240"/>
          </w:cols>
          <w:pgMar w:left="320" w:top="769"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120" w:hanging="429"/>
        <w:spacing w:after="0" w:line="282"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has demonstrated physicochemical properties suitable to formulations as both an on-demand product candidate, PHVS416, and a distinct prophylactic product candidate, PHVS719;</w:t>
      </w:r>
    </w:p>
    <w:p>
      <w:pPr>
        <w:spacing w:after="0" w:line="49" w:lineRule="exact"/>
        <w:rPr>
          <w:rFonts w:ascii="Times New Roman" w:cs="Times New Roman" w:eastAsia="Times New Roman" w:hAnsi="Times New Roman"/>
          <w:sz w:val="16"/>
          <w:szCs w:val="16"/>
          <w:color w:val="auto"/>
        </w:rPr>
      </w:pPr>
    </w:p>
    <w:p>
      <w:pPr>
        <w:ind w:left="900" w:right="60" w:hanging="429"/>
        <w:spacing w:after="0" w:line="263"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compared to icatibant, the currently approved bradykinin-B2-receptor inhibitor, demonstrated higher preclinical potency in blocking bradykinin signaling at the bradykinin-B2-receptor, and good oral bioavailability and a longer half-life in humans, which has resulted in longer duration of the BK-blocking pharmacodynamic effect in humans;</w:t>
      </w:r>
    </w:p>
    <w:p>
      <w:pPr>
        <w:spacing w:after="0" w:line="64" w:lineRule="exact"/>
        <w:rPr>
          <w:rFonts w:ascii="Times New Roman" w:cs="Times New Roman" w:eastAsia="Times New Roman" w:hAnsi="Times New Roman"/>
          <w:sz w:val="16"/>
          <w:szCs w:val="16"/>
          <w:color w:val="auto"/>
        </w:rPr>
      </w:pPr>
    </w:p>
    <w:p>
      <w:pPr>
        <w:ind w:left="900" w:right="500" w:hanging="429"/>
        <w:spacing w:after="0" w:line="282"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granted and pending patent applications – covering deucrictibant and additional molecules, formulations and use; and</w:t>
      </w:r>
    </w:p>
    <w:p>
      <w:pPr>
        <w:spacing w:after="0" w:line="49" w:lineRule="exact"/>
        <w:rPr>
          <w:rFonts w:ascii="Times New Roman" w:cs="Times New Roman" w:eastAsia="Times New Roman" w:hAnsi="Times New Roman"/>
          <w:sz w:val="16"/>
          <w:szCs w:val="16"/>
          <w:color w:val="auto"/>
        </w:rPr>
      </w:pPr>
    </w:p>
    <w:p>
      <w:pPr>
        <w:ind w:left="900" w:right="260" w:hanging="429"/>
        <w:spacing w:after="0" w:line="282" w:lineRule="auto"/>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Our scientific experience allows us to leverage deep insight and experience in the bradykinin-B2-receptor pathway to expand our portfolio into other BK-mediated angioedema and BK-mediated diseases beyond angioedema.</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1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other BK-mediated angioedema and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 willing to accept significantly reduced efficacy or safety with a switch to oral therapy. A therapy for HAE, whether for on-demand or prophylaxis, needs to offer strong efficacy, high tolerability &amp; safety, and convenient administration. Our intention with PHVS416 and PHVS719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3" w:lineRule="exact"/>
        <w:rPr>
          <w:sz w:val="20"/>
          <w:szCs w:val="20"/>
          <w:color w:val="auto"/>
        </w:rPr>
      </w:pPr>
    </w:p>
    <w:p>
      <w:pPr>
        <w:ind w:left="900" w:right="80" w:hanging="429"/>
        <w:spacing w:after="0" w:line="253"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Continue to advance deucrictibant through clinical development for on-demand treatment of HAE utilizing a fast-onset formulation, known as PHVS416. </w:t>
      </w:r>
      <w:r>
        <w:rPr>
          <w:rFonts w:ascii="Arial" w:cs="Arial" w:eastAsia="Arial" w:hAnsi="Arial"/>
          <w:sz w:val="16"/>
          <w:szCs w:val="16"/>
          <w:color w:val="auto"/>
        </w:rPr>
        <w:t>We intend to develop and commercialize PHVS416 as a fast-acting, orally available, potent inhibitor and selective treatment for acute</w:t>
      </w: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HAE</w:t>
      </w:r>
    </w:p>
    <w:p>
      <w:pPr>
        <w:spacing w:after="0" w:line="94" w:lineRule="exact"/>
        <w:rPr>
          <w:rFonts w:ascii="Times New Roman" w:cs="Times New Roman" w:eastAsia="Times New Roman" w:hAnsi="Times New Roman"/>
          <w:sz w:val="16"/>
          <w:szCs w:val="16"/>
          <w:color w:val="auto"/>
        </w:rPr>
      </w:pPr>
    </w:p>
    <w:p>
      <w:pPr>
        <w:ind w:left="900" w:hanging="429"/>
        <w:spacing w:after="0" w:line="254"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PHVS719</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efficacy, safety and PK data from our Phase 2 trials RAPIDe-1 and CHAPTER-1 of PHVS416 to help select and refine our prophylactic dose for the PHVS719 clinical trials.</w:t>
      </w:r>
    </w:p>
    <w:p>
      <w:pPr>
        <w:spacing w:after="0" w:line="71" w:lineRule="exact"/>
        <w:rPr>
          <w:rFonts w:ascii="Times New Roman" w:cs="Times New Roman" w:eastAsia="Times New Roman" w:hAnsi="Times New Roman"/>
          <w:sz w:val="16"/>
          <w:szCs w:val="16"/>
          <w:color w:val="auto"/>
        </w:rPr>
      </w:pPr>
    </w:p>
    <w:p>
      <w:pPr>
        <w:ind w:left="900" w:right="20" w:hanging="429"/>
        <w:spacing w:after="0" w:line="251"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PHVS416 and PHVS719 can be applied. </w:t>
      </w:r>
      <w:r>
        <w:rPr>
          <w:rFonts w:ascii="Arial" w:cs="Arial" w:eastAsia="Arial" w:hAnsi="Arial"/>
          <w:sz w:val="16"/>
          <w:szCs w:val="16"/>
          <w:color w:val="auto"/>
        </w:rPr>
        <w:t>In addition to Type 1 or</w:t>
      </w:r>
      <w:r>
        <w:rPr>
          <w:rFonts w:ascii="Arial" w:cs="Arial" w:eastAsia="Arial" w:hAnsi="Arial"/>
          <w:sz w:val="16"/>
          <w:szCs w:val="16"/>
          <w:i w:val="1"/>
          <w:iCs w:val="1"/>
          <w:color w:val="auto"/>
        </w:rPr>
        <w:t xml:space="preserve"> </w:t>
      </w:r>
      <w:r>
        <w:rPr>
          <w:rFonts w:ascii="Arial" w:cs="Arial" w:eastAsia="Arial" w:hAnsi="Arial"/>
          <w:sz w:val="16"/>
          <w:szCs w:val="16"/>
          <w:color w:val="auto"/>
        </w:rPr>
        <w:t>Type 2 HAE, bradykinin is also an important mediator for other types of non-histaminergic angioedema, such as: hereditary angioedema with normal C1-INH and acquired angioedema (AAE) due to C1-INH deficiency. Currently there are still no treatments approved for these angioedema patients who are unresponsive to conventional antihistamine/glucocorticoid treatment and have a high unmet medical need for effective therapies. Several clinical reports indicate that off-label use of icatibant has successfully treated acute attacks of these non-histaminergic angioedema patients, which provides a strong rationale to expand the development PHVS416 and PHVS719 to address such a high unmet medical need.</w:t>
      </w:r>
    </w:p>
    <w:p>
      <w:pPr>
        <w:spacing w:after="0" w:line="265" w:lineRule="exact"/>
        <w:rPr>
          <w:rFonts w:ascii="Times New Roman" w:cs="Times New Roman" w:eastAsia="Times New Roman" w:hAnsi="Times New Roman"/>
          <w:sz w:val="16"/>
          <w:szCs w:val="16"/>
          <w:color w:val="auto"/>
        </w:rPr>
      </w:pPr>
    </w:p>
    <w:p>
      <w:pPr>
        <w:ind w:left="900" w:right="60" w:hanging="429"/>
        <w:spacing w:after="0" w:line="254"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bradykinin-B2-receptor pathway</w:t>
      </w:r>
      <w:r>
        <w:rPr>
          <w:rFonts w:ascii="Arial" w:cs="Arial" w:eastAsia="Arial" w:hAnsi="Arial"/>
          <w:sz w:val="16"/>
          <w:szCs w:val="16"/>
          <w:color w:val="auto"/>
        </w:rPr>
        <w:t>. We intend to leverage the strategic strengths, insight, and deep experience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71" w:lineRule="exact"/>
        <w:rPr>
          <w:rFonts w:ascii="Times New Roman" w:cs="Times New Roman" w:eastAsia="Times New Roman" w:hAnsi="Times New Roman"/>
          <w:sz w:val="16"/>
          <w:szCs w:val="16"/>
          <w:color w:val="auto"/>
        </w:rPr>
      </w:pPr>
    </w:p>
    <w:p>
      <w:pPr>
        <w:ind w:left="900" w:right="120" w:hanging="429"/>
        <w:spacing w:after="0" w:line="257"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84"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Hereditary Angioedema</w:t>
      </w:r>
    </w:p>
    <w:p>
      <w:pPr>
        <w:spacing w:after="0" w:line="113" w:lineRule="exact"/>
        <w:rPr>
          <w:sz w:val="20"/>
          <w:szCs w:val="20"/>
          <w:color w:val="auto"/>
        </w:rPr>
      </w:pPr>
    </w:p>
    <w:p>
      <w:pPr>
        <w:jc w:val="center"/>
        <w:ind w:right="940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09"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8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09" w:lineRule="exact"/>
        <w:rPr>
          <w:sz w:val="20"/>
          <w:szCs w:val="20"/>
          <w:color w:val="auto"/>
        </w:rPr>
      </w:pPr>
    </w:p>
    <w:p>
      <w:pPr>
        <w:ind w:right="440" w:firstLine="458"/>
        <w:spacing w:after="0" w:line="283"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short-or long-term prophylactic therapy.</w:t>
      </w:r>
    </w:p>
    <w:p>
      <w:pPr>
        <w:spacing w:after="0" w:line="116" w:lineRule="exact"/>
        <w:rPr>
          <w:sz w:val="20"/>
          <w:szCs w:val="20"/>
          <w:color w:val="auto"/>
        </w:rPr>
      </w:pPr>
    </w:p>
    <w:p>
      <w:pPr>
        <w:ind w:left="900" w:hanging="429"/>
        <w:spacing w:after="0" w:line="249"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bradykinin-B2-receptor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58" w:lineRule="exact"/>
        <w:rPr>
          <w:rFonts w:ascii="Times New Roman" w:cs="Times New Roman" w:eastAsia="Times New Roman" w:hAnsi="Times New Roman"/>
          <w:sz w:val="16"/>
          <w:szCs w:val="16"/>
          <w:color w:val="auto"/>
        </w:rPr>
      </w:pPr>
    </w:p>
    <w:p>
      <w:pPr>
        <w:ind w:left="900" w:right="120" w:hanging="429"/>
        <w:spacing w:after="0" w:line="250" w:lineRule="auto"/>
        <w:tabs>
          <w:tab w:leader="none" w:pos="90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222" w:lineRule="exact"/>
        <w:rPr>
          <w:sz w:val="20"/>
          <w:szCs w:val="20"/>
          <w:color w:val="auto"/>
        </w:rPr>
      </w:pPr>
    </w:p>
    <w:p>
      <w:pPr>
        <w:ind w:right="760" w:firstLine="458"/>
        <w:spacing w:after="0" w:line="283" w:lineRule="auto"/>
        <w:rPr>
          <w:sz w:val="20"/>
          <w:szCs w:val="20"/>
          <w:color w:val="auto"/>
        </w:rPr>
      </w:pPr>
      <w:r>
        <w:rPr>
          <w:rFonts w:ascii="Arial" w:cs="Arial" w:eastAsia="Arial" w:hAnsi="Arial"/>
          <w:sz w:val="16"/>
          <w:szCs w:val="16"/>
          <w:color w:val="auto"/>
        </w:rPr>
        <w:t>To our knowledge, there is one other angioedema-specific oral medication for on-demand use in clinical development. This kallikrein inhibitor, sebetralstat, is under development by Kalvista and has recently completed Phase 3.</w:t>
      </w:r>
    </w:p>
    <w:p>
      <w:pPr>
        <w:spacing w:after="0" w:line="196"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color w:val="auto"/>
        </w:rPr>
        <w:t>We believe that the properties and mechanism of deucrictibant enable us to develop oral product candidates that will be generally more convenient for patients to take, without sacrificing efficacy for treatment or prevention of angioedema attacks.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256"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hereditary angioedema with normal C1-INH and acquired angioedema (AAE) due to C1-INH deficiency. Unlike HAE Types 1 and 2, for other BK-mediated angioedema, an unclear pathophysiology and lack of consistent diagnostic criteria have limited the opportunity for the clinical investigation and new treatment development. Consequently, there are still no treatments approved for hereditary angioedema patients with normal C1-INH or AAE due to C1-INH deficiency, who are unresponsive to conventional antihistamine/glucocorticoid treatment and have a high unmet medical need for effective modern therapies. Recently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hereditary angioedema patients with normal C1-INH or AAE due to C1-INH deficiency patients. All these provide strong rationales to expand the development PHVS416 and PHVS719 to these types of BK-mediated angioedema and address the high unmet medical need.</w:t>
      </w:r>
    </w:p>
    <w:p>
      <w:pPr>
        <w:spacing w:after="0" w:line="223" w:lineRule="exact"/>
        <w:rPr>
          <w:sz w:val="20"/>
          <w:szCs w:val="20"/>
          <w:color w:val="auto"/>
        </w:rPr>
      </w:pPr>
    </w:p>
    <w:p>
      <w:pPr>
        <w:ind w:right="20" w:firstLine="458"/>
        <w:spacing w:after="0" w:line="283" w:lineRule="auto"/>
        <w:rPr>
          <w:sz w:val="20"/>
          <w:szCs w:val="20"/>
          <w:color w:val="auto"/>
        </w:rPr>
      </w:pPr>
      <w:r>
        <w:rPr>
          <w:rFonts w:ascii="Arial" w:cs="Arial" w:eastAsia="Arial" w:hAnsi="Arial"/>
          <w:sz w:val="16"/>
          <w:szCs w:val="16"/>
          <w:color w:val="auto"/>
        </w:rPr>
        <w:t>To our knowledge, one kallikrein inhibitor (lanadelumab-flyo, injected subcutaneously) is in development for hereditary angioedema with normal C1-INH and this inhibitor has recently completed a Phase 3 clinical trial for prophylaxis.</w:t>
      </w:r>
    </w:p>
    <w:p>
      <w:pPr>
        <w:sectPr>
          <w:pgSz w:w="11900" w:h="16838" w:orient="portrait"/>
          <w:cols w:equalWidth="0" w:num="1">
            <w:col w:w="11240"/>
          </w:cols>
          <w:pgMar w:left="320" w:top="769"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0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Since the 1990s, many companies have tried but failed to discover oral bradykinin-B2-receptor antagonists, as the bradykinin-B2-receptor has proved to be a difficult target for the development of orally available antagonists. Historically, compounds targeting the bradykinin-B2-receptor with adequate potency have had physicochemical properties inconsistent with oral bioavailability. The bradykinin-B2-receptor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bradykinin-B2-receptor,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bradykinin-B2-receptor, preventing or halting its signaling activity, while also possessing desirable physicochemical properties and other profiling characteristics.</w:t>
      </w:r>
    </w:p>
    <w:p>
      <w:pPr>
        <w:spacing w:after="0" w:line="186"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 acting as a potent and selective agonist of the bradykinin-B2-receptor.</w:t>
      </w:r>
    </w:p>
    <w:p>
      <w:pPr>
        <w:spacing w:after="0" w:line="156"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 Excessive bradykinin generation, as in HAE, promotes vascular permeability by activating the bradykinin-B2-receptor, leading to plasma extravasation and subcutaneous or submucosal tissue swelling typical of an angioedema attack.</w:t>
      </w:r>
    </w:p>
    <w:p>
      <w:pPr>
        <w:spacing w:after="0" w:line="177"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color w:val="auto"/>
        </w:rPr>
        <w:t>As the figure below illustrates, treatment with deucrictibant, an orally bioavailable low-molecular weight, potent, competitive and selective antagonist of the human bradykinin-B2-receptor, is intended to block and prevent activation of the bradykinin-B2-receptor by elevated bradykinin levels and prevent or halt the angioedema process, with reduced or resolved swelling as a consequence. Deucrictibant therefore has the therapeutic potential for both acute on-demand treatment and long-term prevention of attacks in patients with bradykinin-mediated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240665</wp:posOffset>
            </wp:positionV>
            <wp:extent cx="5107305" cy="28689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07305" cy="286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120" w:firstLine="458"/>
        <w:spacing w:after="0" w:line="264" w:lineRule="auto"/>
        <w:rPr>
          <w:sz w:val="20"/>
          <w:szCs w:val="20"/>
          <w:color w:val="auto"/>
        </w:rPr>
      </w:pPr>
      <w:r>
        <w:rPr>
          <w:rFonts w:ascii="Arial" w:cs="Arial" w:eastAsia="Arial" w:hAnsi="Arial"/>
          <w:sz w:val="16"/>
          <w:szCs w:val="16"/>
          <w:color w:val="auto"/>
        </w:rPr>
        <w:t>Deucrictibant combines the preclinical selectivity of bradykinin-B2-receptor antagonism with oral bioavailability and acceptable exposure upon a single dose. Deucrictibant is being developed to become the first effective orally administered antagonist of BK activity with therapeutic potential for both acute on-demand treatment and long-term prevention of attacks in patients with HAE and other BK-mediated angioedema.</w:t>
      </w:r>
    </w:p>
    <w:p>
      <w:pPr>
        <w:spacing w:after="0" w:line="170"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 xml:space="preserve">Deucrictibant is an orally bioavailable competitive antagonist of the bradykinin-B2-receptor with high affinity and high antagonist potency.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bradykinin-B2-receptors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bradykinin-B2-receptors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170" w:lineRule="exact"/>
        <w:rPr>
          <w:sz w:val="20"/>
          <w:szCs w:val="20"/>
          <w:color w:val="auto"/>
        </w:rPr>
      </w:pPr>
    </w:p>
    <w:p>
      <w:pPr>
        <w:ind w:right="400" w:firstLine="458"/>
        <w:spacing w:after="0" w:line="264" w:lineRule="auto"/>
        <w:rPr>
          <w:sz w:val="20"/>
          <w:szCs w:val="20"/>
          <w:color w:val="auto"/>
        </w:rPr>
      </w:pPr>
      <w:r>
        <w:rPr>
          <w:rFonts w:ascii="Arial" w:cs="Arial" w:eastAsia="Arial" w:hAnsi="Arial"/>
          <w:sz w:val="16"/>
          <w:szCs w:val="16"/>
          <w:color w:val="auto"/>
        </w:rPr>
        <w:t>Deucrictibant demonstrated over 4000-fold selectivity for the bradykinin-B2-receptor when compared to approximately 170 other molecular targets including the bradykinin B1 receptor. As shown in the graphs below depicting mean arterial blood pressure (MABP) in a bradykinin challenge study in monkeys (back-translated from human), deucrictibant showed clear dose-dependent activity. While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differences between human and monkey PK prevent direct extrapolation to human dose, deucrictibant demonstrated longer duration and faster onset of activity than injected icatibant in the same study. However, we have not conducted a head-to-head comparison of icatibant to deucrictibant in a clinical trial but have compared the published data for icatibant to data from our Phase 1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BK-Challenge in Nonclinical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154940</wp:posOffset>
            </wp:positionV>
            <wp:extent cx="4162425" cy="4460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62425" cy="446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 published study conducted by the Company, a dose of 0.6mg/kg sc icatibant was used in monkeys, as PK data indicated that this dose would provide an exposure (Cmax 1,044 ng/mL, AUC 2,155 ng*h/mL) similar to the exposures seen in humans at a therapeutic dose of 30 mg sc (Cmax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79"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Deucrictibant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1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6 months in rats and up to 9 months in monkeys.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genotoxicity nor</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phototoxic potential. No findings considered relevant to humans were observed in GLP (Good Laboratory Practices)-compliant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toxicity studies in rats up to 3-months duration and in cynomolgus monkeys up to 9-months duration at doses up to the maximum tolerated in each species. Deucrictibant has not demonstrated any adverse</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effects on embryo-fetal survival and development in the humanized bradykinin-B2-receptor transgenic rat or in the rabbit. Furthermore, male and female fertility studies showed no adverse effects of deucrictibant on gonadal function, mating behavior, and reproductive performance.</w:t>
      </w:r>
    </w:p>
    <w:p>
      <w:pPr>
        <w:spacing w:after="0" w:line="156" w:lineRule="exact"/>
        <w:rPr>
          <w:sz w:val="20"/>
          <w:szCs w:val="20"/>
          <w:color w:val="auto"/>
        </w:rPr>
      </w:pPr>
    </w:p>
    <w:p>
      <w:pPr>
        <w:ind w:firstLine="503"/>
        <w:spacing w:after="0" w:line="251"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bradykinin-B2-receptor antagonism. Based on review of these nonclinical findings, in 2022, the FDA put a clinical hold on trials of deucrictibant in the U.S. The FDA requested that Pharvaris conduct an additional long-term rodent toxicology study. Pharvaris aligned with the FDA on the protocol and completed a 6-month rat exploratory study to further investigate the findings and address the clinical holds.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ectPr>
          <w:pgSz w:w="11900" w:h="16838" w:orient="portrait"/>
          <w:cols w:equalWidth="0" w:num="1">
            <w:col w:w="11120"/>
          </w:cols>
          <w:pgMar w:left="320" w:top="769" w:right="45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7"/>
                <w:szCs w:val="17"/>
                <w:color w:val="auto"/>
              </w:rPr>
            </w:pPr>
          </w:p>
        </w:tc>
        <w:tc>
          <w:tcPr>
            <w:tcW w:w="27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Short Description</w:t>
            </w:r>
          </w:p>
        </w:tc>
      </w:tr>
      <w:tr>
        <w:trPr>
          <w:trHeight w:val="180"/>
        </w:trPr>
        <w:tc>
          <w:tcPr>
            <w:tcW w:w="136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Single ascending dose (SAD)</w:t>
            </w: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and BK challenge/SAD-proof</w:t>
            </w:r>
          </w:p>
        </w:tc>
      </w:tr>
      <w:tr>
        <w:trPr>
          <w:trHeight w:val="201"/>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of mechanism (POM)</w:t>
            </w:r>
          </w:p>
        </w:tc>
      </w:tr>
      <w:tr>
        <w:trPr>
          <w:trHeight w:val="214"/>
        </w:trPr>
        <w:tc>
          <w:tcPr>
            <w:tcW w:w="1360" w:type="dxa"/>
            <w:vAlign w:val="bottom"/>
          </w:tcPr>
          <w:p>
            <w:pPr>
              <w:ind w:left="20"/>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SAD extension</w:t>
            </w:r>
          </w:p>
        </w:tc>
      </w:tr>
      <w:tr>
        <w:trPr>
          <w:trHeight w:val="363"/>
        </w:trPr>
        <w:tc>
          <w:tcPr>
            <w:tcW w:w="1360" w:type="dxa"/>
            <w:vAlign w:val="bottom"/>
          </w:tcPr>
          <w:p>
            <w:pPr>
              <w:ind w:left="20"/>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Absorption, metabolism, and</w:t>
            </w:r>
          </w:p>
        </w:tc>
      </w:tr>
      <w:tr>
        <w:trPr>
          <w:trHeight w:val="201"/>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excretion (mass balance)</w:t>
            </w: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Drug-drug interaction (DDI)—</w:t>
            </w: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CYP3A4 inhibitor (itraconazole)</w:t>
            </w:r>
          </w:p>
        </w:tc>
      </w:tr>
      <w:tr>
        <w:trPr>
          <w:trHeight w:val="214"/>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interaction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center"/>
        <w:ind w:left="-299"/>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35496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29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Randomized, double-blind, placebo-controlled, single ascending dose to assess safety and proof-of-concept through BK-challenge</w:t>
      </w:r>
    </w:p>
    <w:p>
      <w:pPr>
        <w:spacing w:after="0" w:line="4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Open-label, single dose 14 C-deucrictibant to characterize the absorption, metabolism, and excretion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14605</wp:posOffset>
            </wp:positionV>
            <wp:extent cx="791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579" w:lineRule="exact"/>
        <w:rPr>
          <w:sz w:val="20"/>
          <w:szCs w:val="20"/>
          <w:color w:val="auto"/>
        </w:rPr>
      </w:pPr>
    </w:p>
    <w:p>
      <w:pPr>
        <w:sectPr>
          <w:pgSz w:w="11900" w:h="16838" w:orient="portrait"/>
          <w:cols w:equalWidth="0" w:num="3">
            <w:col w:w="4180" w:space="140"/>
            <w:col w:w="5240" w:space="660"/>
            <w:col w:w="900"/>
          </w:cols>
          <w:pgMar w:left="320" w:top="769" w:right="45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940" w:type="dxa"/>
            <w:vAlign w:val="bottom"/>
          </w:tcPr>
          <w:p>
            <w:pPr>
              <w:spacing w:after="0"/>
              <w:rPr>
                <w:sz w:val="20"/>
                <w:szCs w:val="20"/>
                <w:color w:val="auto"/>
              </w:rPr>
            </w:pPr>
            <w:r>
              <w:rPr>
                <w:rFonts w:ascii="Arial" w:cs="Arial" w:eastAsia="Arial" w:hAnsi="Arial"/>
                <w:sz w:val="16"/>
                <w:szCs w:val="16"/>
                <w:color w:val="auto"/>
              </w:rPr>
              <w:t>C005</w:t>
            </w:r>
          </w:p>
        </w:tc>
        <w:tc>
          <w:tcPr>
            <w:tcW w:w="2780" w:type="dxa"/>
            <w:vAlign w:val="bottom"/>
          </w:tcPr>
          <w:p>
            <w:pPr>
              <w:ind w:left="540"/>
              <w:spacing w:after="0"/>
              <w:rPr>
                <w:sz w:val="20"/>
                <w:szCs w:val="20"/>
                <w:color w:val="auto"/>
              </w:rPr>
            </w:pPr>
            <w:r>
              <w:rPr>
                <w:rFonts w:ascii="Arial" w:cs="Arial" w:eastAsia="Arial" w:hAnsi="Arial"/>
                <w:sz w:val="16"/>
                <w:szCs w:val="16"/>
                <w:color w:val="auto"/>
                <w:w w:val="99"/>
              </w:rPr>
              <w:t>DDI—CYP interaction (cocktail)</w:t>
            </w:r>
          </w:p>
        </w:tc>
      </w:tr>
      <w:tr>
        <w:trPr>
          <w:trHeight w:val="389"/>
        </w:trPr>
        <w:tc>
          <w:tcPr>
            <w:tcW w:w="940" w:type="dxa"/>
            <w:vAlign w:val="bottom"/>
          </w:tcPr>
          <w:p>
            <w:pPr>
              <w:spacing w:after="0"/>
              <w:rPr>
                <w:sz w:val="20"/>
                <w:szCs w:val="20"/>
                <w:color w:val="auto"/>
              </w:rPr>
            </w:pPr>
            <w:r>
              <w:rPr>
                <w:rFonts w:ascii="Arial" w:cs="Arial" w:eastAsia="Arial" w:hAnsi="Arial"/>
                <w:sz w:val="16"/>
                <w:szCs w:val="16"/>
                <w:color w:val="auto"/>
              </w:rPr>
              <w:t>C006</w:t>
            </w:r>
          </w:p>
        </w:tc>
        <w:tc>
          <w:tcPr>
            <w:tcW w:w="2780" w:type="dxa"/>
            <w:vAlign w:val="bottom"/>
          </w:tcPr>
          <w:p>
            <w:pPr>
              <w:ind w:left="540"/>
              <w:spacing w:after="0"/>
              <w:rPr>
                <w:sz w:val="20"/>
                <w:szCs w:val="20"/>
                <w:color w:val="auto"/>
              </w:rPr>
            </w:pPr>
            <w:r>
              <w:rPr>
                <w:rFonts w:ascii="Arial" w:cs="Arial" w:eastAsia="Arial" w:hAnsi="Arial"/>
                <w:sz w:val="16"/>
                <w:szCs w:val="16"/>
                <w:color w:val="auto"/>
                <w:w w:val="99"/>
              </w:rPr>
              <w:t>Multiple ascending dose (MAD)</w:t>
            </w:r>
          </w:p>
        </w:tc>
      </w:tr>
      <w:tr>
        <w:trPr>
          <w:trHeight w:val="389"/>
        </w:trPr>
        <w:tc>
          <w:tcPr>
            <w:tcW w:w="940" w:type="dxa"/>
            <w:vAlign w:val="bottom"/>
          </w:tcPr>
          <w:p>
            <w:pPr>
              <w:spacing w:after="0"/>
              <w:rPr>
                <w:sz w:val="20"/>
                <w:szCs w:val="20"/>
                <w:color w:val="auto"/>
              </w:rPr>
            </w:pPr>
            <w:r>
              <w:rPr>
                <w:rFonts w:ascii="Arial" w:cs="Arial" w:eastAsia="Arial" w:hAnsi="Arial"/>
                <w:sz w:val="16"/>
                <w:szCs w:val="16"/>
                <w:color w:val="auto"/>
              </w:rPr>
              <w:t>C009</w:t>
            </w:r>
          </w:p>
        </w:tc>
        <w:tc>
          <w:tcPr>
            <w:tcW w:w="2780" w:type="dxa"/>
            <w:vAlign w:val="bottom"/>
          </w:tcPr>
          <w:p>
            <w:pPr>
              <w:ind w:left="540"/>
              <w:spacing w:after="0"/>
              <w:rPr>
                <w:sz w:val="20"/>
                <w:szCs w:val="20"/>
                <w:color w:val="auto"/>
              </w:rPr>
            </w:pPr>
            <w:r>
              <w:rPr>
                <w:rFonts w:ascii="Arial" w:cs="Arial" w:eastAsia="Arial" w:hAnsi="Arial"/>
                <w:sz w:val="16"/>
                <w:szCs w:val="16"/>
                <w:color w:val="auto"/>
              </w:rPr>
              <w:t>Japanese PK bridging</w:t>
            </w:r>
          </w:p>
        </w:tc>
      </w:tr>
      <w:tr>
        <w:trPr>
          <w:trHeight w:val="764"/>
        </w:trPr>
        <w:tc>
          <w:tcPr>
            <w:tcW w:w="940" w:type="dxa"/>
            <w:vAlign w:val="bottom"/>
          </w:tcPr>
          <w:p>
            <w:pPr>
              <w:spacing w:after="0"/>
              <w:rPr>
                <w:sz w:val="20"/>
                <w:szCs w:val="20"/>
                <w:color w:val="auto"/>
              </w:rPr>
            </w:pPr>
            <w:r>
              <w:rPr>
                <w:rFonts w:ascii="Arial" w:cs="Arial" w:eastAsia="Arial" w:hAnsi="Arial"/>
                <w:sz w:val="16"/>
                <w:szCs w:val="16"/>
                <w:color w:val="auto"/>
              </w:rPr>
              <w:t>C010</w:t>
            </w:r>
          </w:p>
        </w:tc>
        <w:tc>
          <w:tcPr>
            <w:tcW w:w="2780" w:type="dxa"/>
            <w:vAlign w:val="bottom"/>
          </w:tcPr>
          <w:p>
            <w:pPr>
              <w:ind w:left="540"/>
              <w:spacing w:after="0"/>
              <w:rPr>
                <w:sz w:val="20"/>
                <w:szCs w:val="20"/>
                <w:color w:val="auto"/>
              </w:rPr>
            </w:pPr>
            <w:r>
              <w:rPr>
                <w:rFonts w:ascii="Arial" w:cs="Arial" w:eastAsia="Arial" w:hAnsi="Arial"/>
                <w:sz w:val="16"/>
                <w:szCs w:val="16"/>
                <w:color w:val="auto"/>
              </w:rPr>
              <w:t>Exploratory XR PK bridging</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Randomized, double-blind, placebo-controlled, multiple ascending dose to assess safety and different doses</w:t>
      </w:r>
    </w:p>
    <w:p>
      <w:pPr>
        <w:spacing w:after="0" w:line="4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3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405" w:lineRule="exact"/>
        <w:rPr>
          <w:sz w:val="20"/>
          <w:szCs w:val="20"/>
          <w:color w:val="auto"/>
        </w:rPr>
      </w:pPr>
    </w:p>
    <w:p>
      <w:pPr>
        <w:sectPr>
          <w:pgSz w:w="11900" w:h="16838" w:orient="portrait"/>
          <w:cols w:equalWidth="0" w:num="3">
            <w:col w:w="3740" w:space="580"/>
            <w:col w:w="5460" w:space="440"/>
            <w:col w:w="900"/>
          </w:cols>
          <w:pgMar w:left="320" w:top="769" w:right="459" w:bottom="1440" w:gutter="0" w:footer="0" w:header="0"/>
          <w:type w:val="continuous"/>
        </w:sectPr>
      </w:pPr>
    </w:p>
    <w:tbl>
      <w:tblPr>
        <w:tblLayout w:type="fixed"/>
        <w:tblInd w:w="20" w:type="dxa"/>
        <w:tblCellMar>
          <w:top w:w="0" w:type="dxa"/>
          <w:left w:w="0" w:type="dxa"/>
          <w:bottom w:w="0" w:type="dxa"/>
          <w:right w:w="0" w:type="dxa"/>
        </w:tblCellMar>
      </w:tblPr>
      <w:tr>
        <w:trPr>
          <w:trHeight w:val="175"/>
        </w:trPr>
        <w:tc>
          <w:tcPr>
            <w:tcW w:w="940" w:type="dxa"/>
            <w:vAlign w:val="bottom"/>
          </w:tcPr>
          <w:p>
            <w:pPr>
              <w:spacing w:after="0" w:line="175" w:lineRule="exact"/>
              <w:rPr>
                <w:sz w:val="20"/>
                <w:szCs w:val="20"/>
                <w:color w:val="auto"/>
              </w:rPr>
            </w:pPr>
            <w:r>
              <w:rPr>
                <w:rFonts w:ascii="Arial" w:cs="Arial" w:eastAsia="Arial" w:hAnsi="Arial"/>
                <w:sz w:val="16"/>
                <w:szCs w:val="16"/>
                <w:color w:val="auto"/>
              </w:rPr>
              <w:t>C012</w:t>
            </w:r>
          </w:p>
        </w:tc>
        <w:tc>
          <w:tcPr>
            <w:tcW w:w="2660" w:type="dxa"/>
            <w:vAlign w:val="bottom"/>
          </w:tcPr>
          <w:p>
            <w:pPr>
              <w:ind w:left="540"/>
              <w:spacing w:after="0" w:line="175" w:lineRule="exact"/>
              <w:rPr>
                <w:sz w:val="20"/>
                <w:szCs w:val="20"/>
                <w:color w:val="auto"/>
              </w:rPr>
            </w:pPr>
            <w:r>
              <w:rPr>
                <w:rFonts w:ascii="Arial" w:cs="Arial" w:eastAsia="Arial" w:hAnsi="Arial"/>
                <w:sz w:val="16"/>
                <w:szCs w:val="16"/>
                <w:color w:val="auto"/>
              </w:rPr>
              <w:t>Hepatic impairment</w:t>
            </w:r>
          </w:p>
        </w:tc>
        <w:tc>
          <w:tcPr>
            <w:tcW w:w="6340" w:type="dxa"/>
            <w:vAlign w:val="bottom"/>
          </w:tcPr>
          <w:p>
            <w:pPr>
              <w:ind w:left="700"/>
              <w:spacing w:after="0" w:line="175" w:lineRule="exact"/>
              <w:rPr>
                <w:sz w:val="20"/>
                <w:szCs w:val="20"/>
                <w:color w:val="auto"/>
              </w:rPr>
            </w:pPr>
            <w:r>
              <w:rPr>
                <w:rFonts w:ascii="Arial" w:cs="Arial" w:eastAsia="Arial" w:hAnsi="Arial"/>
                <w:sz w:val="16"/>
                <w:szCs w:val="16"/>
                <w:color w:val="auto"/>
              </w:rPr>
              <w:t>Open-label, single dose to assess the effect of hepatic impairment on</w:t>
            </w:r>
          </w:p>
        </w:tc>
        <w:tc>
          <w:tcPr>
            <w:tcW w:w="1040" w:type="dxa"/>
            <w:vAlign w:val="bottom"/>
          </w:tcPr>
          <w:p>
            <w:pPr>
              <w:jc w:val="center"/>
              <w:ind w:left="180"/>
              <w:spacing w:after="0" w:line="175" w:lineRule="exact"/>
              <w:rPr>
                <w:sz w:val="20"/>
                <w:szCs w:val="20"/>
                <w:color w:val="auto"/>
              </w:rPr>
            </w:pPr>
            <w:r>
              <w:rPr>
                <w:rFonts w:ascii="Arial" w:cs="Arial" w:eastAsia="Arial" w:hAnsi="Arial"/>
                <w:sz w:val="16"/>
                <w:szCs w:val="16"/>
                <w:color w:val="auto"/>
              </w:rPr>
              <w:t>Completed</w:t>
            </w:r>
          </w:p>
        </w:tc>
      </w:tr>
      <w:tr>
        <w:trPr>
          <w:trHeight w:val="201"/>
        </w:trPr>
        <w:tc>
          <w:tcPr>
            <w:tcW w:w="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pharmacokinetics</w:t>
            </w:r>
          </w:p>
        </w:tc>
        <w:tc>
          <w:tcPr>
            <w:tcW w:w="1040" w:type="dxa"/>
            <w:vAlign w:val="bottom"/>
          </w:tcPr>
          <w:p>
            <w:pPr>
              <w:spacing w:after="0"/>
              <w:rPr>
                <w:sz w:val="17"/>
                <w:szCs w:val="17"/>
                <w:color w:val="auto"/>
              </w:rPr>
            </w:pPr>
          </w:p>
        </w:tc>
      </w:tr>
      <w:tr>
        <w:trPr>
          <w:trHeight w:val="188"/>
        </w:trPr>
        <w:tc>
          <w:tcPr>
            <w:tcW w:w="940" w:type="dxa"/>
            <w:vAlign w:val="bottom"/>
          </w:tcPr>
          <w:p>
            <w:pPr>
              <w:spacing w:after="0"/>
              <w:rPr>
                <w:sz w:val="20"/>
                <w:szCs w:val="20"/>
                <w:color w:val="auto"/>
              </w:rPr>
            </w:pPr>
            <w:r>
              <w:rPr>
                <w:rFonts w:ascii="Arial" w:cs="Arial" w:eastAsia="Arial" w:hAnsi="Arial"/>
                <w:sz w:val="16"/>
                <w:szCs w:val="16"/>
                <w:color w:val="auto"/>
              </w:rPr>
              <w:t>C013</w:t>
            </w:r>
          </w:p>
        </w:tc>
        <w:tc>
          <w:tcPr>
            <w:tcW w:w="2660" w:type="dxa"/>
            <w:vAlign w:val="bottom"/>
          </w:tcPr>
          <w:p>
            <w:pPr>
              <w:ind w:left="540"/>
              <w:spacing w:after="0"/>
              <w:rPr>
                <w:sz w:val="20"/>
                <w:szCs w:val="20"/>
                <w:color w:val="auto"/>
              </w:rPr>
            </w:pPr>
            <w:r>
              <w:rPr>
                <w:rFonts w:ascii="Arial" w:cs="Arial" w:eastAsia="Arial" w:hAnsi="Arial"/>
                <w:sz w:val="16"/>
                <w:szCs w:val="16"/>
                <w:color w:val="auto"/>
              </w:rPr>
              <w:t>Renal impairment</w:t>
            </w:r>
          </w:p>
        </w:tc>
        <w:tc>
          <w:tcPr>
            <w:tcW w:w="6340" w:type="dxa"/>
            <w:vAlign w:val="bottom"/>
          </w:tcPr>
          <w:p>
            <w:pPr>
              <w:ind w:left="700"/>
              <w:spacing w:after="0"/>
              <w:rPr>
                <w:sz w:val="20"/>
                <w:szCs w:val="20"/>
                <w:color w:val="auto"/>
              </w:rPr>
            </w:pPr>
            <w:r>
              <w:rPr>
                <w:rFonts w:ascii="Arial" w:cs="Arial" w:eastAsia="Arial" w:hAnsi="Arial"/>
                <w:sz w:val="16"/>
                <w:szCs w:val="16"/>
                <w:color w:val="auto"/>
              </w:rPr>
              <w:t>Open-label, single dose to assess the effect of renal impairment on</w:t>
            </w:r>
          </w:p>
        </w:tc>
        <w:tc>
          <w:tcPr>
            <w:tcW w:w="1040" w:type="dxa"/>
            <w:vAlign w:val="bottom"/>
          </w:tcPr>
          <w:p>
            <w:pPr>
              <w:jc w:val="center"/>
              <w:ind w:left="180"/>
              <w:spacing w:after="0"/>
              <w:rPr>
                <w:sz w:val="20"/>
                <w:szCs w:val="20"/>
                <w:color w:val="auto"/>
              </w:rPr>
            </w:pPr>
            <w:r>
              <w:rPr>
                <w:rFonts w:ascii="Arial" w:cs="Arial" w:eastAsia="Arial" w:hAnsi="Arial"/>
                <w:sz w:val="16"/>
                <w:szCs w:val="16"/>
                <w:color w:val="auto"/>
              </w:rPr>
              <w:t>Completed</w:t>
            </w:r>
          </w:p>
        </w:tc>
      </w:tr>
      <w:tr>
        <w:trPr>
          <w:trHeight w:val="201"/>
        </w:trPr>
        <w:tc>
          <w:tcPr>
            <w:tcW w:w="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pharmacokinetics</w:t>
            </w:r>
          </w:p>
        </w:tc>
        <w:tc>
          <w:tcPr>
            <w:tcW w:w="1040" w:type="dxa"/>
            <w:vAlign w:val="bottom"/>
          </w:tcPr>
          <w:p>
            <w:pPr>
              <w:spacing w:after="0"/>
              <w:rPr>
                <w:sz w:val="17"/>
                <w:szCs w:val="17"/>
                <w:color w:val="auto"/>
              </w:rPr>
            </w:pPr>
          </w:p>
        </w:tc>
      </w:tr>
      <w:tr>
        <w:trPr>
          <w:trHeight w:val="188"/>
        </w:trPr>
        <w:tc>
          <w:tcPr>
            <w:tcW w:w="940" w:type="dxa"/>
            <w:vAlign w:val="bottom"/>
          </w:tcPr>
          <w:p>
            <w:pPr>
              <w:spacing w:after="0"/>
              <w:rPr>
                <w:sz w:val="20"/>
                <w:szCs w:val="20"/>
                <w:color w:val="auto"/>
              </w:rPr>
            </w:pPr>
            <w:r>
              <w:rPr>
                <w:rFonts w:ascii="Arial" w:cs="Arial" w:eastAsia="Arial" w:hAnsi="Arial"/>
                <w:sz w:val="16"/>
                <w:szCs w:val="16"/>
                <w:color w:val="auto"/>
              </w:rPr>
              <w:t>C015</w:t>
            </w:r>
          </w:p>
        </w:tc>
        <w:tc>
          <w:tcPr>
            <w:tcW w:w="2660" w:type="dxa"/>
            <w:vAlign w:val="bottom"/>
          </w:tcPr>
          <w:p>
            <w:pPr>
              <w:ind w:left="540"/>
              <w:spacing w:after="0"/>
              <w:rPr>
                <w:sz w:val="20"/>
                <w:szCs w:val="20"/>
                <w:color w:val="auto"/>
              </w:rPr>
            </w:pPr>
            <w:r>
              <w:rPr>
                <w:rFonts w:ascii="Arial" w:cs="Arial" w:eastAsia="Arial" w:hAnsi="Arial"/>
                <w:sz w:val="16"/>
                <w:szCs w:val="16"/>
                <w:color w:val="auto"/>
              </w:rPr>
              <w:t>Confirmatory XR PK</w:t>
            </w:r>
          </w:p>
        </w:tc>
        <w:tc>
          <w:tcPr>
            <w:tcW w:w="6340" w:type="dxa"/>
            <w:vAlign w:val="bottom"/>
          </w:tcPr>
          <w:p>
            <w:pPr>
              <w:ind w:left="700"/>
              <w:spacing w:after="0"/>
              <w:rPr>
                <w:sz w:val="20"/>
                <w:szCs w:val="20"/>
                <w:color w:val="auto"/>
              </w:rPr>
            </w:pPr>
            <w:r>
              <w:rPr>
                <w:rFonts w:ascii="Arial" w:cs="Arial" w:eastAsia="Arial" w:hAnsi="Arial"/>
                <w:sz w:val="16"/>
                <w:szCs w:val="16"/>
                <w:color w:val="auto"/>
              </w:rPr>
              <w:t>Open-label, multiple doses to assess PK and safety of extended-release</w:t>
            </w:r>
          </w:p>
        </w:tc>
        <w:tc>
          <w:tcPr>
            <w:tcW w:w="1040" w:type="dxa"/>
            <w:vAlign w:val="bottom"/>
          </w:tcPr>
          <w:p>
            <w:pPr>
              <w:jc w:val="center"/>
              <w:ind w:left="200"/>
              <w:spacing w:after="0"/>
              <w:rPr>
                <w:sz w:val="20"/>
                <w:szCs w:val="20"/>
                <w:color w:val="auto"/>
              </w:rPr>
            </w:pPr>
            <w:r>
              <w:rPr>
                <w:rFonts w:ascii="Arial" w:cs="Arial" w:eastAsia="Arial" w:hAnsi="Arial"/>
                <w:sz w:val="16"/>
                <w:szCs w:val="16"/>
                <w:color w:val="auto"/>
                <w:w w:val="99"/>
              </w:rPr>
              <w:t>Ongoing</w:t>
            </w:r>
          </w:p>
        </w:tc>
      </w:tr>
      <w:tr>
        <w:trPr>
          <w:trHeight w:val="201"/>
        </w:trPr>
        <w:tc>
          <w:tcPr>
            <w:tcW w:w="9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formulation</w:t>
            </w:r>
          </w:p>
        </w:tc>
        <w:tc>
          <w:tcPr>
            <w:tcW w:w="1040" w:type="dxa"/>
            <w:vAlign w:val="bottom"/>
          </w:tcPr>
          <w:p>
            <w:pPr>
              <w:spacing w:after="0"/>
              <w:rPr>
                <w:sz w:val="17"/>
                <w:szCs w:val="17"/>
                <w:color w:val="auto"/>
              </w:rPr>
            </w:pPr>
          </w:p>
        </w:tc>
      </w:tr>
      <w:tr>
        <w:trPr>
          <w:trHeight w:val="188"/>
        </w:trPr>
        <w:tc>
          <w:tcPr>
            <w:tcW w:w="940" w:type="dxa"/>
            <w:vAlign w:val="bottom"/>
          </w:tcPr>
          <w:p>
            <w:pPr>
              <w:spacing w:after="0"/>
              <w:rPr>
                <w:sz w:val="20"/>
                <w:szCs w:val="20"/>
                <w:color w:val="auto"/>
              </w:rPr>
            </w:pPr>
            <w:r>
              <w:rPr>
                <w:rFonts w:ascii="Arial" w:cs="Arial" w:eastAsia="Arial" w:hAnsi="Arial"/>
                <w:sz w:val="16"/>
                <w:szCs w:val="16"/>
                <w:color w:val="auto"/>
              </w:rPr>
              <w:t>C016</w:t>
            </w:r>
          </w:p>
        </w:tc>
        <w:tc>
          <w:tcPr>
            <w:tcW w:w="2660" w:type="dxa"/>
            <w:vAlign w:val="bottom"/>
          </w:tcPr>
          <w:p>
            <w:pPr>
              <w:ind w:left="560"/>
              <w:spacing w:after="0"/>
              <w:rPr>
                <w:sz w:val="20"/>
                <w:szCs w:val="20"/>
                <w:color w:val="auto"/>
              </w:rPr>
            </w:pPr>
            <w:r>
              <w:rPr>
                <w:rFonts w:ascii="Arial" w:cs="Arial" w:eastAsia="Arial" w:hAnsi="Arial"/>
                <w:sz w:val="16"/>
                <w:szCs w:val="16"/>
                <w:color w:val="auto"/>
              </w:rPr>
              <w:t>DDI CYP3A4</w:t>
            </w:r>
          </w:p>
        </w:tc>
        <w:tc>
          <w:tcPr>
            <w:tcW w:w="6340" w:type="dxa"/>
            <w:vAlign w:val="bottom"/>
          </w:tcPr>
          <w:p>
            <w:pPr>
              <w:ind w:left="700"/>
              <w:spacing w:after="0"/>
              <w:rPr>
                <w:sz w:val="20"/>
                <w:szCs w:val="20"/>
                <w:color w:val="auto"/>
              </w:rPr>
            </w:pPr>
            <w:r>
              <w:rPr>
                <w:rFonts w:ascii="Arial" w:cs="Arial" w:eastAsia="Arial" w:hAnsi="Arial"/>
                <w:sz w:val="16"/>
                <w:szCs w:val="16"/>
                <w:color w:val="auto"/>
              </w:rPr>
              <w:t>Open-label, single-sequence, drug-drug interaction study to evaluate the</w:t>
            </w:r>
          </w:p>
        </w:tc>
        <w:tc>
          <w:tcPr>
            <w:tcW w:w="1040" w:type="dxa"/>
            <w:vAlign w:val="bottom"/>
          </w:tcPr>
          <w:p>
            <w:pPr>
              <w:jc w:val="center"/>
              <w:ind w:left="200"/>
              <w:spacing w:after="0"/>
              <w:rPr>
                <w:sz w:val="20"/>
                <w:szCs w:val="20"/>
                <w:color w:val="auto"/>
              </w:rPr>
            </w:pPr>
            <w:r>
              <w:rPr>
                <w:rFonts w:ascii="Arial" w:cs="Arial" w:eastAsia="Arial" w:hAnsi="Arial"/>
                <w:sz w:val="16"/>
                <w:szCs w:val="16"/>
                <w:color w:val="auto"/>
                <w:w w:val="99"/>
              </w:rPr>
              <w:t>Ongoing</w:t>
            </w:r>
          </w:p>
        </w:tc>
      </w:tr>
      <w:tr>
        <w:trPr>
          <w:trHeight w:val="188"/>
        </w:trPr>
        <w:tc>
          <w:tcPr>
            <w:tcW w:w="9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effect of multiple oral doses of the moderate CYP3A4 inhibitor verapamil on</w:t>
            </w:r>
          </w:p>
        </w:tc>
        <w:tc>
          <w:tcPr>
            <w:tcW w:w="1040" w:type="dxa"/>
            <w:vAlign w:val="bottom"/>
          </w:tcPr>
          <w:p>
            <w:pPr>
              <w:spacing w:after="0"/>
              <w:rPr>
                <w:sz w:val="16"/>
                <w:szCs w:val="16"/>
                <w:color w:val="auto"/>
              </w:rPr>
            </w:pPr>
          </w:p>
        </w:tc>
      </w:tr>
      <w:tr>
        <w:trPr>
          <w:trHeight w:val="214"/>
        </w:trPr>
        <w:tc>
          <w:tcPr>
            <w:tcW w:w="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the single dose PK deucrictibant</w:t>
            </w:r>
          </w:p>
        </w:tc>
        <w:tc>
          <w:tcPr>
            <w:tcW w:w="1040" w:type="dxa"/>
            <w:vAlign w:val="bottom"/>
          </w:tcPr>
          <w:p>
            <w:pPr>
              <w:spacing w:after="0"/>
              <w:rPr>
                <w:sz w:val="18"/>
                <w:szCs w:val="18"/>
                <w:color w:val="auto"/>
              </w:rPr>
            </w:pPr>
          </w:p>
        </w:tc>
      </w:tr>
    </w:tbl>
    <w:p>
      <w:pPr>
        <w:spacing w:after="0" w:line="175" w:lineRule="exact"/>
        <w:rPr>
          <w:sz w:val="20"/>
          <w:szCs w:val="20"/>
          <w:color w:val="auto"/>
        </w:rPr>
      </w:pPr>
    </w:p>
    <w:p>
      <w:pPr>
        <w:sectPr>
          <w:pgSz w:w="11900" w:h="16838" w:orient="portrait"/>
          <w:cols w:equalWidth="0" w:num="1">
            <w:col w:w="11120"/>
          </w:cols>
          <w:pgMar w:left="320" w:top="769" w:right="45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940" w:type="dxa"/>
            <w:vAlign w:val="bottom"/>
          </w:tcPr>
          <w:p>
            <w:pPr>
              <w:spacing w:after="0"/>
              <w:rPr>
                <w:sz w:val="20"/>
                <w:szCs w:val="20"/>
                <w:color w:val="auto"/>
              </w:rPr>
            </w:pPr>
            <w:r>
              <w:rPr>
                <w:rFonts w:ascii="Arial" w:cs="Arial" w:eastAsia="Arial" w:hAnsi="Arial"/>
                <w:sz w:val="16"/>
                <w:szCs w:val="16"/>
                <w:color w:val="auto"/>
              </w:rPr>
              <w:t>C018</w:t>
            </w:r>
          </w:p>
        </w:tc>
        <w:tc>
          <w:tcPr>
            <w:tcW w:w="2220" w:type="dxa"/>
            <w:vAlign w:val="bottom"/>
          </w:tcPr>
          <w:p>
            <w:pPr>
              <w:ind w:left="540"/>
              <w:spacing w:after="0"/>
              <w:rPr>
                <w:sz w:val="20"/>
                <w:szCs w:val="20"/>
                <w:color w:val="auto"/>
              </w:rPr>
            </w:pPr>
            <w:r>
              <w:rPr>
                <w:rFonts w:ascii="Arial" w:cs="Arial" w:eastAsia="Arial" w:hAnsi="Arial"/>
                <w:sz w:val="16"/>
                <w:szCs w:val="16"/>
                <w:color w:val="auto"/>
              </w:rPr>
              <w:t>XR Food Effect</w:t>
            </w:r>
          </w:p>
        </w:tc>
      </w:tr>
      <w:tr>
        <w:trPr>
          <w:trHeight w:val="576"/>
        </w:trPr>
        <w:tc>
          <w:tcPr>
            <w:tcW w:w="940" w:type="dxa"/>
            <w:vAlign w:val="bottom"/>
          </w:tcPr>
          <w:p>
            <w:pPr>
              <w:spacing w:after="0"/>
              <w:rPr>
                <w:sz w:val="20"/>
                <w:szCs w:val="20"/>
                <w:color w:val="auto"/>
              </w:rPr>
            </w:pPr>
            <w:r>
              <w:rPr>
                <w:rFonts w:ascii="Arial" w:cs="Arial" w:eastAsia="Arial" w:hAnsi="Arial"/>
                <w:sz w:val="16"/>
                <w:szCs w:val="16"/>
                <w:color w:val="auto"/>
              </w:rPr>
              <w:t>C019</w:t>
            </w:r>
          </w:p>
        </w:tc>
        <w:tc>
          <w:tcPr>
            <w:tcW w:w="2220" w:type="dxa"/>
            <w:vAlign w:val="bottom"/>
          </w:tcPr>
          <w:p>
            <w:pPr>
              <w:ind w:left="540"/>
              <w:spacing w:after="0"/>
              <w:rPr>
                <w:sz w:val="20"/>
                <w:szCs w:val="20"/>
                <w:color w:val="auto"/>
              </w:rPr>
            </w:pPr>
            <w:r>
              <w:rPr>
                <w:rFonts w:ascii="Arial" w:cs="Arial" w:eastAsia="Arial" w:hAnsi="Arial"/>
                <w:sz w:val="16"/>
                <w:szCs w:val="16"/>
                <w:color w:val="auto"/>
                <w:w w:val="99"/>
              </w:rPr>
              <w:t>XR multi-ethnicity study</w:t>
            </w:r>
          </w:p>
        </w:tc>
      </w:tr>
    </w:tbl>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6"/>
          <w:szCs w:val="16"/>
          <w:color w:val="auto"/>
        </w:rPr>
        <w:t>Open-label, randomized, two-period, two-way cross-over study to assess the influence of a high-calorie, high-fat meal on the bioavailability of extended-release formulation</w:t>
      </w:r>
    </w:p>
    <w:p>
      <w:pPr>
        <w:spacing w:after="0" w:line="6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Ongoing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Ongoing</w:t>
      </w:r>
    </w:p>
    <w:p>
      <w:pPr>
        <w:spacing w:after="0" w:line="404" w:lineRule="exact"/>
        <w:rPr>
          <w:sz w:val="20"/>
          <w:szCs w:val="20"/>
          <w:color w:val="auto"/>
        </w:rPr>
      </w:pPr>
    </w:p>
    <w:p>
      <w:pPr>
        <w:sectPr>
          <w:pgSz w:w="11900" w:h="16838" w:orient="portrait"/>
          <w:cols w:equalWidth="0" w:num="3">
            <w:col w:w="3600" w:space="720"/>
            <w:col w:w="5560" w:space="440"/>
            <w:col w:w="800"/>
          </w:cols>
          <w:pgMar w:left="320" w:top="769" w:right="45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1200" w:type="dxa"/>
            <w:vAlign w:val="bottom"/>
          </w:tcPr>
          <w:p>
            <w:pPr>
              <w:spacing w:after="0"/>
              <w:rPr>
                <w:sz w:val="20"/>
                <w:szCs w:val="20"/>
                <w:color w:val="auto"/>
              </w:rPr>
            </w:pPr>
            <w:r>
              <w:rPr>
                <w:rFonts w:ascii="Arial" w:cs="Arial" w:eastAsia="Arial" w:hAnsi="Arial"/>
                <w:sz w:val="16"/>
                <w:szCs w:val="16"/>
                <w:color w:val="auto"/>
              </w:rPr>
              <w:t>C020</w:t>
            </w:r>
          </w:p>
        </w:tc>
        <w:tc>
          <w:tcPr>
            <w:tcW w:w="2860" w:type="dxa"/>
            <w:vAlign w:val="bottom"/>
          </w:tcPr>
          <w:p>
            <w:pPr>
              <w:ind w:left="280"/>
              <w:spacing w:after="0"/>
              <w:rPr>
                <w:sz w:val="20"/>
                <w:szCs w:val="20"/>
                <w:color w:val="auto"/>
              </w:rPr>
            </w:pPr>
            <w:r>
              <w:rPr>
                <w:rFonts w:ascii="Arial" w:cs="Arial" w:eastAsia="Arial" w:hAnsi="Arial"/>
                <w:sz w:val="16"/>
                <w:szCs w:val="16"/>
                <w:color w:val="auto"/>
              </w:rPr>
              <w:t>Biovailability study</w:t>
            </w:r>
          </w:p>
        </w:tc>
        <w:tc>
          <w:tcPr>
            <w:tcW w:w="5880" w:type="dxa"/>
            <w:vAlign w:val="bottom"/>
          </w:tcPr>
          <w:p>
            <w:pPr>
              <w:ind w:left="240"/>
              <w:spacing w:after="0"/>
              <w:rPr>
                <w:sz w:val="20"/>
                <w:szCs w:val="20"/>
                <w:color w:val="auto"/>
              </w:rPr>
            </w:pPr>
            <w:r>
              <w:rPr>
                <w:rFonts w:ascii="Arial" w:cs="Arial" w:eastAsia="Arial" w:hAnsi="Arial"/>
                <w:sz w:val="16"/>
                <w:szCs w:val="16"/>
                <w:color w:val="333333"/>
              </w:rPr>
              <w:t>Open label, randomized, two-period, cross-over single-dose study under</w:t>
            </w:r>
          </w:p>
        </w:tc>
        <w:tc>
          <w:tcPr>
            <w:tcW w:w="1040" w:type="dxa"/>
            <w:vAlign w:val="bottom"/>
          </w:tcPr>
          <w:p>
            <w:pPr>
              <w:jc w:val="center"/>
              <w:ind w:left="200"/>
              <w:spacing w:after="0"/>
              <w:rPr>
                <w:sz w:val="20"/>
                <w:szCs w:val="20"/>
                <w:color w:val="auto"/>
              </w:rPr>
            </w:pPr>
            <w:r>
              <w:rPr>
                <w:rFonts w:ascii="Arial" w:cs="Arial" w:eastAsia="Arial" w:hAnsi="Arial"/>
                <w:sz w:val="16"/>
                <w:szCs w:val="16"/>
                <w:color w:val="auto"/>
              </w:rPr>
              <w:t>Planned</w:t>
            </w:r>
          </w:p>
        </w:tc>
      </w:tr>
      <w:tr>
        <w:trPr>
          <w:trHeight w:val="214"/>
        </w:trPr>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333333"/>
              </w:rPr>
              <w:t>fasting condition</w:t>
            </w:r>
          </w:p>
        </w:tc>
        <w:tc>
          <w:tcPr>
            <w:tcW w:w="1040" w:type="dxa"/>
            <w:vAlign w:val="bottom"/>
          </w:tcPr>
          <w:p>
            <w:pPr>
              <w:spacing w:after="0"/>
              <w:rPr>
                <w:sz w:val="18"/>
                <w:szCs w:val="18"/>
                <w:color w:val="auto"/>
              </w:rPr>
            </w:pPr>
          </w:p>
        </w:tc>
      </w:tr>
      <w:tr>
        <w:trPr>
          <w:trHeight w:val="390"/>
        </w:trPr>
        <w:tc>
          <w:tcPr>
            <w:tcW w:w="1200" w:type="dxa"/>
            <w:vAlign w:val="bottom"/>
          </w:tcPr>
          <w:p>
            <w:pPr>
              <w:spacing w:after="0"/>
              <w:rPr>
                <w:sz w:val="20"/>
                <w:szCs w:val="20"/>
                <w:color w:val="auto"/>
              </w:rPr>
            </w:pPr>
            <w:r>
              <w:rPr>
                <w:rFonts w:ascii="Arial" w:cs="Arial" w:eastAsia="Arial" w:hAnsi="Arial"/>
                <w:sz w:val="16"/>
                <w:szCs w:val="16"/>
                <w:b w:val="1"/>
                <w:bCs w:val="1"/>
                <w:color w:val="auto"/>
              </w:rPr>
              <w:t>Phase 2/3</w:t>
            </w:r>
          </w:p>
        </w:tc>
        <w:tc>
          <w:tcPr>
            <w:tcW w:w="28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8"/>
        </w:trPr>
        <w:tc>
          <w:tcPr>
            <w:tcW w:w="1200" w:type="dxa"/>
            <w:vAlign w:val="bottom"/>
          </w:tcPr>
          <w:p>
            <w:pPr>
              <w:spacing w:after="0"/>
              <w:rPr>
                <w:sz w:val="20"/>
                <w:szCs w:val="20"/>
                <w:color w:val="auto"/>
              </w:rPr>
            </w:pPr>
            <w:r>
              <w:rPr>
                <w:rFonts w:ascii="Arial" w:cs="Arial" w:eastAsia="Arial" w:hAnsi="Arial"/>
                <w:sz w:val="16"/>
                <w:szCs w:val="16"/>
                <w:color w:val="auto"/>
              </w:rPr>
              <w:t>C201</w:t>
            </w:r>
          </w:p>
        </w:tc>
        <w:tc>
          <w:tcPr>
            <w:tcW w:w="2860" w:type="dxa"/>
            <w:vAlign w:val="bottom"/>
          </w:tcPr>
          <w:p>
            <w:pPr>
              <w:ind w:left="280"/>
              <w:spacing w:after="0"/>
              <w:rPr>
                <w:sz w:val="20"/>
                <w:szCs w:val="20"/>
                <w:color w:val="auto"/>
              </w:rPr>
            </w:pPr>
            <w:r>
              <w:rPr>
                <w:rFonts w:ascii="Arial" w:cs="Arial" w:eastAsia="Arial" w:hAnsi="Arial"/>
                <w:sz w:val="16"/>
                <w:szCs w:val="16"/>
                <w:color w:val="auto"/>
              </w:rPr>
              <w:t>PHVS416 on-demand</w:t>
            </w:r>
          </w:p>
        </w:tc>
        <w:tc>
          <w:tcPr>
            <w:tcW w:w="5880" w:type="dxa"/>
            <w:vAlign w:val="bottom"/>
          </w:tcPr>
          <w:p>
            <w:pPr>
              <w:ind w:left="240"/>
              <w:spacing w:after="0"/>
              <w:rPr>
                <w:sz w:val="20"/>
                <w:szCs w:val="20"/>
                <w:color w:val="auto"/>
              </w:rPr>
            </w:pPr>
            <w:r>
              <w:rPr>
                <w:rFonts w:ascii="Arial" w:cs="Arial" w:eastAsia="Arial" w:hAnsi="Arial"/>
                <w:sz w:val="16"/>
                <w:szCs w:val="16"/>
                <w:color w:val="auto"/>
              </w:rPr>
              <w:t>Phase 2, randomized, double blind, placebo-controlled,</w:t>
            </w:r>
          </w:p>
        </w:tc>
        <w:tc>
          <w:tcPr>
            <w:tcW w:w="1040" w:type="dxa"/>
            <w:vAlign w:val="bottom"/>
          </w:tcPr>
          <w:p>
            <w:pPr>
              <w:jc w:val="center"/>
              <w:ind w:left="180"/>
              <w:spacing w:after="0"/>
              <w:rPr>
                <w:sz w:val="20"/>
                <w:szCs w:val="20"/>
                <w:color w:val="auto"/>
              </w:rPr>
            </w:pPr>
            <w:r>
              <w:rPr>
                <w:rFonts w:ascii="Arial" w:cs="Arial" w:eastAsia="Arial" w:hAnsi="Arial"/>
                <w:sz w:val="16"/>
                <w:szCs w:val="16"/>
                <w:color w:val="auto"/>
              </w:rPr>
              <w:t>Completed</w:t>
            </w:r>
          </w:p>
        </w:tc>
      </w:tr>
      <w:tr>
        <w:trPr>
          <w:trHeight w:val="201"/>
        </w:trPr>
        <w:tc>
          <w:tcPr>
            <w:tcW w:w="1200" w:type="dxa"/>
            <w:vAlign w:val="bottom"/>
          </w:tcPr>
          <w:p>
            <w:pPr>
              <w:spacing w:after="0"/>
              <w:rPr>
                <w:sz w:val="20"/>
                <w:szCs w:val="20"/>
                <w:color w:val="auto"/>
              </w:rPr>
            </w:pPr>
            <w:r>
              <w:rPr>
                <w:rFonts w:ascii="Arial" w:cs="Arial" w:eastAsia="Arial" w:hAnsi="Arial"/>
                <w:sz w:val="16"/>
                <w:szCs w:val="16"/>
                <w:color w:val="auto"/>
              </w:rPr>
              <w:t>RAPIDe-1</w:t>
            </w:r>
          </w:p>
        </w:tc>
        <w:tc>
          <w:tcPr>
            <w:tcW w:w="2860" w:type="dxa"/>
            <w:vAlign w:val="bottom"/>
          </w:tcPr>
          <w:p>
            <w:pPr>
              <w:spacing w:after="0"/>
              <w:rPr>
                <w:sz w:val="17"/>
                <w:szCs w:val="17"/>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dose ranging study to assess safety and efficacy</w:t>
            </w:r>
          </w:p>
        </w:tc>
        <w:tc>
          <w:tcPr>
            <w:tcW w:w="1040" w:type="dxa"/>
            <w:vAlign w:val="bottom"/>
          </w:tcPr>
          <w:p>
            <w:pPr>
              <w:spacing w:after="0"/>
              <w:rPr>
                <w:sz w:val="17"/>
                <w:szCs w:val="17"/>
                <w:color w:val="auto"/>
              </w:rPr>
            </w:pPr>
          </w:p>
        </w:tc>
      </w:tr>
      <w:tr>
        <w:trPr>
          <w:trHeight w:val="188"/>
        </w:trPr>
        <w:tc>
          <w:tcPr>
            <w:tcW w:w="1200" w:type="dxa"/>
            <w:vAlign w:val="bottom"/>
          </w:tcPr>
          <w:p>
            <w:pPr>
              <w:spacing w:after="0"/>
              <w:rPr>
                <w:sz w:val="20"/>
                <w:szCs w:val="20"/>
                <w:color w:val="auto"/>
              </w:rPr>
            </w:pPr>
            <w:r>
              <w:rPr>
                <w:rFonts w:ascii="Arial" w:cs="Arial" w:eastAsia="Arial" w:hAnsi="Arial"/>
                <w:sz w:val="16"/>
                <w:szCs w:val="16"/>
                <w:color w:val="auto"/>
              </w:rPr>
              <w:t>C303</w:t>
            </w:r>
          </w:p>
        </w:tc>
        <w:tc>
          <w:tcPr>
            <w:tcW w:w="2860" w:type="dxa"/>
            <w:vAlign w:val="bottom"/>
          </w:tcPr>
          <w:p>
            <w:pPr>
              <w:ind w:left="280"/>
              <w:spacing w:after="0"/>
              <w:rPr>
                <w:sz w:val="20"/>
                <w:szCs w:val="20"/>
                <w:color w:val="auto"/>
              </w:rPr>
            </w:pPr>
            <w:r>
              <w:rPr>
                <w:rFonts w:ascii="Arial" w:cs="Arial" w:eastAsia="Arial" w:hAnsi="Arial"/>
                <w:sz w:val="16"/>
                <w:szCs w:val="16"/>
                <w:color w:val="auto"/>
              </w:rPr>
              <w:t>PHVS416 on-demand open-label</w:t>
            </w:r>
          </w:p>
        </w:tc>
        <w:tc>
          <w:tcPr>
            <w:tcW w:w="5880" w:type="dxa"/>
            <w:vAlign w:val="bottom"/>
          </w:tcPr>
          <w:p>
            <w:pPr>
              <w:ind w:left="240"/>
              <w:spacing w:after="0"/>
              <w:rPr>
                <w:sz w:val="20"/>
                <w:szCs w:val="20"/>
                <w:color w:val="auto"/>
              </w:rPr>
            </w:pPr>
            <w:r>
              <w:rPr>
                <w:rFonts w:ascii="Arial" w:cs="Arial" w:eastAsia="Arial" w:hAnsi="Arial"/>
                <w:sz w:val="16"/>
                <w:szCs w:val="16"/>
                <w:color w:val="auto"/>
              </w:rPr>
              <w:t>Phase 2/3, Extension Study to evaluate the safety of long-term on-demand</w:t>
            </w:r>
          </w:p>
        </w:tc>
        <w:tc>
          <w:tcPr>
            <w:tcW w:w="1040" w:type="dxa"/>
            <w:vAlign w:val="bottom"/>
          </w:tcPr>
          <w:p>
            <w:pPr>
              <w:jc w:val="center"/>
              <w:ind w:left="240"/>
              <w:spacing w:after="0"/>
              <w:rPr>
                <w:sz w:val="20"/>
                <w:szCs w:val="20"/>
                <w:color w:val="auto"/>
              </w:rPr>
            </w:pPr>
            <w:r>
              <w:rPr>
                <w:rFonts w:ascii="Arial" w:cs="Arial" w:eastAsia="Arial" w:hAnsi="Arial"/>
                <w:sz w:val="16"/>
                <w:szCs w:val="16"/>
                <w:color w:val="auto"/>
                <w:w w:val="99"/>
              </w:rPr>
              <w:t>Ongoing</w:t>
            </w:r>
          </w:p>
        </w:tc>
      </w:tr>
      <w:tr>
        <w:trPr>
          <w:trHeight w:val="201"/>
        </w:trPr>
        <w:tc>
          <w:tcPr>
            <w:tcW w:w="1200" w:type="dxa"/>
            <w:vAlign w:val="bottom"/>
          </w:tcPr>
          <w:p>
            <w:pPr>
              <w:spacing w:after="0"/>
              <w:rPr>
                <w:sz w:val="20"/>
                <w:szCs w:val="20"/>
                <w:color w:val="auto"/>
              </w:rPr>
            </w:pPr>
            <w:r>
              <w:rPr>
                <w:rFonts w:ascii="Arial" w:cs="Arial" w:eastAsia="Arial" w:hAnsi="Arial"/>
                <w:sz w:val="16"/>
                <w:szCs w:val="16"/>
                <w:color w:val="auto"/>
              </w:rPr>
              <w:t>RAPIDe-2</w:t>
            </w:r>
          </w:p>
        </w:tc>
        <w:tc>
          <w:tcPr>
            <w:tcW w:w="2860" w:type="dxa"/>
            <w:vAlign w:val="bottom"/>
          </w:tcPr>
          <w:p>
            <w:pPr>
              <w:ind w:left="280"/>
              <w:spacing w:after="0"/>
              <w:rPr>
                <w:sz w:val="20"/>
                <w:szCs w:val="20"/>
                <w:color w:val="auto"/>
              </w:rPr>
            </w:pPr>
            <w:r>
              <w:rPr>
                <w:rFonts w:ascii="Arial" w:cs="Arial" w:eastAsia="Arial" w:hAnsi="Arial"/>
                <w:sz w:val="16"/>
                <w:szCs w:val="16"/>
                <w:color w:val="auto"/>
              </w:rPr>
              <w:t>extension</w:t>
            </w:r>
          </w:p>
        </w:tc>
        <w:tc>
          <w:tcPr>
            <w:tcW w:w="5880" w:type="dxa"/>
            <w:vAlign w:val="bottom"/>
          </w:tcPr>
          <w:p>
            <w:pPr>
              <w:ind w:left="240"/>
              <w:spacing w:after="0"/>
              <w:rPr>
                <w:sz w:val="20"/>
                <w:szCs w:val="20"/>
                <w:color w:val="auto"/>
              </w:rPr>
            </w:pPr>
            <w:r>
              <w:rPr>
                <w:rFonts w:ascii="Arial" w:cs="Arial" w:eastAsia="Arial" w:hAnsi="Arial"/>
                <w:sz w:val="16"/>
                <w:szCs w:val="16"/>
                <w:color w:val="auto"/>
              </w:rPr>
              <w:t>treatment with deucrictibant for acute HAE attacks</w:t>
            </w:r>
          </w:p>
        </w:tc>
        <w:tc>
          <w:tcPr>
            <w:tcW w:w="1040" w:type="dxa"/>
            <w:vAlign w:val="bottom"/>
          </w:tcPr>
          <w:p>
            <w:pPr>
              <w:spacing w:after="0"/>
              <w:rPr>
                <w:sz w:val="17"/>
                <w:szCs w:val="17"/>
                <w:color w:val="auto"/>
              </w:rPr>
            </w:pPr>
          </w:p>
        </w:tc>
      </w:tr>
      <w:tr>
        <w:trPr>
          <w:trHeight w:val="188"/>
        </w:trPr>
        <w:tc>
          <w:tcPr>
            <w:tcW w:w="1200" w:type="dxa"/>
            <w:vAlign w:val="bottom"/>
          </w:tcPr>
          <w:p>
            <w:pPr>
              <w:spacing w:after="0"/>
              <w:rPr>
                <w:sz w:val="20"/>
                <w:szCs w:val="20"/>
                <w:color w:val="auto"/>
              </w:rPr>
            </w:pPr>
            <w:r>
              <w:rPr>
                <w:rFonts w:ascii="Arial" w:cs="Arial" w:eastAsia="Arial" w:hAnsi="Arial"/>
                <w:sz w:val="16"/>
                <w:szCs w:val="16"/>
                <w:color w:val="auto"/>
              </w:rPr>
              <w:t>C301</w:t>
            </w:r>
          </w:p>
        </w:tc>
        <w:tc>
          <w:tcPr>
            <w:tcW w:w="2860" w:type="dxa"/>
            <w:vAlign w:val="bottom"/>
          </w:tcPr>
          <w:p>
            <w:pPr>
              <w:ind w:left="280"/>
              <w:spacing w:after="0"/>
              <w:rPr>
                <w:sz w:val="20"/>
                <w:szCs w:val="20"/>
                <w:color w:val="auto"/>
              </w:rPr>
            </w:pPr>
            <w:r>
              <w:rPr>
                <w:rFonts w:ascii="Arial" w:cs="Arial" w:eastAsia="Arial" w:hAnsi="Arial"/>
                <w:sz w:val="16"/>
                <w:szCs w:val="16"/>
                <w:color w:val="auto"/>
              </w:rPr>
              <w:t>PHVS416 prophylaxis</w:t>
            </w:r>
          </w:p>
        </w:tc>
        <w:tc>
          <w:tcPr>
            <w:tcW w:w="5880" w:type="dxa"/>
            <w:vAlign w:val="bottom"/>
          </w:tcPr>
          <w:p>
            <w:pPr>
              <w:ind w:left="240"/>
              <w:spacing w:after="0"/>
              <w:rPr>
                <w:sz w:val="20"/>
                <w:szCs w:val="20"/>
                <w:color w:val="auto"/>
              </w:rPr>
            </w:pPr>
            <w:r>
              <w:rPr>
                <w:rFonts w:ascii="Arial" w:cs="Arial" w:eastAsia="Arial" w:hAnsi="Arial"/>
                <w:sz w:val="16"/>
                <w:szCs w:val="16"/>
                <w:color w:val="auto"/>
              </w:rPr>
              <w:t>A two-part Phase 2, randomized, double blind, placebo-controlled dose</w:t>
            </w:r>
          </w:p>
        </w:tc>
        <w:tc>
          <w:tcPr>
            <w:tcW w:w="1040" w:type="dxa"/>
            <w:vAlign w:val="bottom"/>
          </w:tcPr>
          <w:p>
            <w:pPr>
              <w:spacing w:after="0"/>
              <w:rPr>
                <w:sz w:val="16"/>
                <w:szCs w:val="16"/>
                <w:color w:val="auto"/>
              </w:rPr>
            </w:pPr>
          </w:p>
        </w:tc>
      </w:tr>
      <w:tr>
        <w:trPr>
          <w:trHeight w:val="188"/>
        </w:trPr>
        <w:tc>
          <w:tcPr>
            <w:tcW w:w="1200" w:type="dxa"/>
            <w:vAlign w:val="bottom"/>
          </w:tcPr>
          <w:p>
            <w:pPr>
              <w:spacing w:after="0"/>
              <w:rPr>
                <w:sz w:val="20"/>
                <w:szCs w:val="20"/>
                <w:color w:val="auto"/>
              </w:rPr>
            </w:pPr>
            <w:r>
              <w:rPr>
                <w:rFonts w:ascii="Arial" w:cs="Arial" w:eastAsia="Arial" w:hAnsi="Arial"/>
                <w:sz w:val="16"/>
                <w:szCs w:val="16"/>
                <w:color w:val="auto"/>
              </w:rPr>
              <w:t>CHAPTER-1</w:t>
            </w:r>
          </w:p>
        </w:tc>
        <w:tc>
          <w:tcPr>
            <w:tcW w:w="2860" w:type="dxa"/>
            <w:vAlign w:val="bottom"/>
          </w:tcPr>
          <w:p>
            <w:pPr>
              <w:spacing w:after="0"/>
              <w:rPr>
                <w:sz w:val="16"/>
                <w:szCs w:val="16"/>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ranging study to Part 1: assess safety and efficacy of prophylactic treatment</w:t>
            </w:r>
          </w:p>
        </w:tc>
        <w:tc>
          <w:tcPr>
            <w:tcW w:w="1040" w:type="dxa"/>
            <w:vAlign w:val="bottom"/>
          </w:tcPr>
          <w:p>
            <w:pPr>
              <w:jc w:val="center"/>
              <w:ind w:left="200"/>
              <w:spacing w:after="0"/>
              <w:rPr>
                <w:sz w:val="20"/>
                <w:szCs w:val="20"/>
                <w:color w:val="auto"/>
              </w:rPr>
            </w:pPr>
            <w:r>
              <w:rPr>
                <w:rFonts w:ascii="Arial" w:cs="Arial" w:eastAsia="Arial" w:hAnsi="Arial"/>
                <w:sz w:val="16"/>
                <w:szCs w:val="16"/>
                <w:color w:val="auto"/>
                <w:w w:val="99"/>
              </w:rPr>
              <w:t>Ongoing</w:t>
            </w:r>
          </w:p>
        </w:tc>
      </w:tr>
      <w:tr>
        <w:trPr>
          <w:trHeight w:val="188"/>
        </w:trPr>
        <w:tc>
          <w:tcPr>
            <w:tcW w:w="12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with deucrictibant and Part 2: evaluate long-term safety and efficacy for</w:t>
            </w:r>
          </w:p>
        </w:tc>
        <w:tc>
          <w:tcPr>
            <w:tcW w:w="1040" w:type="dxa"/>
            <w:vAlign w:val="bottom"/>
          </w:tcPr>
          <w:p>
            <w:pPr>
              <w:spacing w:after="0"/>
              <w:rPr>
                <w:sz w:val="16"/>
                <w:szCs w:val="16"/>
                <w:color w:val="auto"/>
              </w:rPr>
            </w:pPr>
          </w:p>
        </w:tc>
      </w:tr>
      <w:tr>
        <w:trPr>
          <w:trHeight w:val="214"/>
        </w:trPr>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prophylactic treatment with deucrictibant</w:t>
            </w:r>
          </w:p>
        </w:tc>
        <w:tc>
          <w:tcPr>
            <w:tcW w:w="10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120"/>
          </w:cols>
          <w:pgMar w:left="320" w:top="769" w:right="459" w:bottom="1440" w:gutter="0" w:footer="0" w:header="0"/>
          <w:type w:val="continuous"/>
        </w:sect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136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9"/>
              </w:rPr>
              <w:t>Table of Contents</w:t>
            </w:r>
          </w:p>
        </w:tc>
        <w:tc>
          <w:tcPr>
            <w:tcW w:w="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88"/>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C306</w:t>
            </w:r>
          </w:p>
        </w:tc>
        <w:tc>
          <w:tcPr>
            <w:tcW w:w="2660" w:type="dxa"/>
            <w:vAlign w:val="bottom"/>
          </w:tcPr>
          <w:p>
            <w:pPr>
              <w:ind w:left="80"/>
              <w:spacing w:after="0"/>
              <w:rPr>
                <w:sz w:val="20"/>
                <w:szCs w:val="20"/>
                <w:color w:val="auto"/>
              </w:rPr>
            </w:pPr>
            <w:r>
              <w:rPr>
                <w:rFonts w:ascii="Arial" w:cs="Arial" w:eastAsia="Arial" w:hAnsi="Arial"/>
                <w:sz w:val="16"/>
                <w:szCs w:val="16"/>
                <w:color w:val="auto"/>
              </w:rPr>
              <w:t>PHVS416 on demand</w:t>
            </w:r>
          </w:p>
        </w:tc>
        <w:tc>
          <w:tcPr>
            <w:tcW w:w="5980" w:type="dxa"/>
            <w:vAlign w:val="bottom"/>
          </w:tcPr>
          <w:p>
            <w:pPr>
              <w:ind w:left="240"/>
              <w:spacing w:after="0"/>
              <w:rPr>
                <w:sz w:val="20"/>
                <w:szCs w:val="20"/>
                <w:color w:val="auto"/>
              </w:rPr>
            </w:pPr>
            <w:r>
              <w:rPr>
                <w:rFonts w:ascii="Arial" w:cs="Arial" w:eastAsia="Arial" w:hAnsi="Arial"/>
                <w:sz w:val="16"/>
                <w:szCs w:val="16"/>
                <w:color w:val="auto"/>
              </w:rPr>
              <w:t>A Phase 3, Randomized, Double-blind, Placebo-controlled, Cross-over Study</w:t>
            </w:r>
          </w:p>
        </w:tc>
        <w:tc>
          <w:tcPr>
            <w:tcW w:w="860" w:type="dxa"/>
            <w:vAlign w:val="bottom"/>
          </w:tcPr>
          <w:p>
            <w:pPr>
              <w:ind w:left="260"/>
              <w:spacing w:after="0"/>
              <w:rPr>
                <w:sz w:val="20"/>
                <w:szCs w:val="20"/>
                <w:color w:val="auto"/>
              </w:rPr>
            </w:pPr>
            <w:r>
              <w:rPr>
                <w:rFonts w:ascii="Arial" w:cs="Arial" w:eastAsia="Arial" w:hAnsi="Arial"/>
                <w:sz w:val="16"/>
                <w:szCs w:val="16"/>
                <w:color w:val="auto"/>
                <w:w w:val="95"/>
              </w:rPr>
              <w:t>Ongoing</w:t>
            </w: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RAPIDe-3</w:t>
            </w:r>
          </w:p>
        </w:tc>
        <w:tc>
          <w:tcPr>
            <w:tcW w:w="2660" w:type="dxa"/>
            <w:vAlign w:val="bottom"/>
          </w:tcPr>
          <w:p>
            <w:pPr>
              <w:spacing w:after="0"/>
              <w:rPr>
                <w:sz w:val="16"/>
                <w:szCs w:val="16"/>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of Oral Deucrictibant Soft Capsule for On-Demand Treatment of Attacks in</w:t>
            </w:r>
          </w:p>
        </w:tc>
        <w:tc>
          <w:tcPr>
            <w:tcW w:w="860" w:type="dxa"/>
            <w:vAlign w:val="bottom"/>
          </w:tcPr>
          <w:p>
            <w:pPr>
              <w:spacing w:after="0"/>
              <w:rPr>
                <w:sz w:val="16"/>
                <w:szCs w:val="16"/>
                <w:color w:val="auto"/>
              </w:rPr>
            </w:pPr>
          </w:p>
        </w:tc>
      </w:tr>
      <w:tr>
        <w:trPr>
          <w:trHeight w:val="214"/>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Adolescents and Adults with Hereditary Angioedema</w:t>
            </w:r>
          </w:p>
        </w:tc>
        <w:tc>
          <w:tcPr>
            <w:tcW w:w="860" w:type="dxa"/>
            <w:vAlign w:val="bottom"/>
          </w:tcPr>
          <w:p>
            <w:pPr>
              <w:spacing w:after="0"/>
              <w:rPr>
                <w:sz w:val="18"/>
                <w:szCs w:val="18"/>
                <w:color w:val="auto"/>
              </w:rPr>
            </w:pPr>
          </w:p>
        </w:tc>
      </w:tr>
      <w:tr>
        <w:trPr>
          <w:trHeight w:val="363"/>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C305 CHAPTER-</w:t>
            </w:r>
          </w:p>
        </w:tc>
        <w:tc>
          <w:tcPr>
            <w:tcW w:w="2660" w:type="dxa"/>
            <w:vAlign w:val="bottom"/>
          </w:tcPr>
          <w:p>
            <w:pPr>
              <w:ind w:left="80"/>
              <w:spacing w:after="0"/>
              <w:rPr>
                <w:sz w:val="20"/>
                <w:szCs w:val="20"/>
                <w:color w:val="auto"/>
              </w:rPr>
            </w:pPr>
            <w:r>
              <w:rPr>
                <w:rFonts w:ascii="Arial" w:cs="Arial" w:eastAsia="Arial" w:hAnsi="Arial"/>
                <w:sz w:val="16"/>
                <w:szCs w:val="16"/>
                <w:color w:val="auto"/>
              </w:rPr>
              <w:t>PHVS719 prophylaxis</w:t>
            </w:r>
          </w:p>
        </w:tc>
        <w:tc>
          <w:tcPr>
            <w:tcW w:w="5980" w:type="dxa"/>
            <w:vAlign w:val="bottom"/>
          </w:tcPr>
          <w:p>
            <w:pPr>
              <w:ind w:left="240"/>
              <w:spacing w:after="0"/>
              <w:rPr>
                <w:sz w:val="20"/>
                <w:szCs w:val="20"/>
                <w:color w:val="auto"/>
              </w:rPr>
            </w:pPr>
            <w:r>
              <w:rPr>
                <w:rFonts w:ascii="Arial" w:cs="Arial" w:eastAsia="Arial" w:hAnsi="Arial"/>
                <w:sz w:val="16"/>
                <w:szCs w:val="16"/>
                <w:color w:val="auto"/>
              </w:rPr>
              <w:t>A Phase 3, Randomized, Double-blind, Placebo-controlled Study of Orally</w:t>
            </w:r>
          </w:p>
        </w:tc>
        <w:tc>
          <w:tcPr>
            <w:tcW w:w="860" w:type="dxa"/>
            <w:vAlign w:val="bottom"/>
          </w:tcPr>
          <w:p>
            <w:pPr>
              <w:ind w:left="260"/>
              <w:spacing w:after="0"/>
              <w:rPr>
                <w:sz w:val="20"/>
                <w:szCs w:val="20"/>
                <w:color w:val="auto"/>
              </w:rPr>
            </w:pPr>
            <w:r>
              <w:rPr>
                <w:rFonts w:ascii="Arial" w:cs="Arial" w:eastAsia="Arial" w:hAnsi="Arial"/>
                <w:sz w:val="16"/>
                <w:szCs w:val="16"/>
                <w:color w:val="auto"/>
                <w:w w:val="98"/>
              </w:rPr>
              <w:t>Planned</w:t>
            </w: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Administered Deucrictibant Extended-Release Tablet for Prophylaxis to</w:t>
            </w:r>
          </w:p>
        </w:tc>
        <w:tc>
          <w:tcPr>
            <w:tcW w:w="86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Prevent Angioedema Attacks in Adolescents and Adults with Hereditary</w:t>
            </w:r>
          </w:p>
        </w:tc>
        <w:tc>
          <w:tcPr>
            <w:tcW w:w="860" w:type="dxa"/>
            <w:vAlign w:val="bottom"/>
          </w:tcPr>
          <w:p>
            <w:pPr>
              <w:spacing w:after="0"/>
              <w:rPr>
                <w:sz w:val="16"/>
                <w:szCs w:val="16"/>
                <w:color w:val="auto"/>
              </w:rPr>
            </w:pPr>
          </w:p>
        </w:tc>
      </w:tr>
      <w:tr>
        <w:trPr>
          <w:trHeight w:val="201"/>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Angioedema</w:t>
            </w:r>
          </w:p>
        </w:tc>
        <w:tc>
          <w:tcPr>
            <w:tcW w:w="860" w:type="dxa"/>
            <w:vAlign w:val="bottom"/>
          </w:tcPr>
          <w:p>
            <w:pPr>
              <w:spacing w:after="0"/>
              <w:rPr>
                <w:sz w:val="17"/>
                <w:szCs w:val="17"/>
                <w:color w:val="auto"/>
              </w:rPr>
            </w:pPr>
          </w:p>
        </w:tc>
      </w:tr>
      <w:tr>
        <w:trPr>
          <w:trHeight w:val="188"/>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C307 CHAPTER-   PHVS719 prophylaxis open-label</w:t>
            </w:r>
          </w:p>
        </w:tc>
        <w:tc>
          <w:tcPr>
            <w:tcW w:w="5980" w:type="dxa"/>
            <w:vAlign w:val="bottom"/>
          </w:tcPr>
          <w:p>
            <w:pPr>
              <w:ind w:left="240"/>
              <w:spacing w:after="0"/>
              <w:rPr>
                <w:sz w:val="20"/>
                <w:szCs w:val="20"/>
                <w:color w:val="auto"/>
              </w:rPr>
            </w:pPr>
            <w:r>
              <w:rPr>
                <w:rFonts w:ascii="Arial" w:cs="Arial" w:eastAsia="Arial" w:hAnsi="Arial"/>
                <w:sz w:val="16"/>
                <w:szCs w:val="16"/>
                <w:color w:val="auto"/>
              </w:rPr>
              <w:t>A Phase 3, Long-term, Open-label Study of Orally Administered Deucrictibant</w:t>
            </w:r>
          </w:p>
        </w:tc>
        <w:tc>
          <w:tcPr>
            <w:tcW w:w="860" w:type="dxa"/>
            <w:vAlign w:val="bottom"/>
          </w:tcPr>
          <w:p>
            <w:pPr>
              <w:ind w:left="260"/>
              <w:spacing w:after="0"/>
              <w:rPr>
                <w:sz w:val="20"/>
                <w:szCs w:val="20"/>
                <w:color w:val="auto"/>
              </w:rPr>
            </w:pPr>
            <w:r>
              <w:rPr>
                <w:rFonts w:ascii="Arial" w:cs="Arial" w:eastAsia="Arial" w:hAnsi="Arial"/>
                <w:sz w:val="16"/>
                <w:szCs w:val="16"/>
                <w:color w:val="auto"/>
                <w:w w:val="98"/>
              </w:rPr>
              <w:t>Planned</w:t>
            </w:r>
          </w:p>
        </w:tc>
      </w:tr>
      <w:tr>
        <w:trPr>
          <w:trHeight w:val="188"/>
        </w:trPr>
        <w:tc>
          <w:tcPr>
            <w:tcW w:w="1360" w:type="dxa"/>
            <w:vAlign w:val="bottom"/>
          </w:tcPr>
          <w:p>
            <w:pPr>
              <w:ind w:left="2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6"/>
                <w:szCs w:val="16"/>
                <w:color w:val="auto"/>
              </w:rPr>
            </w:pPr>
          </w:p>
        </w:tc>
        <w:tc>
          <w:tcPr>
            <w:tcW w:w="2660" w:type="dxa"/>
            <w:vAlign w:val="bottom"/>
          </w:tcPr>
          <w:p>
            <w:pPr>
              <w:ind w:left="80"/>
              <w:spacing w:after="0"/>
              <w:rPr>
                <w:sz w:val="20"/>
                <w:szCs w:val="20"/>
                <w:color w:val="auto"/>
              </w:rPr>
            </w:pPr>
            <w:r>
              <w:rPr>
                <w:rFonts w:ascii="Arial" w:cs="Arial" w:eastAsia="Arial" w:hAnsi="Arial"/>
                <w:sz w:val="16"/>
                <w:szCs w:val="16"/>
                <w:color w:val="auto"/>
              </w:rPr>
              <w:t>extension</w:t>
            </w:r>
          </w:p>
        </w:tc>
        <w:tc>
          <w:tcPr>
            <w:tcW w:w="5980" w:type="dxa"/>
            <w:vAlign w:val="bottom"/>
          </w:tcPr>
          <w:p>
            <w:pPr>
              <w:ind w:left="240"/>
              <w:spacing w:after="0"/>
              <w:rPr>
                <w:sz w:val="20"/>
                <w:szCs w:val="20"/>
                <w:color w:val="auto"/>
              </w:rPr>
            </w:pPr>
            <w:r>
              <w:rPr>
                <w:rFonts w:ascii="Arial" w:cs="Arial" w:eastAsia="Arial" w:hAnsi="Arial"/>
                <w:sz w:val="16"/>
                <w:szCs w:val="16"/>
                <w:color w:val="auto"/>
              </w:rPr>
              <w:t>Extended-release Tablet for Prophylaxis to Prevent Angioedema Attacks in</w:t>
            </w:r>
          </w:p>
        </w:tc>
        <w:tc>
          <w:tcPr>
            <w:tcW w:w="860" w:type="dxa"/>
            <w:vAlign w:val="bottom"/>
          </w:tcPr>
          <w:p>
            <w:pPr>
              <w:spacing w:after="0"/>
              <w:rPr>
                <w:sz w:val="16"/>
                <w:szCs w:val="16"/>
                <w:color w:val="auto"/>
              </w:rPr>
            </w:pPr>
          </w:p>
        </w:tc>
      </w:tr>
      <w:tr>
        <w:trPr>
          <w:trHeight w:val="214"/>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Adolescents and Adults with Hereditary Angioedema</w:t>
            </w:r>
          </w:p>
        </w:tc>
        <w:tc>
          <w:tcPr>
            <w:tcW w:w="860" w:type="dxa"/>
            <w:vAlign w:val="bottom"/>
          </w:tcPr>
          <w:p>
            <w:pPr>
              <w:spacing w:after="0"/>
              <w:rPr>
                <w:sz w:val="18"/>
                <w:szCs w:val="18"/>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 BK challenge / SAD-POM)</w:t>
      </w:r>
    </w:p>
    <w:p>
      <w:pPr>
        <w:spacing w:after="0" w:line="11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Deucrictibant-C001 was a randomized, double-blind, placebo-controlled, single ascending dose and proof-of-concept study to examine the safety, tolerability, PK and PD of orally administered deucrictibant in healthy subjects. A total of 52 subjects received single ascending oral doses of deucrictibant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deucrictibant groups occurred. The overall incidence of AEs was similar between the placebo and deucrictibant. Treatment-related AEs were reported for three subjects who received deucrictibant (12 or 22 mg), all within the gastrointestinal system and of mild severity: upper abdominal pain, vomiting, and nausea. There were no apparent trends or dose-related changes in hematology, clinical chemistry, vital signs, or ECG.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Pharmacokinetics Analysis</w:t>
      </w:r>
    </w:p>
    <w:p>
      <w:pPr>
        <w:spacing w:after="0" w:line="109" w:lineRule="exact"/>
        <w:rPr>
          <w:sz w:val="20"/>
          <w:szCs w:val="20"/>
          <w:color w:val="auto"/>
        </w:rPr>
      </w:pPr>
    </w:p>
    <w:p>
      <w:pPr>
        <w:ind w:right="260" w:firstLine="458"/>
        <w:spacing w:after="0" w:line="272" w:lineRule="auto"/>
        <w:rPr>
          <w:sz w:val="20"/>
          <w:szCs w:val="20"/>
          <w:color w:val="auto"/>
        </w:rPr>
      </w:pPr>
      <w:r>
        <w:rPr>
          <w:rFonts w:ascii="Arial" w:cs="Arial" w:eastAsia="Arial" w:hAnsi="Arial"/>
          <w:sz w:val="16"/>
          <w:szCs w:val="16"/>
          <w:color w:val="auto"/>
        </w:rPr>
        <w:t>Dose proportional PK was observed after single oral administration under fasting condition of deucrictibant in the dose range of 1 mg to 22 mg for Cmax, AUClast and AUCinf.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3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Dose (mg)</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Cmax (ng/mL)</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C0.25h (ng/mL)</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C12h (ng/mL)</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Tmax (h)</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t1/2 (h)</w:t>
            </w:r>
          </w:p>
        </w:tc>
        <w:tc>
          <w:tcPr>
            <w:tcW w:w="100" w:type="dxa"/>
            <w:vAlign w:val="bottom"/>
          </w:tcPr>
          <w:p>
            <w:pPr>
              <w:spacing w:after="0"/>
              <w:rPr>
                <w:sz w:val="14"/>
                <w:szCs w:val="14"/>
                <w:color w:val="auto"/>
              </w:rPr>
            </w:pPr>
          </w:p>
        </w:tc>
      </w:tr>
      <w:tr>
        <w:trPr>
          <w:trHeight w:val="208"/>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5"/>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4.5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6"/>
                <w:szCs w:val="16"/>
                <w:color w:val="auto"/>
              </w:rPr>
              <w:t>12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5"/>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22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8"/>
                <w:szCs w:val="18"/>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6"/>
                <w:szCs w:val="16"/>
                <w:b w:val="1"/>
                <w:bCs w:val="1"/>
                <w:color w:val="auto"/>
              </w:rPr>
              <w:t>22 (high calorie, high-fat meal)</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r>
    </w:tbl>
    <w:p>
      <w:pPr>
        <w:spacing w:after="0" w:line="233"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this study, a high-calorie, high-fat (HCHF) meal reduced peak exposure and slightly increased overall exposure of deucrictibant: after a 22 mg dose, the mean Cmax of deucrictibant was lower (~32%) while AUCinf was higher (~ 42%) when deucrictibant was administered after a high calorie, high-fat breakfast (fed conditions) compared to administration under fasted conditions. While the median tmax of deucrictibant was delayed by approximately two hours after administration under fed conditions, the plasma concentration for deucrictibant still reached the projected therapeutic levels (EC85, as determined in the bradykinin challenge described below) within 15 minutes. As shown in the table, the concentration of deucrictibant twelve hours post-dosing at 12 mg or 22 mg remained above projected therapeutic levels under both fed and fasted conditions.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146050</wp:posOffset>
            </wp:positionV>
            <wp:extent cx="3813810" cy="9791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13810" cy="97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addition, we also evaluated the PD of deucrictibant in a bradykinin challenge model, which was designed to demonstrate deucrictibant-mediated inhibition of the drop in blood pressure and increase in heart rate resulting from injection of a bradykinin bolus in healthy subjects. The bradykinin challenge is administered at specific intervals after the deucrictibant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ectPr>
          <w:pgSz w:w="11900" w:h="16838" w:orient="portrait"/>
          <w:cols w:equalWidth="0" w:num="1">
            <w:col w:w="11220"/>
          </w:cols>
          <w:pgMar w:left="320" w:top="760"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deucrictibant. Bradykinin was injected intravenously before deucrictibant to calibrate each subject’s response, and then at 1, 4, 8, 12 and 24 hours after dosing with deucrictibant. We monitored cardiovascular responses at each time point (see figure above). At the same time, blood samples were drawn for PK assessment. Bradykinin injection induced a short-lasting transient change in mean arterial blood pressure, or MABP, heart rate, or HR, and cardiac output. In the presence of deucrictibant, this cardiovascular response was dampened to an extent depending on the plasma concentration of deucrictibant.</w:t>
      </w:r>
    </w:p>
    <w:p>
      <w:pPr>
        <w:spacing w:after="0" w:line="179" w:lineRule="exact"/>
        <w:rPr>
          <w:sz w:val="20"/>
          <w:szCs w:val="20"/>
          <w:color w:val="auto"/>
        </w:rPr>
      </w:pPr>
    </w:p>
    <w:p>
      <w:pPr>
        <w:ind w:left="20" w:right="220" w:firstLine="458"/>
        <w:spacing w:after="0" w:line="254"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BK challenge are provided in the table below. Deucrictibant demonstrated higher PD potency based on plasma concentrations (roughly four-fold) published for icatibant. Adjusting for the differences between molecular weight and plasma protein binding, we found that deucrictibant is 24-fold more potent (170 pM) in the bradykinin challenge model than icatibant (4.1 nM) on a molecule-by-molecule basis, consistent with our preclinical </w:t>
      </w:r>
      <w:r>
        <w:rPr>
          <w:rFonts w:ascii="Arial" w:cs="Arial" w:eastAsia="Arial" w:hAnsi="Arial"/>
          <w:sz w:val="16"/>
          <w:szCs w:val="16"/>
          <w:i w:val="1"/>
          <w:iCs w:val="1"/>
          <w:color w:val="auto"/>
        </w:rPr>
        <w:t>in vitro measurements.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5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Composite average</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deucrictibant</w:t>
            </w: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icatibant</w:t>
            </w:r>
          </w:p>
        </w:tc>
        <w:tc>
          <w:tcPr>
            <w:tcW w:w="80" w:type="dxa"/>
            <w:vAlign w:val="bottom"/>
          </w:tcPr>
          <w:p>
            <w:pPr>
              <w:spacing w:after="0"/>
              <w:rPr>
                <w:sz w:val="14"/>
                <w:szCs w:val="14"/>
                <w:color w:val="auto"/>
              </w:rPr>
            </w:pPr>
          </w:p>
        </w:tc>
      </w:tr>
      <w:tr>
        <w:trPr>
          <w:trHeight w:val="208"/>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EC50 (ng/mL)</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FF0FC"/>
          </w:tcPr>
          <w:p>
            <w:pPr>
              <w:spacing w:after="0"/>
              <w:rPr>
                <w:sz w:val="18"/>
                <w:szCs w:val="18"/>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6"/>
                <w:szCs w:val="16"/>
                <w:color w:val="auto"/>
              </w:rPr>
              <w:t>EC85 (ng/mL)</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8"/>
                <w:szCs w:val="18"/>
                <w:color w:val="auto"/>
              </w:rPr>
            </w:pPr>
          </w:p>
        </w:tc>
      </w:tr>
    </w:tbl>
    <w:p>
      <w:pPr>
        <w:spacing w:after="0" w:line="241" w:lineRule="exact"/>
        <w:rPr>
          <w:sz w:val="20"/>
          <w:szCs w:val="20"/>
          <w:color w:val="auto"/>
        </w:rPr>
      </w:pPr>
    </w:p>
    <w:p>
      <w:pPr>
        <w:ind w:right="540" w:firstLine="458"/>
        <w:spacing w:after="0" w:line="283"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5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data also allowed us to compare the projected therapeutic performance of deucrictibant with that of icatibant. However, we have not conducted a head-to-head comparison of icatibant to deucrictibant in a clinical trial but have compared the published data for icatibant to data from our Phase 1 and Phase 2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of icatibant to treat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86"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Applying these criteria as exposure targets for deucrictibant leads us to project that due to deucrictibant’s longer half-life, we believe deucrictibant will stay above these therapeutic targets for much longer than icatibant. The 12 mg dose of deucrictibant showed rapid absorption and the plasma exposure then stayed above EC50 for 10-12 hours and above the EC85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deucrictibant based on BK-challenge modeling and simulation.</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deucrictibant 12 mg</w:t>
            </w:r>
          </w:p>
        </w:tc>
        <w:tc>
          <w:tcPr>
            <w:tcW w:w="80" w:type="dxa"/>
            <w:vAlign w:val="bottom"/>
          </w:tcPr>
          <w:p>
            <w:pPr>
              <w:spacing w:after="0"/>
              <w:rPr>
                <w:sz w:val="12"/>
                <w:szCs w:val="12"/>
                <w:color w:val="auto"/>
              </w:rPr>
            </w:pPr>
          </w:p>
        </w:tc>
        <w:tc>
          <w:tcPr>
            <w:tcW w:w="15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deucrictibant 22 mg</w:t>
            </w:r>
          </w:p>
        </w:tc>
      </w:tr>
      <w:tr>
        <w:trPr>
          <w:trHeight w:val="165"/>
        </w:trPr>
        <w:tc>
          <w:tcPr>
            <w:tcW w:w="5320" w:type="dxa"/>
            <w:vAlign w:val="bottom"/>
          </w:tcPr>
          <w:p>
            <w:pPr>
              <w:spacing w:after="0"/>
              <w:rPr>
                <w:sz w:val="20"/>
                <w:szCs w:val="20"/>
                <w:color w:val="auto"/>
              </w:rPr>
            </w:pPr>
            <w:r>
              <w:rPr>
                <w:rFonts w:ascii="Arial" w:cs="Arial" w:eastAsia="Arial" w:hAnsi="Arial"/>
                <w:sz w:val="13"/>
                <w:szCs w:val="13"/>
                <w:b w:val="1"/>
                <w:bCs w:val="1"/>
                <w:color w:val="auto"/>
              </w:rPr>
              <w:t>Response</w:t>
            </w:r>
          </w:p>
        </w:tc>
        <w:tc>
          <w:tcPr>
            <w:tcW w:w="136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icatibant 30 mg</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8"/>
              </w:rPr>
              <w:t>(oral)</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(oral)</w:t>
            </w:r>
          </w:p>
        </w:tc>
        <w:tc>
          <w:tcPr>
            <w:tcW w:w="100" w:type="dxa"/>
            <w:vAlign w:val="bottom"/>
          </w:tcPr>
          <w:p>
            <w:pPr>
              <w:spacing w:after="0"/>
              <w:rPr>
                <w:sz w:val="14"/>
                <w:szCs w:val="14"/>
                <w:color w:val="auto"/>
              </w:rPr>
            </w:pPr>
          </w:p>
        </w:tc>
      </w:tr>
      <w:tr>
        <w:trPr>
          <w:trHeight w:val="154"/>
        </w:trPr>
        <w:tc>
          <w:tcPr>
            <w:tcW w:w="5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Time (h) plasma</w:t>
            </w:r>
          </w:p>
        </w:tc>
        <w:tc>
          <w:tcPr>
            <w:tcW w:w="100" w:type="dxa"/>
            <w:vAlign w:val="bottom"/>
          </w:tcPr>
          <w:p>
            <w:pPr>
              <w:spacing w:after="0"/>
              <w:rPr>
                <w:sz w:val="13"/>
                <w:szCs w:val="13"/>
                <w:color w:val="auto"/>
              </w:rPr>
            </w:pPr>
          </w:p>
        </w:tc>
        <w:tc>
          <w:tcPr>
            <w:tcW w:w="3100" w:type="dxa"/>
            <w:vAlign w:val="bottom"/>
            <w:gridSpan w:val="4"/>
          </w:tcPr>
          <w:p>
            <w:pPr>
              <w:spacing w:after="0"/>
              <w:rPr>
                <w:sz w:val="20"/>
                <w:szCs w:val="20"/>
                <w:color w:val="auto"/>
              </w:rPr>
            </w:pPr>
            <w:r>
              <w:rPr>
                <w:rFonts w:ascii="Arial" w:cs="Arial" w:eastAsia="Arial" w:hAnsi="Arial"/>
                <w:sz w:val="13"/>
                <w:szCs w:val="13"/>
                <w:b w:val="1"/>
                <w:bCs w:val="1"/>
                <w:color w:val="auto"/>
              </w:rPr>
              <w:t>level above EC50 at a 75% confidence level</w:t>
            </w: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Diastolic blood pressure (DBP)</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8"/>
                <w:szCs w:val="18"/>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6"/>
                <w:szCs w:val="16"/>
                <w:color w:val="auto"/>
              </w:rPr>
              <w:t>MABP</w:t>
            </w: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Heart rate</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8"/>
                <w:szCs w:val="18"/>
                <w:color w:val="auto"/>
              </w:rPr>
            </w:pPr>
          </w:p>
        </w:tc>
      </w:tr>
      <w:tr>
        <w:trPr>
          <w:trHeight w:val="214"/>
        </w:trPr>
        <w:tc>
          <w:tcPr>
            <w:tcW w:w="5320" w:type="dxa"/>
            <w:vAlign w:val="bottom"/>
          </w:tcPr>
          <w:p>
            <w:pPr>
              <w:spacing w:after="0"/>
              <w:rPr>
                <w:sz w:val="18"/>
                <w:szCs w:val="18"/>
                <w:color w:val="auto"/>
              </w:rPr>
            </w:pPr>
          </w:p>
        </w:tc>
        <w:tc>
          <w:tcPr>
            <w:tcW w:w="4560" w:type="dxa"/>
            <w:vAlign w:val="bottom"/>
            <w:gridSpan w:val="6"/>
          </w:tcPr>
          <w:p>
            <w:pPr>
              <w:jc w:val="center"/>
              <w:ind w:right="140"/>
              <w:spacing w:after="0"/>
              <w:rPr>
                <w:sz w:val="20"/>
                <w:szCs w:val="20"/>
                <w:color w:val="auto"/>
              </w:rPr>
            </w:pPr>
            <w:r>
              <w:rPr>
                <w:rFonts w:ascii="Arial" w:cs="Arial" w:eastAsia="Arial" w:hAnsi="Arial"/>
                <w:sz w:val="16"/>
                <w:szCs w:val="16"/>
                <w:color w:val="auto"/>
              </w:rPr>
              <w:t>Time (h) plasma level above EC85 at a 50% confidence level</w:t>
            </w:r>
          </w:p>
        </w:tc>
      </w:tr>
      <w:tr>
        <w:trPr>
          <w:trHeight w:val="208"/>
        </w:trPr>
        <w:tc>
          <w:tcPr>
            <w:tcW w:w="5320" w:type="dxa"/>
            <w:vAlign w:val="bottom"/>
          </w:tcPr>
          <w:p>
            <w:pPr>
              <w:spacing w:after="0"/>
              <w:rPr>
                <w:sz w:val="20"/>
                <w:szCs w:val="20"/>
                <w:color w:val="auto"/>
              </w:rPr>
            </w:pPr>
            <w:r>
              <w:rPr>
                <w:rFonts w:ascii="Arial" w:cs="Arial" w:eastAsia="Arial" w:hAnsi="Arial"/>
                <w:sz w:val="16"/>
                <w:szCs w:val="16"/>
                <w:color w:val="auto"/>
              </w:rPr>
              <w:t>DBP</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7.5</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MABP</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r>
      <w:tr>
        <w:trPr>
          <w:trHeight w:val="214"/>
        </w:trPr>
        <w:tc>
          <w:tcPr>
            <w:tcW w:w="5320" w:type="dxa"/>
            <w:vAlign w:val="bottom"/>
          </w:tcPr>
          <w:p>
            <w:pPr>
              <w:spacing w:after="0"/>
              <w:rPr>
                <w:sz w:val="20"/>
                <w:szCs w:val="20"/>
                <w:color w:val="auto"/>
              </w:rPr>
            </w:pPr>
            <w:r>
              <w:rPr>
                <w:rFonts w:ascii="Arial" w:cs="Arial" w:eastAsia="Arial" w:hAnsi="Arial"/>
                <w:sz w:val="16"/>
                <w:szCs w:val="16"/>
                <w:color w:val="auto"/>
              </w:rPr>
              <w:t>Heart rate</w:t>
            </w: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r>
    </w:tbl>
    <w:p>
      <w:pPr>
        <w:spacing w:after="0" w:line="228" w:lineRule="exact"/>
        <w:rPr>
          <w:sz w:val="20"/>
          <w:szCs w:val="20"/>
          <w:color w:val="auto"/>
        </w:rPr>
      </w:pPr>
    </w:p>
    <w:p>
      <w:pPr>
        <w:ind w:right="120" w:firstLine="458"/>
        <w:spacing w:after="0" w:line="257"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deucrictibant at 12 mg (left) or 22 mg (right), using a non-linear mixed-effect model built from published data of icatibant and our bradykinin challenge study. As shown in the bottom row, the modeled PD effect of deucrictibant surpasses that of icatibant at less than half the dose, and equals two 30 mg injections of icatibant with a single oral dose of 22 mg. As demonstrated in a post-commercialization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observational study (IOS study reference),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107950</wp:posOffset>
            </wp:positionV>
            <wp:extent cx="3830320" cy="2119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30320" cy="2119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In conclusion, deucrictibant was well tolerated when administered orally at the doses tested without any dose-limiting toxicity. Deucrictibant was rapidly absorbed in either fasting or fed conditions and showed dose proportional PK for deucrictibant. The BK challenge demonstrated that deucrictibant potently blocks the effects of bradykinin-induced hemodynamic changes and provided the robust rationale for dose selection in future on-demand and prophylactic HAE trials.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PHA121-C002 (SAD extension)</w:t>
      </w:r>
    </w:p>
    <w:p>
      <w:pPr>
        <w:spacing w:after="0" w:line="111" w:lineRule="exact"/>
        <w:rPr>
          <w:sz w:val="20"/>
          <w:szCs w:val="20"/>
          <w:color w:val="auto"/>
        </w:rPr>
      </w:pPr>
    </w:p>
    <w:p>
      <w:pPr>
        <w:ind w:right="120" w:firstLine="458"/>
        <w:spacing w:after="0" w:line="264"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deucrictibant after a standard caloric meal and 40 mg in fasting conditions. A total of 32 subjects received either deucrictibant, with respect to 24 subjects, or placebo, with respect to 8 subjects.</w:t>
      </w:r>
    </w:p>
    <w:p>
      <w:pPr>
        <w:spacing w:after="0" w:line="170"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The trial results showed that deucrictibant was well tolerated at doses up to 40 mg under fasting and 50 mg under fed conditions. There were no SAEs reported. Treatment-related AEs that were reported as possibly related to deucrictibant were mild nausea (22 mg) (one subject), mild headache (50 mg) (one subject), and moderate headache associated with vomiting (50 mg) (one subject). There were no clinically significant changes in vital signs, laboratory or ECG parameters.</w:t>
      </w:r>
    </w:p>
    <w:p>
      <w:pPr>
        <w:spacing w:after="0" w:line="177" w:lineRule="exact"/>
        <w:rPr>
          <w:sz w:val="20"/>
          <w:szCs w:val="20"/>
          <w:color w:val="auto"/>
        </w:rPr>
      </w:pPr>
    </w:p>
    <w:p>
      <w:pPr>
        <w:jc w:val="both"/>
        <w:ind w:right="40" w:firstLine="458"/>
        <w:spacing w:after="0" w:line="257"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deucrictibant showed dose-proportional PK with a 2.4-fold increase for mean Cmax and AUC0-24h. Administration of deucrictibant after a standardized breakfast resulted in 40-50% decrease in Cmax without a change in AUCinf as compared to administration under fasting conditions. As a result, C12h and C24h plasma concentration for deucrictibant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104140</wp:posOffset>
            </wp:positionV>
            <wp:extent cx="3634740" cy="17278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34740" cy="172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right"/>
              <w:ind w:right="25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c>
          <w:tcPr>
            <w:tcW w:w="1880" w:type="dxa"/>
            <w:vAlign w:val="bottom"/>
          </w:tcPr>
          <w:p>
            <w:pPr>
              <w:jc w:val="right"/>
              <w:ind w:right="19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c>
          <w:tcPr>
            <w:tcW w:w="2840" w:type="dxa"/>
            <w:vAlign w:val="bottom"/>
            <w:gridSpan w:val="2"/>
          </w:tcPr>
          <w:p>
            <w:pPr>
              <w:ind w:left="720"/>
              <w:spacing w:after="0"/>
              <w:rPr>
                <w:sz w:val="20"/>
                <w:szCs w:val="20"/>
                <w:color w:val="auto"/>
              </w:rPr>
            </w:pPr>
            <w:r>
              <w:rPr>
                <w:rFonts w:ascii="Arial" w:cs="Arial" w:eastAsia="Arial" w:hAnsi="Arial"/>
                <w:sz w:val="13"/>
                <w:szCs w:val="13"/>
                <w:b w:val="1"/>
                <w:bCs w:val="1"/>
                <w:color w:val="auto"/>
              </w:rPr>
              <w:t>22 mg of deucrictibant</w:t>
            </w:r>
          </w:p>
        </w:tc>
      </w:tr>
      <w:tr>
        <w:trPr>
          <w:trHeight w:val="165"/>
        </w:trPr>
        <w:tc>
          <w:tcPr>
            <w:tcW w:w="2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b w:val="1"/>
                <w:bCs w:val="1"/>
                <w:color w:val="auto"/>
              </w:rPr>
              <w:t>Fasted</w:t>
            </w:r>
          </w:p>
        </w:tc>
        <w:tc>
          <w:tcPr>
            <w:tcW w:w="80" w:type="dxa"/>
            <w:vAlign w:val="bottom"/>
          </w:tcPr>
          <w:p>
            <w:pPr>
              <w:spacing w:after="0"/>
              <w:rPr>
                <w:sz w:val="14"/>
                <w:szCs w:val="14"/>
                <w:color w:val="auto"/>
              </w:rPr>
            </w:pPr>
          </w:p>
        </w:tc>
        <w:tc>
          <w:tcPr>
            <w:tcW w:w="188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HCHF</w:t>
            </w:r>
          </w:p>
        </w:tc>
        <w:tc>
          <w:tcPr>
            <w:tcW w:w="80" w:type="dxa"/>
            <w:vAlign w:val="bottom"/>
          </w:tcPr>
          <w:p>
            <w:pPr>
              <w:spacing w:after="0"/>
              <w:rPr>
                <w:sz w:val="14"/>
                <w:szCs w:val="14"/>
                <w:color w:val="auto"/>
              </w:rPr>
            </w:pPr>
          </w:p>
        </w:tc>
        <w:tc>
          <w:tcPr>
            <w:tcW w:w="2760" w:type="dxa"/>
            <w:vAlign w:val="bottom"/>
            <w:tcBorders>
              <w:bottom w:val="single" w:sz="8" w:color="auto"/>
            </w:tcBorders>
          </w:tcPr>
          <w:p>
            <w:pPr>
              <w:jc w:val="right"/>
              <w:ind w:right="877"/>
              <w:spacing w:after="0"/>
              <w:rPr>
                <w:sz w:val="20"/>
                <w:szCs w:val="20"/>
                <w:color w:val="auto"/>
              </w:rPr>
            </w:pPr>
            <w:r>
              <w:rPr>
                <w:rFonts w:ascii="Arial" w:cs="Arial" w:eastAsia="Arial" w:hAnsi="Arial"/>
                <w:sz w:val="13"/>
                <w:szCs w:val="13"/>
                <w:b w:val="1"/>
                <w:bCs w:val="1"/>
                <w:color w:val="auto"/>
              </w:rPr>
              <w:t>Standard Meal</w:t>
            </w:r>
          </w:p>
        </w:tc>
        <w:tc>
          <w:tcPr>
            <w:tcW w:w="80" w:type="dxa"/>
            <w:vAlign w:val="bottom"/>
          </w:tcPr>
          <w:p>
            <w:pPr>
              <w:spacing w:after="0"/>
              <w:rPr>
                <w:sz w:val="14"/>
                <w:szCs w:val="14"/>
                <w:color w:val="auto"/>
              </w:rPr>
            </w:pPr>
          </w:p>
        </w:tc>
      </w:tr>
      <w:tr>
        <w:trPr>
          <w:trHeight w:val="208"/>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C12h, ng/mL</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FF0FC"/>
          </w:tcPr>
          <w:p>
            <w:pPr>
              <w:spacing w:after="0"/>
              <w:rPr>
                <w:sz w:val="18"/>
                <w:szCs w:val="18"/>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C24h, ng/mL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r>
      <w:tr>
        <w:trPr>
          <w:trHeight w:val="215"/>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Cmax, ng/mL</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FF0FC"/>
          </w:tcPr>
          <w:p>
            <w:pPr>
              <w:spacing w:after="0"/>
              <w:rPr>
                <w:sz w:val="18"/>
                <w:szCs w:val="18"/>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AUC0-24h, ng.h/mL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671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r>
      <w:tr>
        <w:trPr>
          <w:trHeight w:val="215"/>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tmax, h</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0.25-1.02</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2.00-3.00</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0.50-4.00</w:t>
            </w:r>
          </w:p>
        </w:tc>
        <w:tc>
          <w:tcPr>
            <w:tcW w:w="80" w:type="dxa"/>
            <w:vAlign w:val="bottom"/>
            <w:shd w:val="clear" w:color="auto" w:fill="CFF0FC"/>
          </w:tcPr>
          <w:p>
            <w:pPr>
              <w:spacing w:after="0"/>
              <w:rPr>
                <w:sz w:val="18"/>
                <w:szCs w:val="18"/>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t1/2, h</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160"/>
          </w:cols>
          <w:pgMar w:left="320" w:top="769" w:right="4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1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 xml:space="preserve">Cytochrome P450 3A4 (CYP3A4) plays an important role in the metabolism of deucrictibant. Deucrictibant-C004 was designed as an open-label, single sequence crossover drug-drug interaction trial to evaluate the effect of multiple doses of itraconazole, a potent CYP3A4 inhibitor, at steady-state on the PK of a single dose of deucrictibant in healthy subjects. The primary objective of this study was to determine the effect of multiple doses of the strong CYP3A4 inhibitor itraconazole on the PK of deucrictibant in healthy adult subjects. The secondary objective of this study was to evaluate the safety and tolerability of deucrictibant alone and in combination with multiple doses of the CYP3A4 inhibitor itraconazole in healthy adult subjects. The study has been completed in 13 subjects and deucrictibant was well tolerated with no drug-related adverse events reported. Preliminary analyses show that the exposure of deucrictibant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deucrictibant is a substrate of CYP3A4. Other potential drug-drug interactions will be further assessed by the deucrictibant-C005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11" w:lineRule="exact"/>
        <w:rPr>
          <w:sz w:val="20"/>
          <w:szCs w:val="20"/>
          <w:color w:val="auto"/>
        </w:rPr>
      </w:pPr>
    </w:p>
    <w:p>
      <w:pPr>
        <w:ind w:right="460" w:firstLine="458"/>
        <w:spacing w:after="0" w:line="252"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deucrictibant in healthy subjects, which demonstrated deucrictibant’s pharmacokinetics and tolerability. The trial included 38 subjects and four cohorts, ranging from 12 to 50 mg, of healthy subjects who were studied sequentially. Within each cohort, eight subjects received deucrictibant and two subjects received placebo, except for the final cohort with six subjects receiving deucrictibant and two subjects receiving placebo. The trial evaluated multiple ascending doses of twice daily for 10 days to establish safety and tolerability and to assess the PK characteristics of deucrictibant after standard caloric meals. Deucrictibant was supplied as an oral solution.</w:t>
      </w:r>
    </w:p>
    <w:p>
      <w:pPr>
        <w:spacing w:after="0" w:line="18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The study showed deucrictibant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deucrictibant were achieved in day 1 and steady-state plasma concentrations were reached within 72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379730</wp:posOffset>
            </wp:positionV>
            <wp:extent cx="4937125" cy="3370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712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481955" cy="34728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81955" cy="347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11"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PHVS416 without food. The study included 8 healthy volunteers who received in randomized order a single dose of PHVS416 (20 mg, as two 10-mg softgel capsules) without food, a single tablet of PHVS719 XR1 (20 mg) without food; a single tablet of PHVS719 XR1 (20 mg) with a high-calorie, high-fat meal; a single tablet of PHVS719 XR2 (40 mg) without food; and a single tablet of PHVS719 XR2 (40 mg) with a high-calorie, high-fat meal.</w:t>
      </w:r>
    </w:p>
    <w:p>
      <w:pPr>
        <w:spacing w:after="0" w:line="179"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The study showed PHVS416 and PHVS719 were well tolerated. During the study, there were no SAEs or severe treatment-emergent adverse events (TEAEs) reported.</w:t>
      </w:r>
    </w:p>
    <w:p>
      <w:pPr>
        <w:spacing w:after="0" w:line="156" w:lineRule="exact"/>
        <w:rPr>
          <w:sz w:val="20"/>
          <w:szCs w:val="20"/>
          <w:color w:val="auto"/>
        </w:rPr>
      </w:pPr>
    </w:p>
    <w:p>
      <w:pPr>
        <w:ind w:firstLine="458"/>
        <w:spacing w:after="0" w:line="238" w:lineRule="auto"/>
        <w:rPr>
          <w:sz w:val="20"/>
          <w:szCs w:val="20"/>
          <w:color w:val="auto"/>
        </w:rPr>
      </w:pPr>
      <w:r>
        <w:rPr>
          <w:rFonts w:ascii="Arial" w:cs="Arial" w:eastAsia="Arial" w:hAnsi="Arial"/>
          <w:sz w:val="16"/>
          <w:szCs w:val="16"/>
          <w:color w:val="auto"/>
        </w:rPr>
        <w:t>The pharmacokinetic profile observed for PHVS416 confirmed that the softgel capsule formulation under fasting conditions achieved rapid exposure of the deucrictibant active ingredient consistent with previous pharmacokinetic studies using deucrictibant in a solution formulation, rising above clinically relevant exposure (in particular, the EC</w:t>
      </w:r>
      <w:r>
        <w:rPr>
          <w:rFonts w:ascii="Arial" w:cs="Arial" w:eastAsia="Arial" w:hAnsi="Arial"/>
          <w:sz w:val="21"/>
          <w:szCs w:val="21"/>
          <w:color w:val="auto"/>
          <w:vertAlign w:val="subscript"/>
        </w:rPr>
        <w:t>85</w:t>
      </w:r>
      <w:r>
        <w:rPr>
          <w:rFonts w:ascii="Arial" w:cs="Arial" w:eastAsia="Arial" w:hAnsi="Arial"/>
          <w:sz w:val="16"/>
          <w:szCs w:val="16"/>
          <w:color w:val="auto"/>
        </w:rPr>
        <w:t xml:space="preserve"> determined from the bradykinin challenge, 13.8 ng/mL) within 15 minutes. A single dose of PHVS719 (40 mg) under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21"/>
          <w:szCs w:val="21"/>
          <w:color w:val="auto"/>
          <w:vertAlign w:val="subscript"/>
        </w:rPr>
        <w:t>24h</w:t>
      </w:r>
      <w:r>
        <w:rPr>
          <w:rFonts w:ascii="Arial" w:cs="Arial" w:eastAsia="Arial" w:hAnsi="Arial"/>
          <w:sz w:val="16"/>
          <w:szCs w:val="16"/>
          <w:color w:val="auto"/>
        </w:rPr>
        <w:t>) exposure of deucrictibant using PHVS719 (40 mg) is similar to that observed</w:t>
      </w:r>
    </w:p>
    <w:p>
      <w:pPr>
        <w:spacing w:after="0" w:line="2"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in Phase 1 studies with PHVS416 softgel capsules dosed 20 mg twice a day with food (one of the doses used in the CHAPTER-1 prophylactic proof-of-concept study).</w:t>
      </w:r>
    </w:p>
    <w:p>
      <w:pPr>
        <w:spacing w:after="0" w:line="172"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The observed pharmacokinetic profile of PHVS719 is consistent with a true extended-release formulation designed to provide long-term exposure to deucrictibant. In particular, PHVS719 appears to be suitable for once-daily dosing.</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6852285" cy="2885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2285" cy="288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PHA121-C201 (RAPIDe-1 On-Demand)</w:t>
      </w:r>
    </w:p>
    <w:p>
      <w:pPr>
        <w:spacing w:after="0" w:line="297" w:lineRule="exact"/>
        <w:rPr>
          <w:sz w:val="20"/>
          <w:szCs w:val="20"/>
          <w:color w:val="auto"/>
        </w:rPr>
      </w:pPr>
    </w:p>
    <w:p>
      <w:pPr>
        <w:ind w:right="380" w:firstLine="458"/>
        <w:spacing w:after="0" w:line="257"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similar pharmacokinetic profile as the solution formulation we used in Phase 1 trials and have now seen this also in humans from the C010 Phase 1 study.</w:t>
      </w:r>
    </w:p>
    <w:p>
      <w:pPr>
        <w:spacing w:after="0" w:line="70" w:lineRule="exact"/>
        <w:rPr>
          <w:sz w:val="20"/>
          <w:szCs w:val="20"/>
          <w:color w:val="auto"/>
        </w:rPr>
      </w:pPr>
    </w:p>
    <w:p>
      <w:pPr>
        <w:ind w:right="60" w:firstLine="503"/>
        <w:spacing w:after="0" w:line="252"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PHVS416 softgel capsule for the acute treatment of HAE type 1 and type 2 (HAE-1/2) attacks. The study, initiated in February 2021, enrolled 74 patients across 13 countries who were randomized into one of three single dose levels of PHVS416 and placebo. The study compared symptom relief during HAE attacks and the safety of each dose of PHVS416 with placebo. In Part I of the study, participants in a non-attack state received the assigned single dose of PHVS416 at the study center to assess its pharmacokinetics and safety. In Part II, participants self-administered blinded study drug at home to treat three physician-confirmed HAE attacks with PHVS416 or placebo.</w:t>
      </w:r>
    </w:p>
    <w:p>
      <w:pPr>
        <w:spacing w:after="0" w:line="74"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(VAS-3) score from pre-treatment to four hours post-treatment, as captured electronically using numerically assisted input. The top-line data from 147 attacks collected by 62 participants show that all three dose levels of PHVS416 significantly reduce attack symptoms. Composite and individual VAS-3, mean symptom complex severity, or MSCS, and treatment outcome score, or TOS, were assessed up to 48-hours post-dose. All key secondary endpoints in the study were met, demonstrating that PHVS416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PHVS416 also used substantially less rescue medication compared to placebo.</w:t>
      </w:r>
    </w:p>
    <w:p>
      <w:pPr>
        <w:spacing w:after="0" w:line="75"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PHVS416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PHVS416 30mg (2.8%) and one treatment-related adverse event was reported for one attack treated with placebo (1.9%).</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PHA121-C301 (CHAPTER-1 prophylaxis)</w:t>
      </w:r>
    </w:p>
    <w:p>
      <w:pPr>
        <w:spacing w:after="0" w:line="256"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PHA022121-C301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(PHVS416) was dosed twice-a-day as a proof-of-concept for the once-daily deucrictibant extended-release tablet (PHVS719), which is the intended formulation for the prophylactic treatment of HAE. The open-label portion of the CHAPTER-1 study is ongoing at the 40 mg/day dose.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The study’s primary endpoint measured the time-normalized number of investigator-confirmed HAE attacks during the treatment period. The monthly attack rate was reduced by 84.5% (p=0.0008) compared to placebo in participants who received 40 mg/day deucrictibant. In the analysis of the secondary endpoints, deucrictibant demonstrated clinically meaningful improvement in the severity of attacks (92.3% reduction in occurrence of moderate and severe attacks) and a decrease in the number of attacks treated with on-demand medication (92.6% fewer attacks treated with on-demand medication). Participants on deucrictibant treatment also experienced a meaningful improvement in their quality of life.</w:t>
      </w:r>
    </w:p>
    <w:p>
      <w:pPr>
        <w:spacing w:after="0" w:line="72"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Throughout 12 weeks of treatment in CHAPTER-1, both dose regimens of deucrictibant (20 mg/day and 40 mg/day) were well-tolerated. There were no serious adverse events, no severe treatment-emergent adverse events, and no adverse events leading to treatment discontinuation.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1"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We intend to develop deucrictibant for on-demand and prophylactic indications in parallel using two different product formulations, with clinical trials in the on-demand setting commencing first in order to provide critical data for further development for the prophylaxis indication.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09"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the same pharmacokinetic profile as the solution formulation we used in Phase 1 trials and have now seen this also in humans from the C010 Phase 1 study and in patients from the C201 Phase 2 study.</w:t>
      </w:r>
    </w:p>
    <w:p>
      <w:pPr>
        <w:spacing w:after="0" w:line="72" w:lineRule="exact"/>
        <w:rPr>
          <w:sz w:val="20"/>
          <w:szCs w:val="20"/>
          <w:color w:val="auto"/>
        </w:rPr>
      </w:pPr>
    </w:p>
    <w:p>
      <w:pPr>
        <w:ind w:right="660" w:firstLine="458"/>
        <w:spacing w:after="0" w:line="283" w:lineRule="auto"/>
        <w:rPr>
          <w:sz w:val="20"/>
          <w:szCs w:val="20"/>
          <w:color w:val="auto"/>
        </w:rPr>
      </w:pPr>
      <w:r>
        <w:rPr>
          <w:rFonts w:ascii="Arial" w:cs="Arial" w:eastAsia="Arial" w:hAnsi="Arial"/>
          <w:sz w:val="16"/>
          <w:szCs w:val="16"/>
          <w:color w:val="auto"/>
        </w:rPr>
        <w:t xml:space="preserve">Based on the positive results of the primary analysis of RAPIDe-1, we </w:t>
      </w:r>
      <w:r>
        <w:rPr>
          <w:rFonts w:ascii="Arial" w:cs="Arial" w:eastAsia="Arial" w:hAnsi="Arial"/>
          <w:sz w:val="16"/>
          <w:szCs w:val="16"/>
          <w:color w:val="498205"/>
        </w:rPr>
        <w:t>have initiated the</w:t>
      </w:r>
      <w:r>
        <w:rPr>
          <w:rFonts w:ascii="Arial" w:cs="Arial" w:eastAsia="Arial" w:hAnsi="Arial"/>
          <w:sz w:val="16"/>
          <w:szCs w:val="16"/>
          <w:color w:val="auto"/>
        </w:rPr>
        <w:t xml:space="preserve"> confirmatory global Phase 3 trial of PHVS416 in acute treatment of HAE attacks.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09" w:lineRule="exact"/>
        <w:rPr>
          <w:sz w:val="20"/>
          <w:szCs w:val="20"/>
          <w:color w:val="auto"/>
        </w:rPr>
      </w:pPr>
    </w:p>
    <w:p>
      <w:pPr>
        <w:ind w:right="340" w:firstLine="458"/>
        <w:spacing w:after="0" w:line="283" w:lineRule="auto"/>
        <w:rPr>
          <w:sz w:val="20"/>
          <w:szCs w:val="20"/>
          <w:color w:val="auto"/>
        </w:rPr>
      </w:pPr>
      <w:r>
        <w:rPr>
          <w:rFonts w:ascii="Arial" w:cs="Arial" w:eastAsia="Arial" w:hAnsi="Arial"/>
          <w:sz w:val="16"/>
          <w:szCs w:val="16"/>
          <w:color w:val="auto"/>
        </w:rPr>
        <w:t>Currently there is no bradykinin-B2-receptor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49"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 to icatibant, the short half-life of ecallantide makes it generally unsuitable for use in prophylaxis.</w:t>
      </w:r>
    </w:p>
    <w:p>
      <w:pPr>
        <w:spacing w:after="0" w:line="70"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deucrictibant in the bradykinin challenge, we believe we can utilize a similar concentration-above-EC50/EC85 approach to predict the required exposure of deucrictibant to control attacks prophylactically.</w:t>
      </w:r>
    </w:p>
    <w:p>
      <w:pPr>
        <w:spacing w:after="0" w:line="70"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addition to the RAPIDe-1 on-demand trial, we also conducted a clinical trial of PHVS416 to evaluate the effectiveness and safety profile for prophylaxis with bradykinin-B2-receptor-inhibition. In our CHAPTER-1 Phase 2 clinical trial, we aimed to achieve the concentrations desired for prophylactic activity with twice-daily dosing of the PHVS416 softgel capsules. The trial included an evaluation of HAE patients randomized to placebo or active doses for a 12-week period for prophylactic treatment and demonstrated that the monthly attack rate was reduced by 84.5% compared to placebo in patients who received 40 mg/day deucrictibant. Patients on deucrictibant treatment also experienced a statistically and clinically meaningful improvement for all secondary endpoints and their quality of life.</w:t>
      </w:r>
    </w:p>
    <w:p>
      <w:pPr>
        <w:spacing w:after="0" w:line="74"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Based on the positive results of the primary analysis of CHAPTER-1, we plan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and CHAPTER-1 outcomes. Additional trials may be required by the FDA, EMA or other regulators even if we receive positive data from RAPIDe-1.</w:t>
      </w:r>
    </w:p>
    <w:p>
      <w:pPr>
        <w:spacing w:after="0" w:line="70"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are developing an extended-release, or XR, formulation (PHVS719) that will feature continuous slow release maintaining deucrictibant concentrations above the levels we predict to provide protection against attacks. Deucrictibant has demonstrated properties favorable to the development of XR formulations, and we initiated human pharmacokinetics trials with PHVS719 in 2021 to enable use of this product candidate in the pivotal prophylactic trial. With the results of the C010 study, which were described above, we believe we have identified an extended-release formulation that enables once-daily dosing in a prophylactic setting.</w:t>
      </w:r>
    </w:p>
    <w:p>
      <w:pPr>
        <w:spacing w:after="0" w:line="72" w:lineRule="exact"/>
        <w:rPr>
          <w:sz w:val="20"/>
          <w:szCs w:val="20"/>
          <w:color w:val="auto"/>
        </w:rPr>
      </w:pPr>
    </w:p>
    <w:p>
      <w:pPr>
        <w:ind w:right="220" w:firstLine="503"/>
        <w:spacing w:after="0" w:line="283" w:lineRule="auto"/>
        <w:rPr>
          <w:sz w:val="20"/>
          <w:szCs w:val="20"/>
          <w:color w:val="auto"/>
        </w:rPr>
      </w:pPr>
      <w:r>
        <w:rPr>
          <w:rFonts w:ascii="Arial" w:cs="Arial" w:eastAsia="Arial" w:hAnsi="Arial"/>
          <w:sz w:val="16"/>
          <w:szCs w:val="16"/>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11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74" w:lineRule="exact"/>
        <w:rPr>
          <w:sz w:val="20"/>
          <w:szCs w:val="20"/>
          <w:color w:val="auto"/>
        </w:rPr>
      </w:pPr>
    </w:p>
    <w:p>
      <w:pPr>
        <w:ind w:right="60" w:firstLine="458"/>
        <w:spacing w:after="0" w:line="248" w:lineRule="auto"/>
        <w:rPr>
          <w:sz w:val="20"/>
          <w:szCs w:val="20"/>
          <w:color w:val="auto"/>
        </w:rPr>
      </w:pPr>
      <w:r>
        <w:rPr>
          <w:rFonts w:ascii="Arial" w:cs="Arial" w:eastAsia="Arial" w:hAnsi="Arial"/>
          <w:sz w:val="16"/>
          <w:szCs w:val="16"/>
          <w:color w:val="auto"/>
        </w:rPr>
        <w:t>As of March 1, 2024, we own three U.S. patents, one European patent and 82 national/regional patents, including in Australia, India, Indonesia, Japan, Mexico, South Korea, France, Germany, Italy, Netherlands, Spain and United Kingdom, that expire on November 23, 2038 or later, and 62 pending patent applications worldwide, including five pending U.S. applications, 57 pending non-U.S. applications, including applications in Europe and Japan, and three pending PCT applications. The U.S. and national/regional patents and 23 of our pending patent applications contain composition-of-matter claims to the deucrictibant small molecule and derivatives thereof; deucrictibant is the active pharmaceutical ingredient (API) in, and therefore extends our patent applications to, our PHVS416 and PHVS719 product candidates. Each such patent application can generally be categorized into one of three patent families:</w:t>
      </w:r>
    </w:p>
    <w:p>
      <w:pPr>
        <w:spacing w:after="0" w:line="1" w:lineRule="exact"/>
        <w:rPr>
          <w:sz w:val="20"/>
          <w:szCs w:val="20"/>
          <w:color w:val="auto"/>
        </w:rPr>
      </w:pPr>
    </w:p>
    <w:p>
      <w:pPr>
        <w:ind w:firstLine="7"/>
        <w:spacing w:after="0" w:line="246" w:lineRule="auto"/>
        <w:tabs>
          <w:tab w:leader="none" w:pos="2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those relating to the novel bradykinin-B2-receptor antagonists, (2) those relating to the cyclic bradykinin-B2-receptor antagonists, and (3) those relating to the new cyclic bradykinin-B2-receptor antagonists. 11 of our pending applications contain claims directed to the use of deucrictibant in on- demand treatment of HAE and in prophylaxis for HAE, and accordingly extend the patent applications to methods of use of the PHVS416 and PHVS719 product candidates. The granted European patent and 22 of our pending patent applications contain claims directed to the formulation of our PHVS416 product candidate. Two of our applications that are pending in the U.S. and Europe contain claims directed to the crystal form of the API. Three pending international (PCT) applications and one pending national application are directly or indirectly directed to the formulation of our PHVS719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8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74"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1" w:lineRule="exact"/>
        <w:rPr>
          <w:sz w:val="20"/>
          <w:szCs w:val="20"/>
          <w:color w:val="auto"/>
        </w:rPr>
      </w:pPr>
    </w:p>
    <w:p>
      <w:pPr>
        <w:ind w:right="140" w:firstLine="458"/>
        <w:spacing w:after="0" w:line="251" w:lineRule="auto"/>
        <w:rPr>
          <w:sz w:val="20"/>
          <w:szCs w:val="20"/>
          <w:color w:val="auto"/>
        </w:rPr>
      </w:pPr>
      <w:r>
        <w:rPr>
          <w:rFonts w:ascii="Arial" w:cs="Arial" w:eastAsia="Arial" w:hAnsi="Arial"/>
          <w:sz w:val="16"/>
          <w:szCs w:val="16"/>
          <w:color w:val="auto"/>
        </w:rPr>
        <w:t>On March 31, 2016, we entered into a license agreement (the "AnalytiCon License"), and a research agreement with AnalytiCon to collaborate for the development of an orally available bradykinin-B2-receptor antagonist. Pursuant to the AnalytiCon License, we acquired a worldwide, exclusive license from AnalytiCon to use (i) a certain proprietary substance class of bradykinin-B2-receptor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 In consideration for the license, we paid AnalytiCon a non-refundable up-front payment of approximately €0.3 million.</w:t>
      </w:r>
    </w:p>
    <w:p>
      <w:pPr>
        <w:spacing w:after="0" w:line="18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Under the AnalytiCon License, we are required to pay AnalytiCon one-time payments in an aggregate amount of up to €11.4 million upon the achievement of certain development, regulatory, and sales milestones. To date, we have paid AnalytiCon an aggregate amount of approximately €1.2 million (approximately €0.3 million up-front plus €0.9 million in milestone payments). 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under this agreement may be reduced on a country-by-country and product-by-product basis if sales of a generic version of a product account for 1% or more of the relevant market.</w:t>
      </w:r>
    </w:p>
    <w:p>
      <w:pPr>
        <w:spacing w:after="0" w:line="156"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Our agreement with AnalytiCon will expire upon the expiry of the last patent of the licensed intellectual property.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11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We currently have two CDMOs for the production of deucrictibant API. A robust and scalable synthetic route has been established. All raw materials can be purchased from multiple suppliers. We also collaborate with a leading CDMO for the manufacturing of the on-demand treatment product PHVS416. Another well-established CDMO produces the prophylactic treatment product PHVS719. The two CDMOs that manufacture both PHVS416 and PHVS719 are responsible for packaging and worldwide distribution of other commercial drug products.</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Sales and Marketing</w:t>
      </w:r>
    </w:p>
    <w:p>
      <w:pPr>
        <w:spacing w:after="0" w:line="111"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PHVS416 or PHVS719.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1" w:lineRule="exact"/>
        <w:rPr>
          <w:sz w:val="20"/>
          <w:szCs w:val="20"/>
          <w:color w:val="auto"/>
        </w:rPr>
      </w:pPr>
    </w:p>
    <w:p>
      <w:pPr>
        <w:jc w:val="both"/>
        <w:ind w:right="80" w:firstLine="458"/>
        <w:spacing w:after="0" w:line="264"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11" w:lineRule="exact"/>
        <w:rPr>
          <w:sz w:val="20"/>
          <w:szCs w:val="20"/>
          <w:color w:val="auto"/>
        </w:rPr>
      </w:pPr>
    </w:p>
    <w:p>
      <w:pPr>
        <w:ind w:left="900" w:right="20" w:hanging="429"/>
        <w:spacing w:after="0" w:line="263"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64" w:lineRule="exact"/>
        <w:rPr>
          <w:rFonts w:ascii="Times New Roman" w:cs="Times New Roman" w:eastAsia="Times New Roman" w:hAnsi="Times New Roman"/>
          <w:sz w:val="16"/>
          <w:szCs w:val="16"/>
          <w:color w:val="auto"/>
        </w:rPr>
      </w:pPr>
    </w:p>
    <w:p>
      <w:pPr>
        <w:ind w:left="900" w:right="280" w:hanging="429"/>
        <w:spacing w:after="0" w:line="263"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64" w:lineRule="exact"/>
        <w:rPr>
          <w:rFonts w:ascii="Times New Roman" w:cs="Times New Roman" w:eastAsia="Times New Roman" w:hAnsi="Times New Roman"/>
          <w:sz w:val="16"/>
          <w:szCs w:val="16"/>
          <w:color w:val="auto"/>
        </w:rPr>
      </w:pPr>
    </w:p>
    <w:p>
      <w:pPr>
        <w:ind w:left="900" w:right="240" w:hanging="429"/>
        <w:spacing w:after="0" w:line="257"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 daily for the prevention of HAE attacks.</w:t>
      </w:r>
    </w:p>
    <w:p>
      <w:pPr>
        <w:spacing w:after="0" w:line="69" w:lineRule="exact"/>
        <w:rPr>
          <w:rFonts w:ascii="Times New Roman" w:cs="Times New Roman" w:eastAsia="Times New Roman" w:hAnsi="Times New Roman"/>
          <w:sz w:val="16"/>
          <w:szCs w:val="16"/>
          <w:color w:val="auto"/>
        </w:rPr>
      </w:pPr>
    </w:p>
    <w:p>
      <w:pPr>
        <w:ind w:left="900" w:hanging="429"/>
        <w:spacing w:after="0" w:line="257"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6" w:lineRule="exact"/>
        <w:rPr>
          <w:sz w:val="20"/>
          <w:szCs w:val="20"/>
          <w:color w:val="auto"/>
        </w:rPr>
      </w:pPr>
    </w:p>
    <w:p>
      <w:pPr>
        <w:ind w:right="320" w:firstLine="458"/>
        <w:spacing w:after="0" w:line="252" w:lineRule="auto"/>
        <w:rPr>
          <w:sz w:val="20"/>
          <w:szCs w:val="20"/>
          <w:color w:val="auto"/>
        </w:rPr>
      </w:pPr>
      <w:r>
        <w:rPr>
          <w:rFonts w:ascii="Arial" w:cs="Arial" w:eastAsia="Arial" w:hAnsi="Arial"/>
          <w:sz w:val="16"/>
          <w:szCs w:val="16"/>
          <w:color w:val="auto"/>
        </w:rPr>
        <w:t>We are also aware of a number of HAE therapies in clinical development. Currently, there is one orally delivered plasma kallikrein inhibitor being developed clinically: Kalvista’s sebetralstat (KVD900) for acute treatment. In prophylaxis, CSL is developing garadacimab, an anti-factor XIIa mAb for prophylactic treatment, which is delivered subcutaneously or intravenously, and Ionis is developing donidalorsen, an antisense oligonucleotide inhibitor of prekallikrein for prophylactic treatment, which is delivered subcutaneously. Earlier stage products in development are STAR-0215 from Astria, a long-lived monoclonal antibody inhibitor of plasma kallikrein dosed subcutaneously, and two gene therapies – NTLA-2002 from Intellia, using CRISPR technology to knock out the gene for kallikrein, and BMN331 from Biomarin using AAV gene therapy technology to deliver C1-INH protein.</w:t>
      </w:r>
    </w:p>
    <w:p>
      <w:pPr>
        <w:spacing w:after="0" w:line="181"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79"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09"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safety pharmacology and general toxicity.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1, Phase 2, and Phase 3 clinical trials.</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Pharmaceutical development</w:t>
      </w:r>
    </w:p>
    <w:p>
      <w:pPr>
        <w:spacing w:after="0" w:line="109" w:lineRule="exact"/>
        <w:rPr>
          <w:sz w:val="20"/>
          <w:szCs w:val="20"/>
          <w:color w:val="auto"/>
        </w:rPr>
      </w:pPr>
    </w:p>
    <w:p>
      <w:pPr>
        <w:jc w:val="both"/>
        <w:ind w:right="100" w:firstLine="458"/>
        <w:spacing w:after="0" w:line="264" w:lineRule="auto"/>
        <w:rPr>
          <w:sz w:val="20"/>
          <w:szCs w:val="20"/>
          <w:color w:val="auto"/>
        </w:rPr>
      </w:pPr>
      <w:r>
        <w:rPr>
          <w:rFonts w:ascii="Arial" w:cs="Arial" w:eastAsia="Arial" w:hAnsi="Arial"/>
          <w:sz w:val="16"/>
          <w:szCs w:val="16"/>
          <w:color w:val="auto"/>
        </w:rPr>
        <w:t>Laboratory tests are conducted to develop a suitable formulation for clinical use and marketing. Product development includes formulation and stability testing, and a robust product manufacturing process. The conduct of pharmaceutical development must comply with regulations and requirements set by the Competent Authorities, including compliance with GLP.</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09"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8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1" w:lineRule="exact"/>
        <w:rPr>
          <w:sz w:val="20"/>
          <w:szCs w:val="20"/>
          <w:color w:val="auto"/>
        </w:rPr>
      </w:pPr>
    </w:p>
    <w:p>
      <w:pPr>
        <w:jc w:val="both"/>
        <w:ind w:right="20" w:firstLine="458"/>
        <w:spacing w:after="0" w:line="283"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56" w:lineRule="exact"/>
        <w:rPr>
          <w:sz w:val="20"/>
          <w:szCs w:val="20"/>
          <w:color w:val="auto"/>
        </w:rPr>
      </w:pPr>
    </w:p>
    <w:p>
      <w:pPr>
        <w:ind w:right="160" w:firstLine="458"/>
        <w:spacing w:after="0" w:line="257"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U.S. Food and Drug Administration</w:t>
      </w:r>
    </w:p>
    <w:p>
      <w:pPr>
        <w:spacing w:after="0" w:line="109"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The FDA Approval Process</w:t>
      </w:r>
    </w:p>
    <w:p>
      <w:pPr>
        <w:spacing w:after="0" w:line="109"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7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2" w:lineRule="exact"/>
        <w:rPr>
          <w:sz w:val="20"/>
          <w:szCs w:val="20"/>
          <w:color w:val="auto"/>
        </w:rPr>
      </w:pPr>
    </w:p>
    <w:p>
      <w:pPr>
        <w:jc w:val="both"/>
        <w:ind w:right="160" w:firstLine="458"/>
        <w:spacing w:after="0" w:line="264"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0" w:lineRule="exact"/>
        <w:rPr>
          <w:sz w:val="20"/>
          <w:szCs w:val="20"/>
          <w:color w:val="auto"/>
        </w:rPr>
      </w:pPr>
    </w:p>
    <w:p>
      <w:pPr>
        <w:ind w:right="160" w:firstLine="458"/>
        <w:spacing w:after="0" w:line="250"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late-submitted information is typically requested by the FDA.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7" w:lineRule="exact"/>
        <w:rPr>
          <w:sz w:val="20"/>
          <w:szCs w:val="20"/>
          <w:color w:val="auto"/>
        </w:rPr>
      </w:pPr>
    </w:p>
    <w:p>
      <w:pPr>
        <w:jc w:val="both"/>
        <w:ind w:right="20" w:firstLine="458"/>
        <w:spacing w:after="0" w:line="264"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83"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09" w:lineRule="exact"/>
        <w:rPr>
          <w:sz w:val="20"/>
          <w:szCs w:val="20"/>
          <w:color w:val="auto"/>
        </w:rPr>
      </w:pPr>
    </w:p>
    <w:p>
      <w:pPr>
        <w:jc w:val="both"/>
        <w:ind w:right="120" w:firstLine="458"/>
        <w:spacing w:after="0" w:line="264"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 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6"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56"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70"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09"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09" w:lineRule="exact"/>
        <w:rPr>
          <w:sz w:val="20"/>
          <w:szCs w:val="20"/>
          <w:color w:val="auto"/>
        </w:rPr>
      </w:pPr>
    </w:p>
    <w:p>
      <w:pPr>
        <w:jc w:val="both"/>
        <w:ind w:right="80" w:firstLine="458"/>
        <w:spacing w:after="0" w:line="264"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0"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9" w:lineRule="exact"/>
        <w:rPr>
          <w:sz w:val="20"/>
          <w:szCs w:val="20"/>
          <w:color w:val="auto"/>
        </w:rPr>
      </w:pPr>
    </w:p>
    <w:p>
      <w:pPr>
        <w:ind w:left="900" w:hanging="429"/>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240" w:hanging="429"/>
        <w:spacing w:after="0" w:line="263"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2"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1" w:lineRule="exact"/>
        <w:rPr>
          <w:sz w:val="20"/>
          <w:szCs w:val="20"/>
          <w:color w:val="auto"/>
        </w:rPr>
      </w:pPr>
    </w:p>
    <w:p>
      <w:pPr>
        <w:ind w:right="320" w:firstLine="458"/>
        <w:spacing w:after="0" w:line="254"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09"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0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 the</w:t>
      </w:r>
      <w:r>
        <w:rPr>
          <w:rFonts w:ascii="Arial" w:cs="Arial" w:eastAsia="Arial" w:hAnsi="Arial"/>
          <w:sz w:val="16"/>
          <w:szCs w:val="16"/>
          <w:color w:val="auto"/>
        </w:rPr>
        <w:t xml:space="preserve"> </w:t>
      </w:r>
      <w:r>
        <w:rPr>
          <w:rFonts w:ascii="Arial" w:cs="Arial" w:eastAsia="Arial" w:hAnsi="Arial"/>
          <w:sz w:val="16"/>
          <w:szCs w:val="16"/>
          <w:i w:val="1"/>
          <w:iCs w:val="1"/>
          <w:color w:val="auto"/>
        </w:rPr>
        <w:t>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111" w:lineRule="exact"/>
        <w:rPr>
          <w:sz w:val="20"/>
          <w:szCs w:val="20"/>
          <w:color w:val="auto"/>
        </w:rPr>
      </w:pPr>
    </w:p>
    <w:p>
      <w:pPr>
        <w:ind w:left="900" w:right="600" w:hanging="429"/>
        <w:spacing w:after="0" w:line="282" w:lineRule="auto"/>
        <w:tabs>
          <w:tab w:leader="none" w:pos="90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w:t>
      </w:r>
    </w:p>
    <w:p>
      <w:pPr>
        <w:sectPr>
          <w:pgSz w:w="11900" w:h="16838" w:orient="portrait"/>
          <w:cols w:equalWidth="0" w:num="1">
            <w:col w:w="11240"/>
          </w:cols>
          <w:pgMar w:left="320" w:top="769"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40"/>
        <w:spacing w:after="0" w:line="247" w:lineRule="auto"/>
        <w:rPr>
          <w:sz w:val="20"/>
          <w:szCs w:val="20"/>
          <w:color w:val="auto"/>
        </w:rPr>
      </w:pPr>
      <w:r>
        <w:rPr>
          <w:rFonts w:ascii="Arial" w:cs="Arial" w:eastAsia="Arial" w:hAnsi="Arial"/>
          <w:sz w:val="16"/>
          <w:szCs w:val="16"/>
          <w:color w:val="auto"/>
        </w:rPr>
        <w:t>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80" w:lineRule="exact"/>
        <w:rPr>
          <w:sz w:val="20"/>
          <w:szCs w:val="20"/>
          <w:color w:val="auto"/>
        </w:rPr>
      </w:pPr>
    </w:p>
    <w:p>
      <w:pPr>
        <w:ind w:left="900" w:right="80" w:hanging="429"/>
        <w:spacing w:after="0" w:line="247"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9" w:lineRule="exact"/>
        <w:rPr>
          <w:rFonts w:ascii="Times New Roman" w:cs="Times New Roman" w:eastAsia="Times New Roman" w:hAnsi="Times New Roman"/>
          <w:sz w:val="16"/>
          <w:szCs w:val="16"/>
          <w:color w:val="auto"/>
        </w:rPr>
      </w:pPr>
    </w:p>
    <w:p>
      <w:pPr>
        <w:ind w:left="900" w:right="20" w:hanging="429"/>
        <w:spacing w:after="0" w:line="257"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 or</w:t>
      </w:r>
      <w:r>
        <w:rPr>
          <w:rFonts w:ascii="Arial" w:cs="Arial" w:eastAsia="Arial" w:hAnsi="Arial"/>
          <w:sz w:val="16"/>
          <w:szCs w:val="16"/>
          <w:i w:val="1"/>
          <w:iCs w:val="1"/>
          <w:color w:val="auto"/>
        </w:rPr>
        <w:t xml:space="preserve"> </w:t>
      </w:r>
      <w:r>
        <w:rPr>
          <w:rFonts w:ascii="Arial" w:cs="Arial" w:eastAsia="Arial" w:hAnsi="Arial"/>
          <w:sz w:val="16"/>
          <w:szCs w:val="16"/>
          <w:color w:val="auto"/>
        </w:rPr>
        <w:t>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20" w:hanging="429"/>
        <w:spacing w:after="0" w:line="257"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hanging="429"/>
        <w:spacing w:after="0" w:line="254"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1" w:lineRule="exact"/>
        <w:rPr>
          <w:rFonts w:ascii="Times New Roman" w:cs="Times New Roman" w:eastAsia="Times New Roman" w:hAnsi="Times New Roman"/>
          <w:sz w:val="16"/>
          <w:szCs w:val="16"/>
          <w:color w:val="auto"/>
        </w:rPr>
      </w:pPr>
    </w:p>
    <w:p>
      <w:pPr>
        <w:ind w:left="900" w:hanging="429"/>
        <w:spacing w:after="0" w:line="248"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2" w:lineRule="exact"/>
        <w:rPr>
          <w:rFonts w:ascii="Times New Roman" w:cs="Times New Roman" w:eastAsia="Times New Roman" w:hAnsi="Times New Roman"/>
          <w:sz w:val="16"/>
          <w:szCs w:val="16"/>
          <w:color w:val="auto"/>
        </w:rPr>
      </w:pPr>
    </w:p>
    <w:p>
      <w:pPr>
        <w:ind w:left="900" w:right="420" w:hanging="429"/>
        <w:spacing w:after="0" w:line="263"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220"/>
        <w:spacing w:after="0" w:line="264" w:lineRule="auto"/>
        <w:rPr>
          <w:sz w:val="20"/>
          <w:szCs w:val="20"/>
          <w:color w:val="auto"/>
        </w:rPr>
      </w:pPr>
      <w:r>
        <w:rPr>
          <w:rFonts w:ascii="Arial" w:cs="Arial" w:eastAsia="Arial" w:hAnsi="Arial"/>
          <w:sz w:val="16"/>
          <w:szCs w:val="16"/>
          <w:color w:val="auto"/>
        </w:rPr>
        <w:t>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63" w:lineRule="exact"/>
        <w:rPr>
          <w:sz w:val="20"/>
          <w:szCs w:val="20"/>
          <w:color w:val="auto"/>
        </w:rPr>
      </w:pPr>
    </w:p>
    <w:p>
      <w:pPr>
        <w:ind w:left="900" w:right="20" w:hanging="429"/>
        <w:spacing w:after="0" w:line="263"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64" w:lineRule="exact"/>
        <w:rPr>
          <w:rFonts w:ascii="Times New Roman" w:cs="Times New Roman" w:eastAsia="Times New Roman" w:hAnsi="Times New Roman"/>
          <w:sz w:val="16"/>
          <w:szCs w:val="16"/>
          <w:color w:val="auto"/>
        </w:rPr>
      </w:pPr>
    </w:p>
    <w:p>
      <w:pPr>
        <w:ind w:left="900" w:right="20" w:hanging="429"/>
        <w:spacing w:after="0" w:line="248"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-1098550</wp:posOffset>
            </wp:positionV>
            <wp:extent cx="285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U.S. Healthcare Reform</w:t>
      </w:r>
    </w:p>
    <w:p>
      <w:pPr>
        <w:spacing w:after="0" w:line="109"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4" w:lineRule="exact"/>
        <w:rPr>
          <w:sz w:val="20"/>
          <w:szCs w:val="20"/>
          <w:color w:val="auto"/>
        </w:rPr>
      </w:pPr>
    </w:p>
    <w:p>
      <w:pPr>
        <w:ind w:left="900" w:right="300" w:hanging="429"/>
        <w:spacing w:after="0" w:line="282" w:lineRule="auto"/>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9" w:lineRule="exact"/>
        <w:rPr>
          <w:rFonts w:ascii="Times New Roman" w:cs="Times New Roman" w:eastAsia="Times New Roman" w:hAnsi="Times New Roman"/>
          <w:sz w:val="16"/>
          <w:szCs w:val="16"/>
          <w:color w:val="auto"/>
        </w:rPr>
      </w:pPr>
    </w:p>
    <w:p>
      <w:pPr>
        <w:ind w:left="900" w:right="260" w:hanging="429"/>
        <w:spacing w:after="0" w:line="282" w:lineRule="auto"/>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right="8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9" w:lineRule="exact"/>
        <w:rPr>
          <w:rFonts w:ascii="Times New Roman" w:cs="Times New Roman" w:eastAsia="Times New Roman" w:hAnsi="Times New Roman"/>
          <w:sz w:val="16"/>
          <w:szCs w:val="16"/>
          <w:color w:val="auto"/>
        </w:rPr>
      </w:pPr>
    </w:p>
    <w:p>
      <w:pPr>
        <w:ind w:left="900" w:right="100" w:hanging="429"/>
        <w:spacing w:after="0" w:line="263"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64"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3" w:lineRule="exact"/>
        <w:rPr>
          <w:rFonts w:ascii="Times New Roman" w:cs="Times New Roman" w:eastAsia="Times New Roman" w:hAnsi="Times New Roman"/>
          <w:sz w:val="16"/>
          <w:szCs w:val="16"/>
          <w:color w:val="auto"/>
        </w:rPr>
      </w:pPr>
    </w:p>
    <w:p>
      <w:pPr>
        <w:ind w:left="900" w:right="60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9" w:lineRule="exact"/>
        <w:rPr>
          <w:rFonts w:ascii="Times New Roman" w:cs="Times New Roman" w:eastAsia="Times New Roman" w:hAnsi="Times New Roman"/>
          <w:sz w:val="16"/>
          <w:szCs w:val="16"/>
          <w:color w:val="auto"/>
        </w:rPr>
      </w:pPr>
    </w:p>
    <w:p>
      <w:pPr>
        <w:ind w:left="900" w:right="8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9" w:lineRule="exact"/>
        <w:rPr>
          <w:rFonts w:ascii="Times New Roman" w:cs="Times New Roman" w:eastAsia="Times New Roman" w:hAnsi="Times New Roman"/>
          <w:sz w:val="16"/>
          <w:szCs w:val="16"/>
          <w:color w:val="auto"/>
        </w:rPr>
      </w:pPr>
    </w:p>
    <w:p>
      <w:pPr>
        <w:ind w:left="900" w:right="320" w:hanging="429"/>
        <w:spacing w:after="0" w:line="282"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7"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8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8"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 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81" w:lineRule="exact"/>
        <w:rPr>
          <w:sz w:val="20"/>
          <w:szCs w:val="20"/>
          <w:color w:val="auto"/>
        </w:rPr>
      </w:pPr>
    </w:p>
    <w:p>
      <w:pPr>
        <w:ind w:firstLine="503"/>
        <w:spacing w:after="0" w:line="257"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7"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09" w:lineRule="exact"/>
        <w:rPr>
          <w:sz w:val="20"/>
          <w:szCs w:val="20"/>
          <w:color w:val="auto"/>
        </w:rPr>
      </w:pPr>
    </w:p>
    <w:p>
      <w:pPr>
        <w:ind w:right="120" w:firstLine="458"/>
        <w:spacing w:after="0" w:line="249"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2"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7"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7"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79"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7"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It is important to note, however, that HIPAA and HITECH only apply directly to “covered entities” (healthcare providers, health insurance plans, and healthcare clearinghouses) and “business associates” (third parties providing services to covered entities). Pharvaris, as a private pharmaceutical company sponsoring clinical research, is itself neither a covered entity nor a business associate within the meaning of these laws and their associated regulations. With that in mind, in respect of HIPAA and HITECH, the risk to Pharvaris primarily lies in the potential lack of compliance by investigators and their service providers may result in the regulators invalidating the sharing of</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personal health information between investigators and Pharvaris. In other words, the failure of Pharvaris’s research partners to comply with these laws could lead to the exclusion of important data from Pharvaris studies.</w:t>
      </w:r>
    </w:p>
    <w:p>
      <w:pPr>
        <w:spacing w:after="0" w:line="156"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In addition, state laws in U.S. states, govern the privacy and security of health information in specified circumstances, many of which differ from each other in significant ways and may not have the same effect, thus complicating compliance efforts.</w:t>
      </w:r>
    </w:p>
    <w:p>
      <w:pPr>
        <w:spacing w:after="0" w:line="156" w:lineRule="exact"/>
        <w:rPr>
          <w:sz w:val="20"/>
          <w:szCs w:val="20"/>
          <w:color w:val="auto"/>
        </w:rPr>
      </w:pPr>
    </w:p>
    <w:p>
      <w:pPr>
        <w:ind w:right="20" w:firstLine="458"/>
        <w:spacing w:after="0" w:line="247"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obligations to consider data protection as any new products or services are developed and to limit the amount of personal data processed; (iii) obligations to comply with data protection rights of data subjects; (iv) ensuring that all processors that process personal data on our behalf have adequate protections in place; and (v)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9" w:lineRule="exact"/>
        <w:rPr>
          <w:sz w:val="20"/>
          <w:szCs w:val="20"/>
          <w:color w:val="auto"/>
        </w:rPr>
      </w:pPr>
    </w:p>
    <w:p>
      <w:pPr>
        <w:jc w:val="both"/>
        <w:ind w:right="20" w:firstLine="458"/>
        <w:spacing w:after="0" w:line="257"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7"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09"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0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0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2" w:lineRule="exact"/>
        <w:rPr>
          <w:sz w:val="20"/>
          <w:szCs w:val="20"/>
          <w:color w:val="auto"/>
        </w:rPr>
      </w:pPr>
    </w:p>
    <w:p>
      <w:pPr>
        <w:ind w:right="280" w:firstLine="458"/>
        <w:spacing w:after="0" w:line="264"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Accelerated Assessment Procedures</w:t>
      </w:r>
    </w:p>
    <w:p>
      <w:pPr>
        <w:spacing w:after="0" w:line="109"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09"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9" w:lineRule="exact"/>
        <w:rPr>
          <w:sz w:val="20"/>
          <w:szCs w:val="20"/>
          <w:color w:val="auto"/>
        </w:rPr>
      </w:pPr>
    </w:p>
    <w:p>
      <w:pPr>
        <w:ind w:left="900" w:hanging="429"/>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3" w:lineRule="exact"/>
        <w:rPr>
          <w:rFonts w:ascii="Times New Roman" w:cs="Times New Roman" w:eastAsia="Times New Roman" w:hAnsi="Times New Roman"/>
          <w:sz w:val="16"/>
          <w:szCs w:val="16"/>
          <w:color w:val="auto"/>
        </w:rPr>
      </w:pPr>
    </w:p>
    <w:p>
      <w:pPr>
        <w:ind w:left="900" w:right="20" w:hanging="429"/>
        <w:spacing w:after="0" w:line="282" w:lineRule="auto"/>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1" w:lineRule="exact"/>
        <w:rPr>
          <w:sz w:val="20"/>
          <w:szCs w:val="20"/>
          <w:color w:val="auto"/>
        </w:rPr>
      </w:pPr>
    </w:p>
    <w:p>
      <w:pPr>
        <w:ind w:right="680" w:firstLine="458"/>
        <w:spacing w:after="0" w:line="283"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9" w:lineRule="exact"/>
        <w:rPr>
          <w:sz w:val="20"/>
          <w:szCs w:val="20"/>
          <w:color w:val="auto"/>
        </w:rPr>
      </w:pPr>
    </w:p>
    <w:p>
      <w:pPr>
        <w:ind w:left="900" w:hanging="429"/>
        <w:spacing w:after="0"/>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3" w:lineRule="exact"/>
        <w:rPr>
          <w:rFonts w:ascii="Times New Roman" w:cs="Times New Roman" w:eastAsia="Times New Roman" w:hAnsi="Times New Roman"/>
          <w:sz w:val="16"/>
          <w:szCs w:val="16"/>
          <w:color w:val="auto"/>
        </w:rPr>
      </w:pPr>
    </w:p>
    <w:p>
      <w:pPr>
        <w:ind w:left="900" w:right="140" w:hanging="429"/>
        <w:spacing w:after="0" w:line="282" w:lineRule="auto"/>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7" w:lineRule="exact"/>
        <w:rPr>
          <w:sz w:val="20"/>
          <w:szCs w:val="20"/>
          <w:color w:val="auto"/>
        </w:rPr>
      </w:pPr>
    </w:p>
    <w:p>
      <w:pPr>
        <w:jc w:val="both"/>
        <w:ind w:right="140" w:firstLine="458"/>
        <w:spacing w:after="0" w:line="257"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9" w:lineRule="exact"/>
        <w:rPr>
          <w:sz w:val="20"/>
          <w:szCs w:val="20"/>
          <w:color w:val="auto"/>
        </w:rPr>
      </w:pPr>
    </w:p>
    <w:p>
      <w:pPr>
        <w:ind w:left="900" w:right="520" w:hanging="429"/>
        <w:spacing w:after="0" w:line="282"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09"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09"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0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09"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1" w:lineRule="exact"/>
        <w:rPr>
          <w:sz w:val="20"/>
          <w:szCs w:val="20"/>
          <w:color w:val="auto"/>
        </w:rPr>
      </w:pPr>
    </w:p>
    <w:p>
      <w:pPr>
        <w:ind w:left="900" w:hanging="429"/>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3" w:lineRule="exact"/>
        <w:rPr>
          <w:rFonts w:ascii="Times New Roman" w:cs="Times New Roman" w:eastAsia="Times New Roman" w:hAnsi="Times New Roman"/>
          <w:sz w:val="16"/>
          <w:szCs w:val="16"/>
          <w:color w:val="auto"/>
        </w:rPr>
      </w:pPr>
    </w:p>
    <w:p>
      <w:pPr>
        <w:ind w:left="900" w:right="120" w:hanging="429"/>
        <w:spacing w:after="0" w:line="282"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18"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ind w:left="900" w:right="80" w:hanging="429"/>
        <w:spacing w:after="0" w:line="257"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Times New Roman" w:cs="Times New Roman" w:eastAsia="Times New Roman" w:hAnsi="Times New Roman"/>
          <w:sz w:val="16"/>
          <w:szCs w:val="16"/>
          <w:color w:val="auto"/>
        </w:rPr>
      </w:pPr>
    </w:p>
    <w:p>
      <w:pPr>
        <w:ind w:left="900" w:right="660" w:hanging="429"/>
        <w:spacing w:after="0" w:line="282" w:lineRule="auto"/>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Small-or Medium-Sized Enterprise Status</w:t>
      </w:r>
    </w:p>
    <w:p>
      <w:pPr>
        <w:spacing w:after="0" w:line="109"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1" w:lineRule="exact"/>
        <w:rPr>
          <w:sz w:val="20"/>
          <w:szCs w:val="20"/>
          <w:color w:val="auto"/>
        </w:rPr>
      </w:pPr>
    </w:p>
    <w:p>
      <w:pPr>
        <w:ind w:left="900" w:hanging="429"/>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3" w:lineRule="exact"/>
        <w:rPr>
          <w:rFonts w:ascii="Times New Roman" w:cs="Times New Roman" w:eastAsia="Times New Roman" w:hAnsi="Times New Roman"/>
          <w:sz w:val="16"/>
          <w:szCs w:val="16"/>
          <w:color w:val="auto"/>
        </w:rPr>
      </w:pPr>
    </w:p>
    <w:p>
      <w:pPr>
        <w:ind w:left="900" w:right="460" w:hanging="429"/>
        <w:spacing w:after="0" w:line="282"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pre-and post-authorization regulatory procedures, including scientific advice, inspections and pharmaco-vigilance;</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3" w:lineRule="exact"/>
        <w:rPr>
          <w:rFonts w:ascii="Times New Roman" w:cs="Times New Roman" w:eastAsia="Times New Roman" w:hAnsi="Times New Roman"/>
          <w:sz w:val="16"/>
          <w:szCs w:val="16"/>
          <w:color w:val="auto"/>
        </w:rPr>
      </w:pPr>
    </w:p>
    <w:p>
      <w:pPr>
        <w:ind w:left="900" w:right="820" w:hanging="429"/>
        <w:spacing w:after="0" w:line="282" w:lineRule="auto"/>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1" w:lineRule="exact"/>
        <w:rPr>
          <w:sz w:val="20"/>
          <w:szCs w:val="20"/>
          <w:color w:val="auto"/>
        </w:rPr>
      </w:pPr>
    </w:p>
    <w:p>
      <w:pPr>
        <w:ind w:left="900" w:right="240" w:hanging="429"/>
        <w:spacing w:after="0" w:line="282"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line="282"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0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09"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7"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6"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5"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0"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6" w:lineRule="exact"/>
        <w:rPr>
          <w:sz w:val="20"/>
          <w:szCs w:val="20"/>
          <w:color w:val="auto"/>
        </w:rPr>
      </w:pPr>
    </w:p>
    <w:p>
      <w:pPr>
        <w:ind w:left="900" w:hanging="429"/>
        <w:spacing w:after="0"/>
        <w:tabs>
          <w:tab w:leader="none" w:pos="90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11" w:lineRule="exact"/>
        <w:rPr>
          <w:sz w:val="20"/>
          <w:szCs w:val="20"/>
          <w:color w:val="auto"/>
        </w:rPr>
      </w:pPr>
    </w:p>
    <w:p>
      <w:pPr>
        <w:jc w:val="both"/>
        <w:ind w:right="320" w:firstLine="458"/>
        <w:spacing w:after="0" w:line="264"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147320</wp:posOffset>
            </wp:positionV>
            <wp:extent cx="4766945" cy="18815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694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hanging="429"/>
        <w:spacing w:after="0"/>
        <w:tabs>
          <w:tab w:leader="none" w:pos="90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plants and equipment</w:t>
      </w:r>
    </w:p>
    <w:p>
      <w:pPr>
        <w:spacing w:after="0" w:line="111"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475 square meters is rented through May 31, 2024 and our office space in Zug measuring approximately 58 square meters is rented on a monthly basis.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4A. UNRESOLVED STAFF COMMENTS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18" w:lineRule="exact"/>
        <w:rPr>
          <w:sz w:val="20"/>
          <w:szCs w:val="20"/>
          <w:color w:val="auto"/>
        </w:rPr>
      </w:pPr>
    </w:p>
    <w:p>
      <w:pPr>
        <w:ind w:left="900" w:hanging="429"/>
        <w:spacing w:after="0"/>
        <w:tabs>
          <w:tab w:leader="none" w:pos="90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11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74" w:lineRule="exact"/>
        <w:rPr>
          <w:sz w:val="20"/>
          <w:szCs w:val="20"/>
          <w:color w:val="auto"/>
        </w:rPr>
      </w:pPr>
    </w:p>
    <w:p>
      <w:pPr>
        <w:ind w:right="260" w:firstLine="458"/>
        <w:spacing w:after="0" w:line="264" w:lineRule="auto"/>
        <w:rPr>
          <w:sz w:val="20"/>
          <w:szCs w:val="20"/>
          <w:color w:val="auto"/>
        </w:rPr>
      </w:pPr>
      <w:r>
        <w:rPr>
          <w:rFonts w:ascii="Arial" w:cs="Arial" w:eastAsia="Arial" w:hAnsi="Arial"/>
          <w:sz w:val="16"/>
          <w:szCs w:val="16"/>
          <w:i w:val="1"/>
          <w:iCs w:val="1"/>
          <w:color w:val="auto"/>
        </w:rPr>
        <w:t xml:space="preserve">Our audited consolidated financial statements are included elsewhere in this Annual Report. These financial statements are prepared </w:t>
      </w:r>
      <w:r>
        <w:rPr>
          <w:rFonts w:ascii="Arial" w:cs="Arial" w:eastAsia="Arial" w:hAnsi="Arial"/>
          <w:sz w:val="16"/>
          <w:szCs w:val="16"/>
          <w:color w:val="auto"/>
        </w:rPr>
        <w:t>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IFRS Accounting Standards (IFRS) as issued by the International Accounting Standards Board (IASB). </w:t>
      </w:r>
      <w:r>
        <w:rPr>
          <w:rFonts w:ascii="Arial" w:cs="Arial" w:eastAsia="Arial" w:hAnsi="Arial"/>
          <w:sz w:val="16"/>
          <w:szCs w:val="16"/>
          <w:i w:val="1"/>
          <w:iCs w:val="1"/>
          <w:color w:val="auto"/>
        </w:rPr>
        <w:t>As permitted by the rules of the SEC for</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private issuers, we do not reconcile our financial statements to U.S. GAAP.</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PHA121 demonstrated over 4000-fold selectivity for the bradykinin-B2-receptor when compared to approximately 170 other molecular targets,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including the bradykinin-B1-receptor.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75" w:lineRule="exact"/>
        <w:rPr>
          <w:sz w:val="20"/>
          <w:szCs w:val="20"/>
          <w:color w:val="auto"/>
        </w:rPr>
      </w:pPr>
    </w:p>
    <w:p>
      <w:pPr>
        <w:ind w:right="480" w:firstLine="458"/>
        <w:spacing w:after="0" w:line="257"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70"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80"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w:t>
      </w:r>
    </w:p>
    <w:p>
      <w:pPr>
        <w:spacing w:after="0" w:line="75" w:lineRule="exact"/>
        <w:rPr>
          <w:sz w:val="20"/>
          <w:szCs w:val="20"/>
          <w:color w:val="auto"/>
        </w:rPr>
      </w:pPr>
    </w:p>
    <w:p>
      <w:pPr>
        <w:ind w:right="160" w:firstLine="458"/>
        <w:spacing w:after="0" w:line="264"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63"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and the Hamas attack against Israel and the ensuing war have created global security concerns that could result in a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74" w:lineRule="exact"/>
        <w:rPr>
          <w:sz w:val="20"/>
          <w:szCs w:val="20"/>
          <w:color w:val="auto"/>
        </w:rPr>
      </w:pPr>
    </w:p>
    <w:p>
      <w:pPr>
        <w:jc w:val="both"/>
        <w:ind w:right="200" w:firstLine="458"/>
        <w:spacing w:after="0" w:line="251" w:lineRule="auto"/>
        <w:rPr>
          <w:sz w:val="20"/>
          <w:szCs w:val="20"/>
          <w:color w:val="auto"/>
        </w:rPr>
      </w:pPr>
      <w:r>
        <w:rPr>
          <w:rFonts w:ascii="Arial" w:cs="Arial" w:eastAsia="Arial" w:hAnsi="Arial"/>
          <w:sz w:val="16"/>
          <w:szCs w:val="16"/>
          <w:color w:val="auto"/>
        </w:rPr>
        <w:t>Furthermore, 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w:t>
      </w:r>
    </w:p>
    <w:p>
      <w:pPr>
        <w:spacing w:after="0" w:line="2"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72"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2022 can be found in our annual report on form 20-F, filed with the SEC on April 5,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09"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09" w:lineRule="exact"/>
        <w:rPr>
          <w:sz w:val="20"/>
          <w:szCs w:val="20"/>
          <w:color w:val="auto"/>
        </w:rPr>
      </w:pPr>
    </w:p>
    <w:p>
      <w:pPr>
        <w:ind w:right="120" w:firstLine="458"/>
        <w:spacing w:after="0" w:line="257"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1" w:lineRule="exact"/>
        <w:rPr>
          <w:sz w:val="20"/>
          <w:szCs w:val="20"/>
          <w:color w:val="auto"/>
        </w:rPr>
      </w:pPr>
    </w:p>
    <w:p>
      <w:pPr>
        <w:ind w:left="900" w:right="6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3" w:lineRule="exact"/>
        <w:rPr>
          <w:rFonts w:ascii="Times New Roman" w:cs="Times New Roman" w:eastAsia="Times New Roman" w:hAnsi="Times New Roman"/>
          <w:sz w:val="16"/>
          <w:szCs w:val="16"/>
          <w:color w:val="auto"/>
        </w:rPr>
      </w:pPr>
    </w:p>
    <w:p>
      <w:pPr>
        <w:ind w:left="900" w:right="28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9" w:lineRule="exact"/>
        <w:rPr>
          <w:rFonts w:ascii="Times New Roman" w:cs="Times New Roman" w:eastAsia="Times New Roman" w:hAnsi="Times New Roman"/>
          <w:sz w:val="16"/>
          <w:szCs w:val="16"/>
          <w:color w:val="auto"/>
        </w:rPr>
      </w:pPr>
    </w:p>
    <w:p>
      <w:pPr>
        <w:ind w:left="900" w:right="10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9" w:lineRule="exact"/>
        <w:rPr>
          <w:rFonts w:ascii="Times New Roman" w:cs="Times New Roman" w:eastAsia="Times New Roman" w:hAnsi="Times New Roman"/>
          <w:sz w:val="16"/>
          <w:szCs w:val="16"/>
          <w:color w:val="auto"/>
        </w:rPr>
      </w:pPr>
    </w:p>
    <w:p>
      <w:pPr>
        <w:ind w:left="900" w:right="200" w:hanging="429"/>
        <w:spacing w:after="0" w:line="282"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1"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We expect that our total research and development expenses will increase in 2024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70"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0"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09"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5" w:lineRule="exact"/>
        <w:rPr>
          <w:sz w:val="20"/>
          <w:szCs w:val="20"/>
          <w:color w:val="auto"/>
        </w:rPr>
      </w:pPr>
    </w:p>
    <w:p>
      <w:pPr>
        <w:ind w:left="900" w:right="540" w:hanging="429"/>
        <w:spacing w:after="0" w:line="282" w:lineRule="auto"/>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3" w:lineRule="exact"/>
        <w:rPr>
          <w:rFonts w:ascii="Times New Roman" w:cs="Times New Roman" w:eastAsia="Times New Roman" w:hAnsi="Times New Roman"/>
          <w:sz w:val="16"/>
          <w:szCs w:val="16"/>
          <w:color w:val="auto"/>
        </w:rPr>
      </w:pPr>
    </w:p>
    <w:p>
      <w:pPr>
        <w:ind w:left="900" w:right="220" w:hanging="429"/>
        <w:spacing w:after="0" w:line="282" w:lineRule="auto"/>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4" w:lineRule="exact"/>
        <w:rPr>
          <w:sz w:val="20"/>
          <w:szCs w:val="20"/>
          <w:color w:val="auto"/>
        </w:rPr>
      </w:pPr>
    </w:p>
    <w:p>
      <w:pPr>
        <w:ind w:right="900" w:firstLine="229"/>
        <w:spacing w:after="0" w:line="283"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and expenses or general and administrative expenses.</w:t>
      </w:r>
    </w:p>
    <w:p>
      <w:pPr>
        <w:spacing w:after="0" w:line="156" w:lineRule="exact"/>
        <w:rPr>
          <w:sz w:val="20"/>
          <w:szCs w:val="20"/>
          <w:color w:val="auto"/>
        </w:rPr>
      </w:pPr>
    </w:p>
    <w:p>
      <w:pPr>
        <w:ind w:right="180" w:firstLine="229"/>
        <w:spacing w:after="0" w:line="283" w:lineRule="auto"/>
        <w:rPr>
          <w:sz w:val="20"/>
          <w:szCs w:val="20"/>
          <w:color w:val="auto"/>
        </w:rPr>
      </w:pPr>
      <w:r>
        <w:rPr>
          <w:rFonts w:ascii="Arial" w:cs="Arial" w:eastAsia="Arial" w:hAnsi="Arial"/>
          <w:sz w:val="16"/>
          <w:szCs w:val="16"/>
          <w:color w:val="auto"/>
        </w:rPr>
        <w:t>The share-based payment expense recorded for the years ended December 31, 2023, 2022 and 2021 were €10.7 million, €11.3 million and €8.2 million respectively.</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2023 and 2022</w:t>
      </w:r>
    </w:p>
    <w:p>
      <w:pPr>
        <w:spacing w:after="0" w:line="109" w:lineRule="exact"/>
        <w:rPr>
          <w:sz w:val="20"/>
          <w:szCs w:val="20"/>
          <w:color w:val="auto"/>
        </w:rPr>
      </w:pPr>
    </w:p>
    <w:p>
      <w:pPr>
        <w:ind w:right="220" w:firstLine="229"/>
        <w:spacing w:after="0" w:line="264" w:lineRule="auto"/>
        <w:rPr>
          <w:sz w:val="20"/>
          <w:szCs w:val="20"/>
          <w:color w:val="auto"/>
        </w:rPr>
      </w:pPr>
      <w:r>
        <w:rPr>
          <w:rFonts w:ascii="Arial" w:cs="Arial" w:eastAsia="Arial" w:hAnsi="Arial"/>
          <w:sz w:val="16"/>
          <w:szCs w:val="16"/>
          <w:color w:val="auto"/>
        </w:rPr>
        <w:t>A discussion of the financial results for the year ended December 31, 2022 as compared to the year ended December 31, 2021 can be found in the section entitled “Item 5. Operating and Financial Review and Prospects—A. Operating Results— Financial operations overview—Comparison of the years ended December 31, 2022 and 2021” in our annual report on form 20-F, filed with the SEC on April 5, 2023.</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2023 and 2022</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For the year ended</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4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500" w:type="dxa"/>
            <w:vAlign w:val="bottom"/>
          </w:tcPr>
          <w:p>
            <w:pPr>
              <w:spacing w:after="0"/>
              <w:rPr>
                <w:sz w:val="13"/>
                <w:szCs w:val="13"/>
                <w:color w:val="auto"/>
              </w:rPr>
            </w:pPr>
          </w:p>
        </w:tc>
        <w:tc>
          <w:tcPr>
            <w:tcW w:w="1560" w:type="dxa"/>
            <w:vAlign w:val="bottom"/>
            <w:gridSpan w:val="2"/>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108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5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 €</w:t>
            </w:r>
          </w:p>
        </w:tc>
        <w:tc>
          <w:tcPr>
            <w:tcW w:w="240" w:type="dxa"/>
            <w:vAlign w:val="bottom"/>
          </w:tcPr>
          <w:p>
            <w:pPr>
              <w:jc w:val="right"/>
              <w:ind w:right="148"/>
              <w:spacing w:after="0"/>
              <w:rPr>
                <w:sz w:val="20"/>
                <w:szCs w:val="20"/>
                <w:color w:val="auto"/>
              </w:rPr>
            </w:pPr>
            <w:r>
              <w:rPr>
                <w:rFonts w:ascii="Arial" w:cs="Arial" w:eastAsia="Arial" w:hAnsi="Arial"/>
                <w:sz w:val="8"/>
                <w:szCs w:val="8"/>
                <w:b w:val="1"/>
                <w:bCs w:val="1"/>
                <w:color w:val="auto"/>
                <w:w w:val="73"/>
              </w:rPr>
              <w:t>)</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Research and development expenses</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color w:val="auto"/>
              </w:rPr>
              <w:t>(65,575,030 )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6"/>
                <w:szCs w:val="16"/>
                <w:color w:val="auto"/>
                <w:w w:val="98"/>
              </w:rPr>
              <w:t>(57,375,574 )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(8,199,456 )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14 %</w:t>
            </w: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General and administrative expenses</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color w:val="auto"/>
              </w:rPr>
              <w:t>(31,338,590 )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6"/>
                <w:szCs w:val="16"/>
                <w:color w:val="auto"/>
                <w:w w:val="98"/>
              </w:rPr>
              <w:t>(29,339,034 )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(1,999,556 )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7 %</w:t>
            </w: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b w:val="1"/>
                <w:bCs w:val="1"/>
                <w:color w:val="auto"/>
              </w:rPr>
              <w:t>Total operating expenses</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b w:val="1"/>
                <w:bCs w:val="1"/>
                <w:color w:val="auto"/>
              </w:rPr>
              <w:t>(96,913,620 )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6"/>
                <w:szCs w:val="16"/>
                <w:b w:val="1"/>
                <w:bCs w:val="1"/>
                <w:color w:val="auto"/>
                <w:w w:val="98"/>
              </w:rPr>
              <w:t>(86,714,608 )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(10,199,012 )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12 %</w:t>
            </w: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Finance (expense) income</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color w:val="auto"/>
              </w:rPr>
              <w:t>(2,912,643 )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11,061,138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(13,973,781 )</w:t>
            </w:r>
          </w:p>
        </w:tc>
        <w:tc>
          <w:tcPr>
            <w:tcW w:w="1300" w:type="dxa"/>
            <w:vAlign w:val="bottom"/>
            <w:gridSpan w:val="4"/>
          </w:tcPr>
          <w:p>
            <w:pPr>
              <w:jc w:val="right"/>
              <w:spacing w:after="0"/>
              <w:rPr>
                <w:sz w:val="20"/>
                <w:szCs w:val="20"/>
                <w:color w:val="auto"/>
              </w:rPr>
            </w:pPr>
            <w:r>
              <w:rPr>
                <w:rFonts w:ascii="Arial" w:cs="Arial" w:eastAsia="Arial" w:hAnsi="Arial"/>
                <w:sz w:val="16"/>
                <w:szCs w:val="16"/>
                <w:color w:val="auto"/>
              </w:rPr>
              <w:t>(126 )%</w:t>
            </w:r>
          </w:p>
        </w:tc>
      </w:tr>
      <w:tr>
        <w:trPr>
          <w:trHeight w:val="215"/>
        </w:trPr>
        <w:tc>
          <w:tcPr>
            <w:tcW w:w="4500" w:type="dxa"/>
            <w:vAlign w:val="bottom"/>
          </w:tcPr>
          <w:p>
            <w:pPr>
              <w:ind w:left="120"/>
              <w:spacing w:after="0"/>
              <w:rPr>
                <w:sz w:val="20"/>
                <w:szCs w:val="20"/>
                <w:color w:val="auto"/>
              </w:rPr>
            </w:pPr>
            <w:r>
              <w:rPr>
                <w:rFonts w:ascii="Arial" w:cs="Arial" w:eastAsia="Arial" w:hAnsi="Arial"/>
                <w:sz w:val="16"/>
                <w:szCs w:val="16"/>
                <w:b w:val="1"/>
                <w:bCs w:val="1"/>
                <w:color w:val="auto"/>
              </w:rPr>
              <w:t>Loss before income tax</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b w:val="1"/>
                <w:bCs w:val="1"/>
                <w:color w:val="auto"/>
              </w:rPr>
              <w:t>(99,826,263 )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6"/>
                <w:szCs w:val="16"/>
                <w:b w:val="1"/>
                <w:bCs w:val="1"/>
                <w:color w:val="auto"/>
                <w:w w:val="98"/>
              </w:rPr>
              <w:t>(75,653,470 )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(24,172,793 )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32 %</w:t>
            </w: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color w:val="auto"/>
              </w:rPr>
              <w:t>(1,048,805 )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6"/>
                <w:szCs w:val="16"/>
                <w:color w:val="auto"/>
              </w:rPr>
              <w:t>(679,087 )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(369,718 )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54 %</w:t>
            </w:r>
          </w:p>
        </w:tc>
      </w:tr>
      <w:tr>
        <w:trPr>
          <w:trHeight w:val="215"/>
        </w:trPr>
        <w:tc>
          <w:tcPr>
            <w:tcW w:w="4500" w:type="dxa"/>
            <w:vAlign w:val="bottom"/>
          </w:tcPr>
          <w:p>
            <w:pPr>
              <w:ind w:left="120"/>
              <w:spacing w:after="0"/>
              <w:rPr>
                <w:sz w:val="20"/>
                <w:szCs w:val="20"/>
                <w:color w:val="auto"/>
              </w:rPr>
            </w:pPr>
            <w:r>
              <w:rPr>
                <w:rFonts w:ascii="Arial" w:cs="Arial" w:eastAsia="Arial" w:hAnsi="Arial"/>
                <w:sz w:val="16"/>
                <w:szCs w:val="16"/>
                <w:b w:val="1"/>
                <w:bCs w:val="1"/>
                <w:color w:val="auto"/>
              </w:rPr>
              <w:t>Loss for the period</w:t>
            </w:r>
          </w:p>
        </w:tc>
        <w:tc>
          <w:tcPr>
            <w:tcW w:w="1800" w:type="dxa"/>
            <w:vAlign w:val="bottom"/>
            <w:gridSpan w:val="3"/>
          </w:tcPr>
          <w:p>
            <w:pPr>
              <w:jc w:val="right"/>
              <w:ind w:right="117"/>
              <w:spacing w:after="0"/>
              <w:rPr>
                <w:sz w:val="20"/>
                <w:szCs w:val="20"/>
                <w:color w:val="auto"/>
              </w:rPr>
            </w:pPr>
            <w:r>
              <w:rPr>
                <w:rFonts w:ascii="Arial" w:cs="Arial" w:eastAsia="Arial" w:hAnsi="Arial"/>
                <w:sz w:val="16"/>
                <w:szCs w:val="16"/>
                <w:b w:val="1"/>
                <w:bCs w:val="1"/>
                <w:color w:val="auto"/>
              </w:rPr>
              <w:t>(100,875,068 )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6"/>
                <w:szCs w:val="16"/>
                <w:b w:val="1"/>
                <w:bCs w:val="1"/>
                <w:color w:val="auto"/>
                <w:w w:val="98"/>
              </w:rPr>
              <w:t>(76,332,557 )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(24,542,511 )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32 %</w:t>
            </w:r>
          </w:p>
        </w:tc>
      </w:tr>
      <w:tr>
        <w:trPr>
          <w:trHeight w:val="454"/>
        </w:trPr>
        <w:tc>
          <w:tcPr>
            <w:tcW w:w="4500" w:type="dxa"/>
            <w:vAlign w:val="bottom"/>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4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gridSpan w:val="9"/>
          </w:tcPr>
          <w:p>
            <w:pPr>
              <w:jc w:val="center"/>
              <w:ind w:right="280"/>
              <w:spacing w:after="0"/>
              <w:rPr>
                <w:sz w:val="20"/>
                <w:szCs w:val="20"/>
                <w:color w:val="auto"/>
              </w:rPr>
            </w:pPr>
            <w:r>
              <w:rPr>
                <w:rFonts w:ascii="Arial" w:cs="Arial" w:eastAsia="Arial" w:hAnsi="Arial"/>
                <w:sz w:val="13"/>
                <w:szCs w:val="13"/>
                <w:b w:val="1"/>
                <w:bCs w:val="1"/>
                <w:color w:val="auto"/>
                <w:w w:val="96"/>
              </w:rPr>
              <w:t>For the year ended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5"/>
        </w:trPr>
        <w:tc>
          <w:tcPr>
            <w:tcW w:w="4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gridSpan w:val="8"/>
          </w:tcPr>
          <w:p>
            <w:pPr>
              <w:jc w:val="center"/>
              <w:ind w:right="1020"/>
              <w:spacing w:after="0"/>
              <w:rPr>
                <w:sz w:val="20"/>
                <w:szCs w:val="20"/>
                <w:color w:val="auto"/>
              </w:rPr>
            </w:pPr>
            <w:r>
              <w:rPr>
                <w:rFonts w:ascii="Arial" w:cs="Arial" w:eastAsia="Arial" w:hAnsi="Arial"/>
                <w:sz w:val="13"/>
                <w:szCs w:val="13"/>
                <w:b w:val="1"/>
                <w:bCs w:val="1"/>
                <w:color w:val="auto"/>
                <w:w w:val="94"/>
              </w:rPr>
              <w:t>December 31,</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gridSpan w:val="3"/>
          </w:tcPr>
          <w:p>
            <w:pPr>
              <w:ind w:left="140"/>
              <w:spacing w:after="0"/>
              <w:rPr>
                <w:sz w:val="20"/>
                <w:szCs w:val="20"/>
                <w:color w:val="auto"/>
              </w:rPr>
            </w:pPr>
            <w:r>
              <w:rPr>
                <w:rFonts w:ascii="Arial" w:cs="Arial" w:eastAsia="Arial" w:hAnsi="Arial"/>
                <w:sz w:val="13"/>
                <w:szCs w:val="13"/>
                <w:b w:val="1"/>
                <w:bCs w:val="1"/>
                <w:color w:val="auto"/>
              </w:rPr>
              <w:t>(in €)</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Personnel expenses</w:t>
            </w:r>
          </w:p>
        </w:tc>
        <w:tc>
          <w:tcPr>
            <w:tcW w:w="2040" w:type="dxa"/>
            <w:vAlign w:val="bottom"/>
            <w:gridSpan w:val="5"/>
          </w:tcPr>
          <w:p>
            <w:pPr>
              <w:jc w:val="right"/>
              <w:ind w:right="100"/>
              <w:spacing w:after="0"/>
              <w:rPr>
                <w:sz w:val="20"/>
                <w:szCs w:val="20"/>
                <w:color w:val="auto"/>
              </w:rPr>
            </w:pPr>
            <w:r>
              <w:rPr>
                <w:rFonts w:ascii="Arial" w:cs="Arial" w:eastAsia="Arial" w:hAnsi="Arial"/>
                <w:sz w:val="16"/>
                <w:szCs w:val="16"/>
                <w:color w:val="auto"/>
              </w:rPr>
              <w:t>(19,132,307 )</w:t>
            </w: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rPr>
              <w:t>(13,334,350 )</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(5,797,957 )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43 %</w:t>
            </w: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Clinical expenses</w:t>
            </w:r>
          </w:p>
        </w:tc>
        <w:tc>
          <w:tcPr>
            <w:tcW w:w="2040" w:type="dxa"/>
            <w:vAlign w:val="bottom"/>
            <w:gridSpan w:val="5"/>
          </w:tcPr>
          <w:p>
            <w:pPr>
              <w:jc w:val="right"/>
              <w:ind w:right="100"/>
              <w:spacing w:after="0"/>
              <w:rPr>
                <w:sz w:val="20"/>
                <w:szCs w:val="20"/>
                <w:color w:val="auto"/>
              </w:rPr>
            </w:pPr>
            <w:r>
              <w:rPr>
                <w:rFonts w:ascii="Arial" w:cs="Arial" w:eastAsia="Arial" w:hAnsi="Arial"/>
                <w:sz w:val="16"/>
                <w:szCs w:val="16"/>
                <w:color w:val="auto"/>
              </w:rPr>
              <w:t>(30,690,293 )</w:t>
            </w: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rPr>
              <w:t>(27,653,658 )</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(3,036,635 )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11 %</w:t>
            </w: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Nonclinical expenses</w:t>
            </w:r>
          </w:p>
        </w:tc>
        <w:tc>
          <w:tcPr>
            <w:tcW w:w="2040" w:type="dxa"/>
            <w:vAlign w:val="bottom"/>
            <w:gridSpan w:val="5"/>
          </w:tcPr>
          <w:p>
            <w:pPr>
              <w:jc w:val="right"/>
              <w:ind w:right="100"/>
              <w:spacing w:after="0"/>
              <w:rPr>
                <w:sz w:val="20"/>
                <w:szCs w:val="20"/>
                <w:color w:val="auto"/>
              </w:rPr>
            </w:pPr>
            <w:r>
              <w:rPr>
                <w:rFonts w:ascii="Arial" w:cs="Arial" w:eastAsia="Arial" w:hAnsi="Arial"/>
                <w:sz w:val="16"/>
                <w:szCs w:val="16"/>
                <w:color w:val="auto"/>
              </w:rPr>
              <w:t>(8,977,187 )</w:t>
            </w: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rPr>
              <w:t>(4,853,822 )</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(4,123,365 )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color w:val="auto"/>
              </w:rPr>
              <w:t>85 %</w:t>
            </w:r>
          </w:p>
        </w:tc>
      </w:tr>
      <w:tr>
        <w:trPr>
          <w:trHeight w:val="214"/>
        </w:trPr>
        <w:tc>
          <w:tcPr>
            <w:tcW w:w="4500" w:type="dxa"/>
            <w:vAlign w:val="bottom"/>
          </w:tcPr>
          <w:p>
            <w:pPr>
              <w:ind w:left="120"/>
              <w:spacing w:after="0"/>
              <w:rPr>
                <w:sz w:val="20"/>
                <w:szCs w:val="20"/>
                <w:color w:val="auto"/>
              </w:rPr>
            </w:pPr>
            <w:r>
              <w:rPr>
                <w:rFonts w:ascii="Arial" w:cs="Arial" w:eastAsia="Arial" w:hAnsi="Arial"/>
                <w:sz w:val="16"/>
                <w:szCs w:val="16"/>
                <w:color w:val="auto"/>
              </w:rPr>
              <w:t>Manufacturing costs</w:t>
            </w:r>
          </w:p>
        </w:tc>
        <w:tc>
          <w:tcPr>
            <w:tcW w:w="2040" w:type="dxa"/>
            <w:vAlign w:val="bottom"/>
            <w:gridSpan w:val="5"/>
          </w:tcPr>
          <w:p>
            <w:pPr>
              <w:jc w:val="right"/>
              <w:ind w:right="100"/>
              <w:spacing w:after="0"/>
              <w:rPr>
                <w:sz w:val="20"/>
                <w:szCs w:val="20"/>
                <w:color w:val="auto"/>
              </w:rPr>
            </w:pPr>
            <w:r>
              <w:rPr>
                <w:rFonts w:ascii="Arial" w:cs="Arial" w:eastAsia="Arial" w:hAnsi="Arial"/>
                <w:sz w:val="16"/>
                <w:szCs w:val="16"/>
                <w:color w:val="auto"/>
              </w:rPr>
              <w:t>(6,500,986 )</w:t>
            </w: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rPr>
              <w:t>(11,181,355 )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4,680,369</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color w:val="auto"/>
              </w:rPr>
              <w:t>(42 )%</w:t>
            </w: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Intellectual property costs</w:t>
            </w:r>
          </w:p>
        </w:tc>
        <w:tc>
          <w:tcPr>
            <w:tcW w:w="8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6"/>
                <w:szCs w:val="16"/>
                <w:color w:val="auto"/>
              </w:rPr>
              <w:t>(274,257 )</w:t>
            </w: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rPr>
              <w:t>(352,389 )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78,132</w:t>
            </w:r>
          </w:p>
        </w:tc>
        <w:tc>
          <w:tcPr>
            <w:tcW w:w="16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4500" w:type="dxa"/>
            <w:vAlign w:val="bottom"/>
          </w:tcPr>
          <w:p>
            <w:pPr>
              <w:ind w:left="120"/>
              <w:spacing w:after="0"/>
              <w:rPr>
                <w:sz w:val="20"/>
                <w:szCs w:val="20"/>
                <w:color w:val="auto"/>
              </w:rPr>
            </w:pPr>
            <w:r>
              <w:rPr>
                <w:rFonts w:ascii="Arial" w:cs="Arial" w:eastAsia="Arial" w:hAnsi="Arial"/>
                <w:sz w:val="16"/>
                <w:szCs w:val="16"/>
                <w:b w:val="1"/>
                <w:bCs w:val="1"/>
                <w:color w:val="auto"/>
              </w:rPr>
              <w:t>Total research and development expenses</w:t>
            </w:r>
          </w:p>
        </w:tc>
        <w:tc>
          <w:tcPr>
            <w:tcW w:w="8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(65,575,030 )</w:t>
            </w:r>
          </w:p>
        </w:tc>
        <w:tc>
          <w:tcPr>
            <w:tcW w:w="13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(57,375,574 )</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(8,199,456 )</w:t>
            </w:r>
          </w:p>
        </w:tc>
        <w:tc>
          <w:tcPr>
            <w:tcW w:w="13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14 %</w:t>
            </w:r>
          </w:p>
        </w:tc>
      </w:tr>
      <w:tr>
        <w:trPr>
          <w:trHeight w:val="20"/>
        </w:trPr>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-2646680</wp:posOffset>
            </wp:positionV>
            <wp:extent cx="6417945" cy="135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-2374265</wp:posOffset>
            </wp:positionV>
            <wp:extent cx="6417945" cy="135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-2101850</wp:posOffset>
            </wp:positionV>
            <wp:extent cx="6417945" cy="135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-1829435</wp:posOffset>
            </wp:positionV>
            <wp:extent cx="6417945" cy="135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-714375</wp:posOffset>
            </wp:positionV>
            <wp:extent cx="6417945" cy="135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-441960</wp:posOffset>
            </wp:positionV>
            <wp:extent cx="6417945" cy="135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-161290</wp:posOffset>
            </wp:positionV>
            <wp:extent cx="6417945" cy="161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7945" cy="161925"/>
                    </a:xfrm>
                    <a:prstGeom prst="rect">
                      <a:avLst/>
                    </a:prstGeom>
                    <a:noFill/>
                  </pic:spPr>
                </pic:pic>
              </a:graphicData>
            </a:graphic>
          </wp:anchor>
        </w:drawing>
      </w:r>
    </w:p>
    <w:p>
      <w:pPr>
        <w:spacing w:after="0" w:line="221" w:lineRule="exact"/>
        <w:rPr>
          <w:sz w:val="20"/>
          <w:szCs w:val="20"/>
          <w:color w:val="auto"/>
        </w:rPr>
      </w:pPr>
    </w:p>
    <w:p>
      <w:pPr>
        <w:ind w:right="280" w:firstLine="458"/>
        <w:spacing w:after="0" w:line="283" w:lineRule="auto"/>
        <w:rPr>
          <w:sz w:val="20"/>
          <w:szCs w:val="20"/>
          <w:color w:val="auto"/>
        </w:rPr>
      </w:pPr>
      <w:r>
        <w:rPr>
          <w:rFonts w:ascii="Arial" w:cs="Arial" w:eastAsia="Arial" w:hAnsi="Arial"/>
          <w:sz w:val="16"/>
          <w:szCs w:val="16"/>
          <w:color w:val="auto"/>
        </w:rPr>
        <w:t>Research and development expenses increased by €8.2 million in 2023, or 14% from €57.4 million for the year ended December 31, 2022 to €65.6 million for the year ended December 31, 2023.</w:t>
      </w:r>
    </w:p>
    <w:p>
      <w:pPr>
        <w:spacing w:after="0" w:line="196" w:lineRule="exact"/>
        <w:rPr>
          <w:sz w:val="20"/>
          <w:szCs w:val="20"/>
          <w:color w:val="auto"/>
        </w:rPr>
      </w:pPr>
    </w:p>
    <w:p>
      <w:pPr>
        <w:ind w:right="160" w:firstLine="458"/>
        <w:spacing w:after="0" w:line="264" w:lineRule="auto"/>
        <w:rPr>
          <w:sz w:val="20"/>
          <w:szCs w:val="20"/>
          <w:color w:val="auto"/>
        </w:rPr>
      </w:pPr>
      <w:r>
        <w:rPr>
          <w:rFonts w:ascii="Arial" w:cs="Arial" w:eastAsia="Arial" w:hAnsi="Arial"/>
          <w:sz w:val="16"/>
          <w:szCs w:val="16"/>
          <w:color w:val="auto"/>
        </w:rPr>
        <w:t>For the years ended December 31, 2023 and 2022, personnel expenses were €19.1 million and €13.3 million, respectively. This represents an increase of €5.8 million, or 43%. The increase is mainly driven by the growth of the organization and yearly merit adjustments. Personnel expenses in 2023 included an amount of €4.6 million (2022: €4.2 million) of share-based compensation.</w:t>
      </w:r>
    </w:p>
    <w:p>
      <w:pPr>
        <w:sectPr>
          <w:pgSz w:w="11900" w:h="16838" w:orient="portrait"/>
          <w:cols w:equalWidth="0" w:num="1">
            <w:col w:w="11180"/>
          </w:cols>
          <w:pgMar w:left="320" w:top="7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For the years ended December 31, 2023 and 2022, clinical expenses were €30.7 million and €27.7 million, respectively. This represents an increase of €3.0 million, or 11%. The increase in clinical expenses is primarily due to the expansion from the Phase 1 clinical program to our Phase 2 clinical program. The Phase 2 program involves two global, placebo-controlled clinical studies with dosing over multiple months. In addition, Open Label Extension studies have been initiated and have been running for the two programs.</w:t>
      </w:r>
    </w:p>
    <w:p>
      <w:pPr>
        <w:spacing w:after="0" w:line="217"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For the years ended December 31, 2023 and 2022, nonclinical expenses were €9.0 million and €4.9 million, respectively. This represents an increase of €4.1 million, or 85%. The increase in nonclinical expenses is primarily due to the additional studies related to the 26-week rodent toxicology study intended to address the clinical hold in the U.S.</w:t>
      </w:r>
    </w:p>
    <w:p>
      <w:pPr>
        <w:spacing w:after="0" w:line="251"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For the years ended December 31, 2023 and 2022, manufacturing costs were €6.5 million and €11.2 million, respectively. This represents a decrease of €4.7 million, or 42%. Manufacturing costs were lower mainly due to decreased expenses for drug substance manufacturing, which took place in 2022 as preparation for our clinical trials in 2023 and that resulted in lower manufacturing activities in 2023. Some activities, like pre-validation, were also postponed to 2024 due to emerging development activities.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For the year ended</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tcPr>
          <w:p>
            <w:pPr>
              <w:spacing w:after="0"/>
              <w:rPr>
                <w:sz w:val="14"/>
                <w:szCs w:val="14"/>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December 31,</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1040"/>
              <w:spacing w:after="0"/>
              <w:rPr>
                <w:sz w:val="20"/>
                <w:szCs w:val="20"/>
                <w:color w:val="auto"/>
              </w:rPr>
            </w:pPr>
            <w:r>
              <w:rPr>
                <w:rFonts w:ascii="Arial" w:cs="Arial" w:eastAsia="Arial" w:hAnsi="Arial"/>
                <w:sz w:val="13"/>
                <w:szCs w:val="13"/>
                <w:b w:val="1"/>
                <w:bCs w:val="1"/>
                <w:color w:val="auto"/>
              </w:rPr>
              <w:t>(in €)</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Personnel expenses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(13,314,359 )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(13,484,996 )</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170,637</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Consulting fees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(602,110 )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(898,435 )</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296,325</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Professional fees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(4,689,462 )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(3,972,771 )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(716,691 )</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(2,029,554 )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(1,652,995 )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(376,559 )</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Insurance, facilities and office expenses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(6,031,513 )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(6,443,709 )</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412,196</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Travel expenses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(1,797,588 )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(1,105,961 )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(691,627 )</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6"/>
                <w:szCs w:val="16"/>
                <w:color w:val="auto"/>
              </w:rPr>
              <w:t>Other expenses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(2,874,004 )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(1,780,167 )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(1,093,837 )</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auto"/>
              </w:rPr>
              <w:t>General and administrative expenses</w:t>
            </w: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(31,338,590 )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(29,339,034 )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(1,999,556 )</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7 %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-1122680</wp:posOffset>
            </wp:positionV>
            <wp:extent cx="6417945" cy="135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-850900</wp:posOffset>
            </wp:positionV>
            <wp:extent cx="6417945" cy="135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-578485</wp:posOffset>
            </wp:positionV>
            <wp:extent cx="6417945" cy="135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-306070</wp:posOffset>
            </wp:positionV>
            <wp:extent cx="6417945" cy="144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17945" cy="144780"/>
                    </a:xfrm>
                    <a:prstGeom prst="rect">
                      <a:avLst/>
                    </a:prstGeom>
                    <a:noFill/>
                  </pic:spPr>
                </pic:pic>
              </a:graphicData>
            </a:graphic>
          </wp:anchor>
        </w:drawing>
      </w:r>
    </w:p>
    <w:p>
      <w:pPr>
        <w:spacing w:after="0" w:line="247"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General and administrative expenses increased by €2.0 million, or 7% from €29.3 million for the year ended December 31, 2022 to €31.3 million for the year ended December 31, 2023. The increase in general and administrative expenses was mainly driven by the growth of our organization and increasing costs related to our commercial buildout.</w:t>
      </w:r>
    </w:p>
    <w:p>
      <w:pPr>
        <w:spacing w:after="0" w:line="211"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For the years ended December 31, 2023 and 2022, personnel expenses were €13.3 million and €13.5 million, respectively. This represents a decrease of €0.2 million, or 1%. Personnel expenses in 2023 included an amount of €6.1 million (2022: €7.1 million) of share-based compensation. The increase of personnel expenses, net of share-based compensation is mainly driven by the growth of the organization and yearly merit adjustments.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(expense) / income - net</w:t>
      </w:r>
    </w:p>
    <w:p>
      <w:pPr>
        <w:spacing w:after="0" w:line="109" w:lineRule="exact"/>
        <w:rPr>
          <w:sz w:val="20"/>
          <w:szCs w:val="20"/>
          <w:color w:val="auto"/>
        </w:rPr>
      </w:pPr>
    </w:p>
    <w:p>
      <w:pPr>
        <w:jc w:val="both"/>
        <w:ind w:right="420" w:firstLine="458"/>
        <w:spacing w:after="0" w:line="264" w:lineRule="auto"/>
        <w:rPr>
          <w:sz w:val="20"/>
          <w:szCs w:val="20"/>
          <w:color w:val="auto"/>
        </w:rPr>
      </w:pPr>
      <w:r>
        <w:rPr>
          <w:rFonts w:ascii="Arial" w:cs="Arial" w:eastAsia="Arial" w:hAnsi="Arial"/>
          <w:sz w:val="16"/>
          <w:szCs w:val="16"/>
          <w:color w:val="auto"/>
        </w:rPr>
        <w:t>Finance (expenses) income - net, for the year ended December 31, 2023 and 2022 were €(2.9) million and €11.1 million respectively, a change of €14.0 million. The amount mainly relates to unrealized foreign exchange gains and losses, which is mostly the result of translating the Company’s bank balances held in USD to EUR. The foreign exchange rates did not develop in favor of the Company in 2023.</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09" w:lineRule="exact"/>
        <w:rPr>
          <w:sz w:val="20"/>
          <w:szCs w:val="20"/>
          <w:color w:val="auto"/>
        </w:rPr>
      </w:pPr>
    </w:p>
    <w:p>
      <w:pPr>
        <w:ind w:right="280" w:firstLine="458"/>
        <w:spacing w:after="0" w:line="257"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exacerbated by the allocated foreign exchange results. The Company did not recognize the tax benefit of the losses incurred in previous years.</w:t>
      </w:r>
    </w:p>
    <w:p>
      <w:pPr>
        <w:spacing w:after="0" w:line="217"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The Company and its subsidiaries have tax loss carry-forwards as of December 31, 2023 of approximately €325.0 million (2022: €182.3 million; 2021: €95.7 million), that are available for offsetting against future taxable profits of the Companies in which the losses arose. In the Netherlands, profits in a given year can be offset against tax loss carry forwards for an unlimited period of time. The amount of the offset is, however, limited to 50% of taxable income (in excess of €1.0 million). Under Swiss law, losses can be offset against future income or capital gains for seven years.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1" w:lineRule="exact"/>
        <w:rPr>
          <w:sz w:val="20"/>
          <w:szCs w:val="20"/>
          <w:color w:val="auto"/>
        </w:rPr>
      </w:pPr>
    </w:p>
    <w:p>
      <w:pPr>
        <w:jc w:val="both"/>
        <w:ind w:right="80" w:firstLine="458"/>
        <w:spacing w:after="0" w:line="254"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material accounting policies. The preparation of our consolidated financial statements in conformity with IFRS requires us to make estimates and judgments that affect the amounts reported in those financial statements and accompanying notes. Although we believe that</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estimates we use are reasonable, due to the inherent uncertainty involved in making those estimates, actual results reported in future periods could differ from those estimates.</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72" w:lineRule="exact"/>
        <w:rPr>
          <w:sz w:val="20"/>
          <w:szCs w:val="20"/>
          <w:color w:val="auto"/>
        </w:rPr>
      </w:pPr>
    </w:p>
    <w:p>
      <w:pPr>
        <w:ind w:right="880" w:firstLine="458"/>
        <w:spacing w:after="0" w:line="283"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96" w:lineRule="exact"/>
        <w:rPr>
          <w:sz w:val="20"/>
          <w:szCs w:val="20"/>
          <w:color w:val="auto"/>
        </w:rPr>
      </w:pPr>
    </w:p>
    <w:p>
      <w:pPr>
        <w:ind w:right="40" w:firstLine="458"/>
        <w:spacing w:after="0" w:line="283"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9"/>
              </w:rPr>
              <w:t>June 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February</w:t>
            </w:r>
          </w:p>
        </w:tc>
        <w:tc>
          <w:tcPr>
            <w:tcW w:w="100" w:type="dxa"/>
            <w:vAlign w:val="bottom"/>
          </w:tcPr>
          <w:p>
            <w:pPr>
              <w:spacing w:after="0"/>
              <w:rPr>
                <w:sz w:val="14"/>
                <w:szCs w:val="14"/>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January</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November 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b w:val="1"/>
                <w:bCs w:val="1"/>
                <w:color w:val="auto"/>
              </w:rPr>
              <w:t>April 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June 25,</w:t>
            </w:r>
          </w:p>
        </w:tc>
        <w:tc>
          <w:tcPr>
            <w:tcW w:w="10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June 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22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 1</w:t>
            </w: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 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Number of options</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552,500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873,000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107,000</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color w:val="auto"/>
              </w:rPr>
              <w:t>Fair value of the options</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of the ordinary shares</w:t>
            </w: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color w:val="auto"/>
              </w:rPr>
              <w:t>Expected volatility (%)</w:t>
            </w:r>
          </w:p>
        </w:tc>
        <w:tc>
          <w:tcPr>
            <w:tcW w:w="120" w:type="dxa"/>
            <w:vAlign w:val="bottom"/>
          </w:tcPr>
          <w:p>
            <w:pPr>
              <w:spacing w:after="0"/>
              <w:rPr>
                <w:sz w:val="16"/>
                <w:szCs w:val="16"/>
                <w:color w:val="auto"/>
              </w:rPr>
            </w:pPr>
          </w:p>
        </w:tc>
        <w:tc>
          <w:tcPr>
            <w:tcW w:w="1360" w:type="dxa"/>
            <w:vAlign w:val="bottom"/>
            <w:gridSpan w:val="3"/>
          </w:tcPr>
          <w:p>
            <w:pPr>
              <w:jc w:val="right"/>
              <w:ind w:right="49"/>
              <w:spacing w:after="0"/>
              <w:rPr>
                <w:sz w:val="20"/>
                <w:szCs w:val="20"/>
                <w:color w:val="auto"/>
              </w:rPr>
            </w:pPr>
            <w:r>
              <w:rPr>
                <w:rFonts w:ascii="Arial" w:cs="Arial" w:eastAsia="Arial" w:hAnsi="Arial"/>
                <w:sz w:val="14"/>
                <w:szCs w:val="14"/>
                <w:color w:val="auto"/>
              </w:rPr>
              <w:t>100 %</w:t>
            </w:r>
          </w:p>
        </w:tc>
        <w:tc>
          <w:tcPr>
            <w:tcW w:w="920" w:type="dxa"/>
            <w:vAlign w:val="bottom"/>
            <w:gridSpan w:val="3"/>
          </w:tcPr>
          <w:p>
            <w:pPr>
              <w:jc w:val="right"/>
              <w:ind w:right="9"/>
              <w:spacing w:after="0"/>
              <w:rPr>
                <w:sz w:val="20"/>
                <w:szCs w:val="20"/>
                <w:color w:val="auto"/>
              </w:rPr>
            </w:pPr>
            <w:r>
              <w:rPr>
                <w:rFonts w:ascii="Arial" w:cs="Arial" w:eastAsia="Arial" w:hAnsi="Arial"/>
                <w:sz w:val="14"/>
                <w:szCs w:val="14"/>
                <w:color w:val="auto"/>
              </w:rPr>
              <w:t>100 %</w:t>
            </w:r>
          </w:p>
        </w:tc>
        <w:tc>
          <w:tcPr>
            <w:tcW w:w="860" w:type="dxa"/>
            <w:vAlign w:val="bottom"/>
            <w:gridSpan w:val="3"/>
          </w:tcPr>
          <w:p>
            <w:pPr>
              <w:jc w:val="right"/>
              <w:ind w:right="29"/>
              <w:spacing w:after="0"/>
              <w:rPr>
                <w:sz w:val="20"/>
                <w:szCs w:val="20"/>
                <w:color w:val="auto"/>
              </w:rPr>
            </w:pPr>
            <w:r>
              <w:rPr>
                <w:rFonts w:ascii="Arial" w:cs="Arial" w:eastAsia="Arial" w:hAnsi="Arial"/>
                <w:sz w:val="14"/>
                <w:szCs w:val="14"/>
                <w:color w:val="auto"/>
              </w:rPr>
              <w:t>80 %</w:t>
            </w:r>
          </w:p>
        </w:tc>
        <w:tc>
          <w:tcPr>
            <w:tcW w:w="900" w:type="dxa"/>
            <w:vAlign w:val="bottom"/>
            <w:gridSpan w:val="3"/>
          </w:tcPr>
          <w:p>
            <w:pPr>
              <w:jc w:val="right"/>
              <w:ind w:right="69"/>
              <w:spacing w:after="0"/>
              <w:rPr>
                <w:sz w:val="20"/>
                <w:szCs w:val="20"/>
                <w:color w:val="auto"/>
              </w:rPr>
            </w:pPr>
            <w:r>
              <w:rPr>
                <w:rFonts w:ascii="Arial" w:cs="Arial" w:eastAsia="Arial" w:hAnsi="Arial"/>
                <w:sz w:val="14"/>
                <w:szCs w:val="14"/>
                <w:color w:val="auto"/>
              </w:rPr>
              <w:t>80 %</w:t>
            </w:r>
          </w:p>
        </w:tc>
        <w:tc>
          <w:tcPr>
            <w:tcW w:w="800" w:type="dxa"/>
            <w:vAlign w:val="bottom"/>
            <w:gridSpan w:val="3"/>
          </w:tcPr>
          <w:p>
            <w:pPr>
              <w:jc w:val="right"/>
              <w:ind w:right="9"/>
              <w:spacing w:after="0"/>
              <w:rPr>
                <w:sz w:val="20"/>
                <w:szCs w:val="20"/>
                <w:color w:val="auto"/>
              </w:rPr>
            </w:pPr>
            <w:r>
              <w:rPr>
                <w:rFonts w:ascii="Arial" w:cs="Arial" w:eastAsia="Arial" w:hAnsi="Arial"/>
                <w:sz w:val="14"/>
                <w:szCs w:val="14"/>
                <w:color w:val="auto"/>
              </w:rPr>
              <w:t>85 %</w:t>
            </w:r>
          </w:p>
        </w:tc>
        <w:tc>
          <w:tcPr>
            <w:tcW w:w="860" w:type="dxa"/>
            <w:vAlign w:val="bottom"/>
            <w:gridSpan w:val="3"/>
          </w:tcPr>
          <w:p>
            <w:pPr>
              <w:jc w:val="right"/>
              <w:ind w:right="49"/>
              <w:spacing w:after="0"/>
              <w:rPr>
                <w:sz w:val="20"/>
                <w:szCs w:val="20"/>
                <w:color w:val="auto"/>
              </w:rPr>
            </w:pPr>
            <w:r>
              <w:rPr>
                <w:rFonts w:ascii="Arial" w:cs="Arial" w:eastAsia="Arial" w:hAnsi="Arial"/>
                <w:sz w:val="14"/>
                <w:szCs w:val="14"/>
                <w:color w:val="auto"/>
              </w:rPr>
              <w:t>85 %</w:t>
            </w:r>
          </w:p>
        </w:tc>
        <w:tc>
          <w:tcPr>
            <w:tcW w:w="820" w:type="dxa"/>
            <w:vAlign w:val="bottom"/>
            <w:gridSpan w:val="3"/>
          </w:tcPr>
          <w:p>
            <w:pPr>
              <w:jc w:val="right"/>
              <w:ind w:right="49"/>
              <w:spacing w:after="0"/>
              <w:rPr>
                <w:sz w:val="20"/>
                <w:szCs w:val="20"/>
                <w:color w:val="auto"/>
              </w:rPr>
            </w:pPr>
            <w:r>
              <w:rPr>
                <w:rFonts w:ascii="Arial" w:cs="Arial" w:eastAsia="Arial" w:hAnsi="Arial"/>
                <w:sz w:val="14"/>
                <w:szCs w:val="14"/>
                <w:color w:val="auto"/>
              </w:rPr>
              <w:t>85 %</w:t>
            </w:r>
          </w:p>
        </w:tc>
        <w:tc>
          <w:tcPr>
            <w:tcW w:w="800" w:type="dxa"/>
            <w:vAlign w:val="bottom"/>
            <w:gridSpan w:val="3"/>
          </w:tcPr>
          <w:p>
            <w:pPr>
              <w:jc w:val="right"/>
              <w:ind w:right="29"/>
              <w:spacing w:after="0"/>
              <w:rPr>
                <w:sz w:val="20"/>
                <w:szCs w:val="20"/>
                <w:color w:val="auto"/>
              </w:rPr>
            </w:pPr>
            <w:r>
              <w:rPr>
                <w:rFonts w:ascii="Arial" w:cs="Arial" w:eastAsia="Arial" w:hAnsi="Arial"/>
                <w:sz w:val="14"/>
                <w:szCs w:val="14"/>
                <w:color w:val="auto"/>
              </w:rPr>
              <w:t>85 %</w:t>
            </w:r>
          </w:p>
        </w:tc>
        <w:tc>
          <w:tcPr>
            <w:tcW w:w="800" w:type="dxa"/>
            <w:vAlign w:val="bottom"/>
            <w:gridSpan w:val="3"/>
          </w:tcPr>
          <w:p>
            <w:pPr>
              <w:jc w:val="right"/>
              <w:ind w:right="9"/>
              <w:spacing w:after="0"/>
              <w:rPr>
                <w:sz w:val="20"/>
                <w:szCs w:val="20"/>
                <w:color w:val="auto"/>
              </w:rPr>
            </w:pPr>
            <w:r>
              <w:rPr>
                <w:rFonts w:ascii="Arial" w:cs="Arial" w:eastAsia="Arial" w:hAnsi="Arial"/>
                <w:sz w:val="14"/>
                <w:szCs w:val="14"/>
                <w:color w:val="auto"/>
              </w:rPr>
              <w:t>85 %</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color w:val="auto"/>
              </w:rPr>
              <w:t>Expected life (years)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color w:val="auto"/>
              </w:rPr>
              <w:t>Risk-free interest rate (%)</w:t>
            </w:r>
          </w:p>
        </w:tc>
        <w:tc>
          <w:tcPr>
            <w:tcW w:w="120" w:type="dxa"/>
            <w:vAlign w:val="bottom"/>
          </w:tcPr>
          <w:p>
            <w:pPr>
              <w:spacing w:after="0"/>
              <w:rPr>
                <w:sz w:val="16"/>
                <w:szCs w:val="16"/>
                <w:color w:val="auto"/>
              </w:rPr>
            </w:pPr>
          </w:p>
        </w:tc>
        <w:tc>
          <w:tcPr>
            <w:tcW w:w="1360" w:type="dxa"/>
            <w:vAlign w:val="bottom"/>
            <w:gridSpan w:val="3"/>
          </w:tcPr>
          <w:p>
            <w:pPr>
              <w:jc w:val="right"/>
              <w:ind w:right="49"/>
              <w:spacing w:after="0"/>
              <w:rPr>
                <w:sz w:val="20"/>
                <w:szCs w:val="20"/>
                <w:color w:val="auto"/>
              </w:rPr>
            </w:pPr>
            <w:r>
              <w:rPr>
                <w:rFonts w:ascii="Arial" w:cs="Arial" w:eastAsia="Arial" w:hAnsi="Arial"/>
                <w:sz w:val="14"/>
                <w:szCs w:val="14"/>
                <w:color w:val="auto"/>
              </w:rPr>
              <w:t>4.6 %</w:t>
            </w:r>
          </w:p>
        </w:tc>
        <w:tc>
          <w:tcPr>
            <w:tcW w:w="920" w:type="dxa"/>
            <w:vAlign w:val="bottom"/>
            <w:gridSpan w:val="3"/>
          </w:tcPr>
          <w:p>
            <w:pPr>
              <w:jc w:val="right"/>
              <w:ind w:right="9"/>
              <w:spacing w:after="0"/>
              <w:rPr>
                <w:sz w:val="20"/>
                <w:szCs w:val="20"/>
                <w:color w:val="auto"/>
              </w:rPr>
            </w:pPr>
            <w:r>
              <w:rPr>
                <w:rFonts w:ascii="Arial" w:cs="Arial" w:eastAsia="Arial" w:hAnsi="Arial"/>
                <w:sz w:val="14"/>
                <w:szCs w:val="14"/>
                <w:color w:val="auto"/>
              </w:rPr>
              <w:t>3.6 %</w:t>
            </w:r>
          </w:p>
        </w:tc>
        <w:tc>
          <w:tcPr>
            <w:tcW w:w="860" w:type="dxa"/>
            <w:vAlign w:val="bottom"/>
            <w:gridSpan w:val="3"/>
          </w:tcPr>
          <w:p>
            <w:pPr>
              <w:jc w:val="right"/>
              <w:ind w:right="29"/>
              <w:spacing w:after="0"/>
              <w:rPr>
                <w:sz w:val="20"/>
                <w:szCs w:val="20"/>
                <w:color w:val="auto"/>
              </w:rPr>
            </w:pPr>
            <w:r>
              <w:rPr>
                <w:rFonts w:ascii="Arial" w:cs="Arial" w:eastAsia="Arial" w:hAnsi="Arial"/>
                <w:sz w:val="14"/>
                <w:szCs w:val="14"/>
                <w:color w:val="auto"/>
              </w:rPr>
              <w:t>3.0 %</w:t>
            </w:r>
          </w:p>
        </w:tc>
        <w:tc>
          <w:tcPr>
            <w:tcW w:w="900" w:type="dxa"/>
            <w:vAlign w:val="bottom"/>
            <w:gridSpan w:val="3"/>
          </w:tcPr>
          <w:p>
            <w:pPr>
              <w:jc w:val="right"/>
              <w:ind w:right="69"/>
              <w:spacing w:after="0"/>
              <w:rPr>
                <w:sz w:val="20"/>
                <w:szCs w:val="20"/>
                <w:color w:val="auto"/>
              </w:rPr>
            </w:pPr>
            <w:r>
              <w:rPr>
                <w:rFonts w:ascii="Arial" w:cs="Arial" w:eastAsia="Arial" w:hAnsi="Arial"/>
                <w:sz w:val="14"/>
                <w:szCs w:val="14"/>
                <w:color w:val="auto"/>
              </w:rPr>
              <w:t>2.6 %</w:t>
            </w:r>
          </w:p>
        </w:tc>
        <w:tc>
          <w:tcPr>
            <w:tcW w:w="800" w:type="dxa"/>
            <w:vAlign w:val="bottom"/>
            <w:gridSpan w:val="3"/>
          </w:tcPr>
          <w:p>
            <w:pPr>
              <w:jc w:val="right"/>
              <w:ind w:right="9"/>
              <w:spacing w:after="0"/>
              <w:rPr>
                <w:sz w:val="20"/>
                <w:szCs w:val="20"/>
                <w:color w:val="auto"/>
              </w:rPr>
            </w:pPr>
            <w:r>
              <w:rPr>
                <w:rFonts w:ascii="Arial" w:cs="Arial" w:eastAsia="Arial" w:hAnsi="Arial"/>
                <w:sz w:val="14"/>
                <w:szCs w:val="14"/>
                <w:color w:val="auto"/>
              </w:rPr>
              <w:t>1.4 %</w:t>
            </w:r>
          </w:p>
        </w:tc>
        <w:tc>
          <w:tcPr>
            <w:tcW w:w="860" w:type="dxa"/>
            <w:vAlign w:val="bottom"/>
            <w:gridSpan w:val="3"/>
          </w:tcPr>
          <w:p>
            <w:pPr>
              <w:jc w:val="right"/>
              <w:ind w:right="49"/>
              <w:spacing w:after="0"/>
              <w:rPr>
                <w:sz w:val="20"/>
                <w:szCs w:val="20"/>
                <w:color w:val="auto"/>
              </w:rPr>
            </w:pPr>
            <w:r>
              <w:rPr>
                <w:rFonts w:ascii="Arial" w:cs="Arial" w:eastAsia="Arial" w:hAnsi="Arial"/>
                <w:sz w:val="14"/>
                <w:szCs w:val="14"/>
                <w:color w:val="auto"/>
              </w:rPr>
              <w:t>1.2 %</w:t>
            </w:r>
          </w:p>
        </w:tc>
        <w:tc>
          <w:tcPr>
            <w:tcW w:w="820" w:type="dxa"/>
            <w:vAlign w:val="bottom"/>
            <w:gridSpan w:val="3"/>
          </w:tcPr>
          <w:p>
            <w:pPr>
              <w:jc w:val="right"/>
              <w:ind w:right="49"/>
              <w:spacing w:after="0"/>
              <w:rPr>
                <w:sz w:val="20"/>
                <w:szCs w:val="20"/>
                <w:color w:val="auto"/>
              </w:rPr>
            </w:pPr>
            <w:r>
              <w:rPr>
                <w:rFonts w:ascii="Arial" w:cs="Arial" w:eastAsia="Arial" w:hAnsi="Arial"/>
                <w:sz w:val="14"/>
                <w:szCs w:val="14"/>
                <w:color w:val="auto"/>
              </w:rPr>
              <w:t>1.2 %</w:t>
            </w:r>
          </w:p>
        </w:tc>
        <w:tc>
          <w:tcPr>
            <w:tcW w:w="800" w:type="dxa"/>
            <w:vAlign w:val="bottom"/>
            <w:gridSpan w:val="3"/>
          </w:tcPr>
          <w:p>
            <w:pPr>
              <w:jc w:val="right"/>
              <w:ind w:right="29"/>
              <w:spacing w:after="0"/>
              <w:rPr>
                <w:sz w:val="20"/>
                <w:szCs w:val="20"/>
                <w:color w:val="auto"/>
              </w:rPr>
            </w:pPr>
            <w:r>
              <w:rPr>
                <w:rFonts w:ascii="Arial" w:cs="Arial" w:eastAsia="Arial" w:hAnsi="Arial"/>
                <w:sz w:val="14"/>
                <w:szCs w:val="14"/>
                <w:color w:val="auto"/>
              </w:rPr>
              <w:t>-0.5 %</w:t>
            </w:r>
          </w:p>
        </w:tc>
        <w:tc>
          <w:tcPr>
            <w:tcW w:w="800" w:type="dxa"/>
            <w:vAlign w:val="bottom"/>
            <w:gridSpan w:val="3"/>
          </w:tcPr>
          <w:p>
            <w:pPr>
              <w:jc w:val="right"/>
              <w:ind w:right="9"/>
              <w:spacing w:after="0"/>
              <w:rPr>
                <w:sz w:val="20"/>
                <w:szCs w:val="20"/>
                <w:color w:val="auto"/>
              </w:rPr>
            </w:pPr>
            <w:r>
              <w:rPr>
                <w:rFonts w:ascii="Arial" w:cs="Arial" w:eastAsia="Arial" w:hAnsi="Arial"/>
                <w:sz w:val="14"/>
                <w:szCs w:val="14"/>
                <w:color w:val="auto"/>
              </w:rPr>
              <w:t>0.8 %</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7133590" cy="1193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3590"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7133590" cy="1193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3590" cy="119380"/>
                    </a:xfrm>
                    <a:prstGeom prst="rect">
                      <a:avLst/>
                    </a:prstGeom>
                    <a:noFill/>
                  </pic:spPr>
                </pic:pic>
              </a:graphicData>
            </a:graphic>
          </wp:anchor>
        </w:drawing>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Expected volatility in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6" w:lineRule="exact"/>
        <w:rPr>
          <w:sz w:val="20"/>
          <w:szCs w:val="20"/>
          <w:color w:val="auto"/>
        </w:rPr>
      </w:pPr>
    </w:p>
    <w:p>
      <w:pPr>
        <w:ind w:left="900" w:hanging="429"/>
        <w:spacing w:after="0"/>
        <w:tabs>
          <w:tab w:leader="none" w:pos="90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1" w:lineRule="exact"/>
        <w:rPr>
          <w:sz w:val="20"/>
          <w:szCs w:val="20"/>
          <w:color w:val="auto"/>
        </w:rPr>
      </w:pPr>
    </w:p>
    <w:p>
      <w:pPr>
        <w:ind w:right="380" w:firstLine="458"/>
        <w:spacing w:after="0" w:line="257" w:lineRule="auto"/>
        <w:rPr>
          <w:sz w:val="20"/>
          <w:szCs w:val="20"/>
          <w:color w:val="auto"/>
        </w:rPr>
      </w:pPr>
      <w:r>
        <w:rPr>
          <w:rFonts w:ascii="Arial" w:cs="Arial" w:eastAsia="Arial" w:hAnsi="Arial"/>
          <w:sz w:val="16"/>
          <w:szCs w:val="16"/>
          <w:color w:val="auto"/>
        </w:rPr>
        <w:t>Since inception, we have incurred significant operating losses. We incurred losses of €100.9 million during the year ended December 31, 2023 and €76.3 million during the year ended December 31, 2022.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we have relied on the issuance of equity securities and pre-funded warrants to finance our operations and internal growth.</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December 31, 2023, we have raised the following capital:</w:t>
      </w:r>
    </w:p>
    <w:p>
      <w:pPr>
        <w:spacing w:after="0" w:line="111" w:lineRule="exact"/>
        <w:rPr>
          <w:sz w:val="20"/>
          <w:szCs w:val="20"/>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€0.2 million;</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€14.9 million(net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 million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 million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€67.2 million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€146.2 million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593,927 ordinary shares raising €9.3 million (net of transaction costs);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6,951,340 ordinary shares raising €64.1 million (net of transaction costs); and</w:t>
      </w:r>
    </w:p>
    <w:p>
      <w:pPr>
        <w:sectPr>
          <w:pgSz w:w="11900" w:h="16838" w:orient="portrait"/>
          <w:cols w:equalWidth="0" w:num="1">
            <w:col w:w="11280"/>
          </w:cols>
          <w:pgMar w:left="320" w:top="769" w:right="29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80"/>
          </w:cols>
          <w:pgMar w:left="320" w:top="769" w:right="2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900" w:hanging="429"/>
        <w:spacing w:after="0"/>
        <w:tabs>
          <w:tab w:leader="none" w:pos="90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11,125,000 ordinary shares and 1,375,000 pre-funded warrants raising €261.6 million (net of transaction costs).</w:t>
      </w:r>
    </w:p>
    <w:p>
      <w:pPr>
        <w:spacing w:after="0" w:line="231" w:lineRule="exact"/>
        <w:rPr>
          <w:sz w:val="20"/>
          <w:szCs w:val="20"/>
          <w:color w:val="auto"/>
        </w:rPr>
      </w:pPr>
    </w:p>
    <w:p>
      <w:pPr>
        <w:jc w:val="both"/>
        <w:ind w:right="460" w:firstLine="458"/>
        <w:spacing w:after="0" w:line="264"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0" w:lineRule="exact"/>
        <w:rPr>
          <w:sz w:val="20"/>
          <w:szCs w:val="20"/>
          <w:color w:val="auto"/>
        </w:rPr>
      </w:pPr>
    </w:p>
    <w:p>
      <w:pPr>
        <w:ind w:right="320" w:firstLine="458"/>
        <w:spacing w:after="0" w:line="283" w:lineRule="auto"/>
        <w:rPr>
          <w:sz w:val="20"/>
          <w:szCs w:val="20"/>
          <w:color w:val="auto"/>
        </w:rPr>
      </w:pPr>
      <w:r>
        <w:rPr>
          <w:rFonts w:ascii="Arial" w:cs="Arial" w:eastAsia="Arial" w:hAnsi="Arial"/>
          <w:sz w:val="16"/>
          <w:szCs w:val="16"/>
          <w:color w:val="auto"/>
        </w:rPr>
        <w:t>On March 1, 2022, we entered into a sales agreement with SVB Securities LLC, or SVB Securities, pursuant to which we may sell ordinary shares having an aggregate offering price of up to $75 million from time to time through SVB Securities.</w:t>
      </w:r>
    </w:p>
    <w:p>
      <w:pPr>
        <w:spacing w:after="0" w:line="156" w:lineRule="exact"/>
        <w:rPr>
          <w:sz w:val="20"/>
          <w:szCs w:val="20"/>
          <w:color w:val="auto"/>
        </w:rPr>
      </w:pPr>
    </w:p>
    <w:p>
      <w:pPr>
        <w:ind w:right="280" w:firstLine="458"/>
        <w:spacing w:after="0" w:line="264" w:lineRule="auto"/>
        <w:rPr>
          <w:sz w:val="20"/>
          <w:szCs w:val="20"/>
          <w:color w:val="auto"/>
        </w:rPr>
      </w:pPr>
      <w:r>
        <w:rPr>
          <w:rFonts w:ascii="Arial" w:cs="Arial" w:eastAsia="Arial" w:hAnsi="Arial"/>
          <w:sz w:val="16"/>
          <w:szCs w:val="16"/>
          <w:color w:val="auto"/>
        </w:rPr>
        <w:t>As of December 31, 2023, we have sold a total of 593,927 ordinary shares under the sales agreement generating total net proceeds of $9.8 million (€9.3 million), after deducting $0.3 million (€0.3 million), which was payable to Leerink Partners, LLC as commission in respect of such sales. Our understanding is that SVB Securities was not impacted by the Silicon Valley Bank ("SVB") receivership proceedings.</w:t>
      </w:r>
    </w:p>
    <w:p>
      <w:pPr>
        <w:spacing w:after="0" w:line="170" w:lineRule="exact"/>
        <w:rPr>
          <w:sz w:val="20"/>
          <w:szCs w:val="20"/>
          <w:color w:val="auto"/>
        </w:rPr>
      </w:pPr>
    </w:p>
    <w:p>
      <w:pPr>
        <w:ind w:right="520" w:firstLine="458"/>
        <w:spacing w:after="0" w:line="283"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$70.0 million (€64.1 million).</w:t>
      </w:r>
    </w:p>
    <w:p>
      <w:pPr>
        <w:spacing w:after="0" w:line="156"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LLC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w:t>
      </w:r>
    </w:p>
    <w:p>
      <w:pPr>
        <w:spacing w:after="0" w:line="177"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As of December 31, 2023 we held cash and cash equivalents of €391.2 million. Of the cash on hand, €65,567 relates to guarantees.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81"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3" w:lineRule="exact"/>
        <w:rPr>
          <w:rFonts w:ascii="Times New Roman" w:cs="Times New Roman" w:eastAsia="Times New Roman" w:hAnsi="Times New Roman"/>
          <w:sz w:val="16"/>
          <w:szCs w:val="16"/>
          <w:color w:val="auto"/>
        </w:rPr>
      </w:pPr>
    </w:p>
    <w:p>
      <w:pPr>
        <w:ind w:left="900" w:right="80" w:hanging="429"/>
        <w:spacing w:after="0" w:line="282" w:lineRule="auto"/>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3" w:lineRule="exact"/>
        <w:rPr>
          <w:rFonts w:ascii="Times New Roman" w:cs="Times New Roman" w:eastAsia="Times New Roman" w:hAnsi="Times New Roman"/>
          <w:sz w:val="16"/>
          <w:szCs w:val="16"/>
          <w:color w:val="auto"/>
        </w:rPr>
      </w:pPr>
    </w:p>
    <w:p>
      <w:pPr>
        <w:ind w:left="900" w:right="600" w:hanging="429"/>
        <w:spacing w:after="0" w:line="282" w:lineRule="auto"/>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9"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3" w:lineRule="exact"/>
        <w:rPr>
          <w:rFonts w:ascii="Times New Roman" w:cs="Times New Roman" w:eastAsia="Times New Roman" w:hAnsi="Times New Roman"/>
          <w:sz w:val="16"/>
          <w:szCs w:val="16"/>
          <w:color w:val="auto"/>
        </w:rPr>
      </w:pPr>
    </w:p>
    <w:p>
      <w:pPr>
        <w:ind w:left="900" w:hanging="429"/>
        <w:spacing w:after="0"/>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1" w:lineRule="exact"/>
        <w:rPr>
          <w:sz w:val="20"/>
          <w:szCs w:val="20"/>
          <w:color w:val="auto"/>
        </w:rPr>
      </w:pPr>
    </w:p>
    <w:p>
      <w:pPr>
        <w:ind w:right="360" w:firstLine="458"/>
        <w:spacing w:after="0" w:line="26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0"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w:t>
      </w:r>
    </w:p>
    <w:p>
      <w:pPr>
        <w:sectPr>
          <w:pgSz w:w="11900" w:h="16838" w:orient="portrait"/>
          <w:cols w:equalWidth="0" w:num="1">
            <w:col w:w="11160"/>
          </w:cols>
          <w:pgMar w:left="320" w:top="769" w:right="4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some or all of our development programs and clinical trials. We may also be required to sell or license to other technologies or our clinical product candidate that we would prefer to develop and commercialize ourselves.</w:t>
      </w:r>
    </w:p>
    <w:p>
      <w:pPr>
        <w:spacing w:after="0" w:line="156"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SVB. As of April 10, 2024,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2023 and December 31, 2022</w:t>
      </w:r>
    </w:p>
    <w:p>
      <w:pPr>
        <w:spacing w:after="0" w:line="189" w:lineRule="exact"/>
        <w:rPr>
          <w:sz w:val="20"/>
          <w:szCs w:val="20"/>
          <w:color w:val="auto"/>
        </w:rPr>
      </w:pPr>
    </w:p>
    <w:p>
      <w:pPr>
        <w:ind w:right="280" w:firstLine="274"/>
        <w:spacing w:after="0" w:line="264" w:lineRule="auto"/>
        <w:rPr>
          <w:sz w:val="20"/>
          <w:szCs w:val="20"/>
          <w:color w:val="auto"/>
        </w:rPr>
      </w:pPr>
      <w:r>
        <w:rPr>
          <w:rFonts w:ascii="Arial" w:cs="Arial" w:eastAsia="Arial" w:hAnsi="Arial"/>
          <w:sz w:val="16"/>
          <w:szCs w:val="16"/>
          <w:color w:val="auto"/>
        </w:rPr>
        <w:t>A discussion of our cash flows for the year ended December 31, 2022 as compared to the year ended December 31, 2021 can be found in the section entitled “Item 5. Operating and Financial Review and Prospects—B. Liquidity and Capital Resources—Cash Flows—Comparison of the years ended December 31, 2022 and 2021” in our annual report on form 20-F, filed with the SEC on April 5, 2023.</w:t>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940" w:type="dxa"/>
            <w:vAlign w:val="bottom"/>
            <w:gridSpan w:val="5"/>
          </w:tcPr>
          <w:p>
            <w:pPr>
              <w:jc w:val="center"/>
              <w:ind w:right="163"/>
              <w:spacing w:after="0"/>
              <w:rPr>
                <w:sz w:val="20"/>
                <w:szCs w:val="20"/>
                <w:color w:val="auto"/>
              </w:rPr>
            </w:pPr>
            <w:r>
              <w:rPr>
                <w:rFonts w:ascii="Arial" w:cs="Arial" w:eastAsia="Arial" w:hAnsi="Arial"/>
                <w:sz w:val="13"/>
                <w:szCs w:val="13"/>
                <w:b w:val="1"/>
                <w:bCs w:val="1"/>
                <w:color w:val="auto"/>
                <w:w w:val="96"/>
              </w:rPr>
              <w:t>For the year ended</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462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865"/>
              <w:spacing w:after="0"/>
              <w:rPr>
                <w:sz w:val="20"/>
                <w:szCs w:val="20"/>
                <w:color w:val="auto"/>
              </w:rPr>
            </w:pPr>
            <w:r>
              <w:rPr>
                <w:rFonts w:ascii="Arial" w:cs="Arial" w:eastAsia="Arial" w:hAnsi="Arial"/>
                <w:sz w:val="13"/>
                <w:szCs w:val="13"/>
                <w:b w:val="1"/>
                <w:bCs w:val="1"/>
                <w:color w:val="auto"/>
                <w:w w:val="96"/>
              </w:rPr>
              <w:t>December 31,</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620" w:type="dxa"/>
            <w:vAlign w:val="bottom"/>
          </w:tcPr>
          <w:p>
            <w:pPr>
              <w:spacing w:after="0"/>
              <w:rPr>
                <w:sz w:val="13"/>
                <w:szCs w:val="13"/>
                <w:color w:val="auto"/>
              </w:rPr>
            </w:pPr>
          </w:p>
        </w:tc>
        <w:tc>
          <w:tcPr>
            <w:tcW w:w="1260" w:type="dxa"/>
            <w:vAlign w:val="bottom"/>
          </w:tcPr>
          <w:p>
            <w:pPr>
              <w:jc w:val="right"/>
              <w:ind w:right="425"/>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ind w:right="40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Change</w:t>
            </w:r>
          </w:p>
        </w:tc>
        <w:tc>
          <w:tcPr>
            <w:tcW w:w="1100" w:type="dxa"/>
            <w:vAlign w:val="bottom"/>
          </w:tcPr>
          <w:p>
            <w:pPr>
              <w:jc w:val="right"/>
              <w:ind w:right="40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6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w:t>
            </w:r>
          </w:p>
        </w:tc>
        <w:tc>
          <w:tcPr>
            <w:tcW w:w="200" w:type="dxa"/>
            <w:vAlign w:val="bottom"/>
          </w:tcPr>
          <w:p>
            <w:pPr>
              <w:jc w:val="right"/>
              <w:ind w:right="43"/>
              <w:spacing w:after="0"/>
              <w:rPr>
                <w:sz w:val="20"/>
                <w:szCs w:val="20"/>
                <w:color w:val="auto"/>
              </w:rPr>
            </w:pPr>
            <w:r>
              <w:rPr>
                <w:rFonts w:ascii="Arial" w:cs="Arial" w:eastAsia="Arial" w:hAnsi="Arial"/>
                <w:sz w:val="11"/>
                <w:szCs w:val="11"/>
                <w:b w:val="1"/>
                <w:bCs w:val="1"/>
                <w:color w:val="auto"/>
                <w:w w:val="81"/>
              </w:rPr>
              <w:t>€)</w:t>
            </w:r>
          </w:p>
        </w:tc>
        <w:tc>
          <w:tcPr>
            <w:tcW w:w="11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Net cash flows used in operating activities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(93,049,093 )</w:t>
            </w:r>
          </w:p>
        </w:tc>
        <w:tc>
          <w:tcPr>
            <w:tcW w:w="320" w:type="dxa"/>
            <w:vAlign w:val="bottom"/>
          </w:tcPr>
          <w:p>
            <w:pPr>
              <w:spacing w:after="0"/>
              <w:rPr>
                <w:sz w:val="18"/>
                <w:szCs w:val="18"/>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6"/>
                <w:szCs w:val="16"/>
                <w:color w:val="auto"/>
              </w:rPr>
              <w:t>(67,162,634 )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(25,886,459 )</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39 %</w:t>
            </w: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(89,984 )</w:t>
            </w:r>
          </w:p>
        </w:tc>
        <w:tc>
          <w:tcPr>
            <w:tcW w:w="320" w:type="dxa"/>
            <w:vAlign w:val="bottom"/>
          </w:tcPr>
          <w:p>
            <w:pPr>
              <w:spacing w:after="0"/>
              <w:rPr>
                <w:sz w:val="18"/>
                <w:szCs w:val="18"/>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6"/>
                <w:szCs w:val="16"/>
                <w:color w:val="auto"/>
              </w:rPr>
              <w:t>(124,296 )</w:t>
            </w:r>
          </w:p>
        </w:tc>
        <w:tc>
          <w:tcPr>
            <w:tcW w:w="1140" w:type="dxa"/>
            <w:vAlign w:val="bottom"/>
          </w:tcPr>
          <w:p>
            <w:pPr>
              <w:jc w:val="right"/>
              <w:spacing w:after="0"/>
              <w:rPr>
                <w:sz w:val="20"/>
                <w:szCs w:val="20"/>
                <w:color w:val="auto"/>
              </w:rPr>
            </w:pPr>
            <w:r>
              <w:rPr>
                <w:rFonts w:ascii="Arial" w:cs="Arial" w:eastAsia="Arial" w:hAnsi="Arial"/>
                <w:sz w:val="16"/>
                <w:szCs w:val="16"/>
                <w:color w:val="auto"/>
              </w:rPr>
              <w:t>34,312</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(28 )%</w:t>
            </w: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Net cash flows provided by financing activities</w:t>
            </w:r>
          </w:p>
        </w:tc>
        <w:tc>
          <w:tcPr>
            <w:tcW w:w="1260" w:type="dxa"/>
            <w:vAlign w:val="bottom"/>
          </w:tcPr>
          <w:p>
            <w:pPr>
              <w:jc w:val="right"/>
              <w:spacing w:after="0"/>
              <w:rPr>
                <w:sz w:val="20"/>
                <w:szCs w:val="20"/>
                <w:color w:val="auto"/>
              </w:rPr>
            </w:pPr>
            <w:r>
              <w:rPr>
                <w:rFonts w:ascii="Arial" w:cs="Arial" w:eastAsia="Arial" w:hAnsi="Arial"/>
                <w:sz w:val="16"/>
                <w:szCs w:val="16"/>
                <w:color w:val="auto"/>
              </w:rPr>
              <w:t>325,393,000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8,650,368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316,742,632</w:t>
            </w:r>
          </w:p>
        </w:tc>
        <w:tc>
          <w:tcPr>
            <w:tcW w:w="20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3662 %</w:t>
            </w:r>
          </w:p>
        </w:tc>
      </w:tr>
      <w:tr>
        <w:trPr>
          <w:trHeight w:val="216"/>
        </w:trPr>
        <w:tc>
          <w:tcPr>
            <w:tcW w:w="4620" w:type="dxa"/>
            <w:vAlign w:val="bottom"/>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232,253,923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6"/>
                <w:szCs w:val="16"/>
                <w:b w:val="1"/>
                <w:bCs w:val="1"/>
                <w:color w:val="auto"/>
              </w:rPr>
              <w:t>(58,636,562 )</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290,890,485</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(496 )%</w:t>
            </w:r>
          </w:p>
        </w:tc>
      </w:tr>
      <w:tr>
        <w:trPr>
          <w:trHeight w:val="214"/>
        </w:trPr>
        <w:tc>
          <w:tcPr>
            <w:tcW w:w="4620" w:type="dxa"/>
            <w:vAlign w:val="bottom"/>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161,837,429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209,353,132</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(47,515,703 )</w:t>
            </w: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(23 )%</w:t>
            </w: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(2,859,715 )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11,120,859</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(13,980,574 )</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(126 )%</w:t>
            </w:r>
          </w:p>
        </w:tc>
      </w:tr>
      <w:tr>
        <w:trPr>
          <w:trHeight w:val="215"/>
        </w:trPr>
        <w:tc>
          <w:tcPr>
            <w:tcW w:w="462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391,231,637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161,837,429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229,394,208</w:t>
            </w:r>
          </w:p>
        </w:tc>
        <w:tc>
          <w:tcPr>
            <w:tcW w:w="20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142 %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-952500</wp:posOffset>
            </wp:positionV>
            <wp:extent cx="6417945" cy="135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-680085</wp:posOffset>
            </wp:positionV>
            <wp:extent cx="6417945" cy="135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-407670</wp:posOffset>
            </wp:positionV>
            <wp:extent cx="6417945" cy="135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17945" cy="13589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-135255</wp:posOffset>
            </wp:positionV>
            <wp:extent cx="6417945" cy="135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7945" cy="135890"/>
                    </a:xfrm>
                    <a:prstGeom prst="rect">
                      <a:avLst/>
                    </a:prstGeom>
                    <a:noFill/>
                  </pic:spPr>
                </pic:pic>
              </a:graphicData>
            </a:graphic>
          </wp:anchor>
        </w:drawing>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9" w:lineRule="exact"/>
        <w:rPr>
          <w:sz w:val="20"/>
          <w:szCs w:val="20"/>
          <w:color w:val="auto"/>
        </w:rPr>
      </w:pPr>
    </w:p>
    <w:p>
      <w:pPr>
        <w:ind w:right="700" w:firstLine="458"/>
        <w:spacing w:after="0" w:line="283"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56"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Net cash flows used in operating activities increased by €25.9 million or 39%, from €67.2 million for the year ended December 31, 2022 to €93.0 million for the year ended December 31, 2023. The change is primarily due to the increase in research and development expenses and other operating expenses and to progression made in the development programs and the growth of our organization.</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9"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Net cash flows used in investing activities are substantially unchanged for the year ended December 31, 2023 compared to the year ended December 31, 2022.</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9"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Net cash flows provided by financing activities increased by €316.7 million from €8.7 million for the year ended December 31, 2022 to €325.4 million for the year ended December 31, 2023. Net cash provided by financing activities in the year ended December 31, 2023 consisted primarily of the receipt of €342.9 million received from the sale of ordinary shares and pre-funded warrants, offset by transaction costs of €17.3 million and the payment of principal portion of lease liabilities of €0.2 million. Net cash provided by financing activities in the year ended December 31, 2022 consisted primarily of the receipt of €9.6 million received from the sale of ordinary shares, offset by transaction costs of €0.8 million and the payment of principal portion of lease liabilities of €0.1 million.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297"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Group has entered into research and development commitments in relation to the development of the Group’s oral bradykinin-B2-receptor antagonist amounting to a total of €49 million as of December 31, 2023 (2022: €28 million), of which €44.8 million is committed in the year ending December 31, 2024. The amount for research and developments commitments does not include potential milestone fees, sublicense fees, royalty fees, licensing maintenance fees, and reimbursement of patent maintenance costs that we may be required to pay under the agreement we have entered into with AnalytiCon to license intellectual property.</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both"/>
        <w:ind w:right="20" w:firstLine="458"/>
        <w:spacing w:after="0" w:line="252" w:lineRule="auto"/>
        <w:rPr>
          <w:sz w:val="20"/>
          <w:szCs w:val="20"/>
          <w:color w:val="auto"/>
        </w:rPr>
      </w:pPr>
      <w:r>
        <w:rPr>
          <w:rFonts w:ascii="Arial" w:cs="Arial" w:eastAsia="Arial" w:hAnsi="Arial"/>
          <w:sz w:val="16"/>
          <w:szCs w:val="16"/>
          <w:color w:val="auto"/>
        </w:rPr>
        <w:t>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 We have not included such potential obligations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19" w:lineRule="exact"/>
        <w:rPr>
          <w:sz w:val="20"/>
          <w:szCs w:val="20"/>
          <w:color w:val="auto"/>
        </w:rPr>
      </w:pPr>
    </w:p>
    <w:p>
      <w:pPr>
        <w:ind w:left="1020" w:hanging="549"/>
        <w:spacing w:after="0"/>
        <w:tabs>
          <w:tab w:leader="none" w:pos="102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200" w:lineRule="exact"/>
        <w:rPr>
          <w:sz w:val="20"/>
          <w:szCs w:val="20"/>
          <w:color w:val="auto"/>
        </w:rPr>
      </w:pPr>
    </w:p>
    <w:p>
      <w:pPr>
        <w:spacing w:after="0" w:line="219" w:lineRule="exact"/>
        <w:rPr>
          <w:sz w:val="20"/>
          <w:szCs w:val="20"/>
          <w:color w:val="auto"/>
        </w:rPr>
      </w:pPr>
    </w:p>
    <w:p>
      <w:pPr>
        <w:ind w:left="1020" w:hanging="549"/>
        <w:spacing w:after="0"/>
        <w:tabs>
          <w:tab w:leader="none" w:pos="102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pacing w:after="0" w:line="200" w:lineRule="exact"/>
        <w:rPr>
          <w:sz w:val="20"/>
          <w:szCs w:val="20"/>
          <w:color w:val="auto"/>
        </w:rPr>
      </w:pPr>
    </w:p>
    <w:p>
      <w:pPr>
        <w:spacing w:after="0" w:line="206" w:lineRule="exact"/>
        <w:rPr>
          <w:sz w:val="20"/>
          <w:szCs w:val="20"/>
          <w:color w:val="auto"/>
        </w:rPr>
      </w:pPr>
    </w:p>
    <w:p>
      <w:pPr>
        <w:ind w:left="1020" w:hanging="549"/>
        <w:spacing w:after="0"/>
        <w:tabs>
          <w:tab w:leader="none" w:pos="10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29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78" w:lineRule="exact"/>
        <w:rPr>
          <w:sz w:val="20"/>
          <w:szCs w:val="20"/>
          <w:color w:val="auto"/>
        </w:rPr>
      </w:pPr>
    </w:p>
    <w:p>
      <w:pPr>
        <w:ind w:left="1020" w:hanging="504"/>
        <w:spacing w:after="0"/>
        <w:tabs>
          <w:tab w:leader="none" w:pos="10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 Board of Directors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our Board and Senior Management as of the date of this Annual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177"/>
              <w:spacing w:after="0"/>
              <w:rPr>
                <w:sz w:val="20"/>
                <w:szCs w:val="20"/>
                <w:color w:val="auto"/>
              </w:rPr>
            </w:pPr>
            <w:r>
              <w:rPr>
                <w:rFonts w:ascii="Arial" w:cs="Arial" w:eastAsia="Arial" w:hAnsi="Arial"/>
                <w:sz w:val="13"/>
                <w:szCs w:val="13"/>
                <w:b w:val="1"/>
                <w:bCs w:val="1"/>
                <w:color w:val="auto"/>
              </w:rPr>
              <w:t>Initial year of</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Age</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appointment</w:t>
            </w:r>
          </w:p>
        </w:tc>
        <w:tc>
          <w:tcPr>
            <w:tcW w:w="160" w:type="dxa"/>
            <w:vAlign w:val="bottom"/>
          </w:tcPr>
          <w:p>
            <w:pPr>
              <w:spacing w:after="0"/>
              <w:rPr>
                <w:sz w:val="14"/>
                <w:szCs w:val="14"/>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Term</w:t>
            </w:r>
          </w:p>
        </w:tc>
      </w:tr>
      <w:tr>
        <w:trPr>
          <w:trHeight w:val="208"/>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Board</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Berndt Modig</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Executive Officer and Executive Director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2024</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Hans Schikan, Pharm.D.</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Non-Executive Director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2024</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David Meeker, M.D.</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Non-Executive Director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2025</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Robert Glassman, M.D.</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Non-Executive Director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2025</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Viviane Monges</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Non-Executive Director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2025</w:t>
            </w:r>
          </w:p>
        </w:tc>
      </w:tr>
      <w:tr>
        <w:trPr>
          <w:trHeight w:val="161"/>
        </w:trPr>
        <w:tc>
          <w:tcPr>
            <w:tcW w:w="2360" w:type="dxa"/>
            <w:vAlign w:val="bottom"/>
            <w:shd w:val="clear" w:color="auto" w:fill="CFF0FC"/>
          </w:tcPr>
          <w:p>
            <w:pPr>
              <w:ind w:left="20"/>
              <w:spacing w:after="0" w:line="161" w:lineRule="exact"/>
              <w:rPr>
                <w:sz w:val="20"/>
                <w:szCs w:val="20"/>
                <w:color w:val="auto"/>
              </w:rPr>
            </w:pPr>
            <w:r>
              <w:rPr>
                <w:rFonts w:ascii="Arial" w:cs="Arial" w:eastAsia="Arial" w:hAnsi="Arial"/>
                <w:sz w:val="16"/>
                <w:szCs w:val="16"/>
                <w:color w:val="auto"/>
              </w:rPr>
              <w:t>Anne Marie de Jonge</w:t>
            </w:r>
          </w:p>
        </w:tc>
        <w:tc>
          <w:tcPr>
            <w:tcW w:w="160" w:type="dxa"/>
            <w:vAlign w:val="bottom"/>
            <w:shd w:val="clear" w:color="auto" w:fill="CFF0FC"/>
          </w:tcPr>
          <w:p>
            <w:pPr>
              <w:spacing w:after="0"/>
              <w:rPr>
                <w:sz w:val="14"/>
                <w:szCs w:val="14"/>
                <w:color w:val="auto"/>
              </w:rPr>
            </w:pPr>
          </w:p>
        </w:tc>
        <w:tc>
          <w:tcPr>
            <w:tcW w:w="4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r>
      <w:tr>
        <w:trPr>
          <w:trHeight w:val="241"/>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xml:space="preserve">Schuermans, Ph.D. </w:t>
            </w:r>
            <w:r>
              <w:rPr>
                <w:rFonts w:ascii="Arial" w:cs="Arial" w:eastAsia="Arial" w:hAnsi="Arial"/>
                <w:sz w:val="21"/>
                <w:szCs w:val="21"/>
                <w:color w:val="auto"/>
                <w:vertAlign w:val="superscript"/>
              </w:rPr>
              <w:t>(1)</w:t>
            </w:r>
          </w:p>
        </w:tc>
        <w:tc>
          <w:tcPr>
            <w:tcW w:w="160" w:type="dxa"/>
            <w:vAlign w:val="bottom"/>
            <w:shd w:val="clear" w:color="auto" w:fill="CFF0FC"/>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Non-Executive Director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2026</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Elisabeth Björk, M.D.</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Non-Executive Director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2026</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Senior Management</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Berndt Modig</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Executive Officer and Director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2360" w:type="dxa"/>
            <w:vAlign w:val="bottom"/>
            <w:shd w:val="clear" w:color="auto" w:fill="CFF0FC"/>
          </w:tcPr>
          <w:p>
            <w:pPr>
              <w:ind w:left="20"/>
              <w:spacing w:after="0" w:line="215" w:lineRule="exact"/>
              <w:rPr>
                <w:sz w:val="20"/>
                <w:szCs w:val="20"/>
                <w:color w:val="auto"/>
              </w:rPr>
            </w:pPr>
            <w:r>
              <w:rPr>
                <w:rFonts w:ascii="Arial" w:cs="Arial" w:eastAsia="Arial" w:hAnsi="Arial"/>
                <w:sz w:val="16"/>
                <w:szCs w:val="16"/>
                <w:color w:val="auto"/>
              </w:rPr>
              <w:t>Jochen Knolle, Ph.D.</w:t>
            </w:r>
            <w:r>
              <w:rPr>
                <w:rFonts w:ascii="Arial" w:cs="Arial" w:eastAsia="Arial" w:hAnsi="Arial"/>
                <w:sz w:val="21"/>
                <w:szCs w:val="21"/>
                <w:color w:val="auto"/>
                <w:vertAlign w:val="superscript"/>
              </w:rPr>
              <w:t>(2)</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Chief Scientific Officer and Chief Operating Officer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Peng Lu, M.D., Ph.D.</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Medical Officer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Anne Lesage, Ph.D.</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Chief Early Development Officer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Morgan Conn, Ph.D.</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Business Officer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Anna Nijdam, MSc RA</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Head of Strategic Finance and Principal Accounting Officer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Wim Souverijns, Ph.D.</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Commercial Officer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Joan Schmidt, J.D.</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Chief Legal Officer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4"/>
        </w:trPr>
        <w:tc>
          <w:tcPr>
            <w:tcW w:w="2360" w:type="dxa"/>
            <w:vAlign w:val="bottom"/>
          </w:tcPr>
          <w:p>
            <w:pPr>
              <w:ind w:left="20"/>
              <w:spacing w:after="0"/>
              <w:rPr>
                <w:sz w:val="20"/>
                <w:szCs w:val="20"/>
                <w:color w:val="auto"/>
              </w:rPr>
            </w:pPr>
            <w:r>
              <w:rPr>
                <w:rFonts w:ascii="Arial" w:cs="Arial" w:eastAsia="Arial" w:hAnsi="Arial"/>
                <w:sz w:val="16"/>
                <w:szCs w:val="16"/>
                <w:color w:val="auto"/>
              </w:rPr>
              <w:t>Annick Deschoolmeester</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Human Resources Officer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Stefan Abele, Ph.D.</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Chief Technical Operations Officer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vertAlign w:val="superscript"/>
        </w:rPr>
        <w:t>(1)</w:t>
      </w:r>
      <w:r>
        <w:rPr>
          <w:rFonts w:ascii="Times New Roman" w:cs="Times New Roman" w:eastAsia="Times New Roman" w:hAnsi="Times New Roman"/>
          <w:sz w:val="13"/>
          <w:szCs w:val="13"/>
          <w:color w:val="auto"/>
        </w:rPr>
        <w:t>Anne Marie de Jonge Schuermans, Ph. D. resigned from her position as Member of the Board effective July 1, 2023.</w:t>
      </w:r>
    </w:p>
    <w:p>
      <w:pPr>
        <w:spacing w:after="0" w:line="87" w:lineRule="exact"/>
        <w:rPr>
          <w:sz w:val="20"/>
          <w:szCs w:val="20"/>
          <w:color w:val="auto"/>
        </w:rPr>
      </w:pPr>
    </w:p>
    <w:p>
      <w:pPr>
        <w:ind w:right="400" w:firstLine="458"/>
        <w:spacing w:after="0" w:line="212" w:lineRule="auto"/>
        <w:rPr>
          <w:sz w:val="20"/>
          <w:szCs w:val="20"/>
          <w:color w:val="auto"/>
        </w:rPr>
      </w:pPr>
      <w:r>
        <w:rPr>
          <w:rFonts w:ascii="Arial" w:cs="Arial" w:eastAsia="Arial" w:hAnsi="Arial"/>
          <w:sz w:val="21"/>
          <w:szCs w:val="21"/>
          <w:color w:val="auto"/>
          <w:vertAlign w:val="superscript"/>
        </w:rPr>
        <w:t>(2)</w:t>
      </w:r>
      <w:r>
        <w:rPr>
          <w:rFonts w:ascii="Times New Roman" w:cs="Times New Roman" w:eastAsia="Times New Roman" w:hAnsi="Times New Roman"/>
          <w:sz w:val="13"/>
          <w:szCs w:val="13"/>
          <w:color w:val="auto"/>
        </w:rPr>
        <w:t>Jochen Knolle who served as Pharvaris’ Chief Scientific Officer and Chief Operating Officer since the Company’s inception, transitioned to strategic advisor to the CEO and Executive Committee effective September 30, 2023.</w:t>
      </w:r>
    </w:p>
    <w:p>
      <w:pPr>
        <w:spacing w:after="0" w:line="82"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Unless otherwise indicated, the current business address for members of our Board and Senior Management is Pharvaris N.V., Emmy Noetherweg 2, 2333 BK Leiden, The Netherlands.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brief summary of the business experience of our Board and Senior Management.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Berndt Modig</w:t>
      </w:r>
    </w:p>
    <w:p>
      <w:pPr>
        <w:spacing w:after="0" w:line="189"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39" w:lineRule="exact"/>
        <w:rPr>
          <w:sz w:val="20"/>
          <w:szCs w:val="20"/>
          <w:color w:val="auto"/>
        </w:rPr>
      </w:pPr>
    </w:p>
    <w:p>
      <w:pPr>
        <w:ind w:right="280" w:firstLine="458"/>
        <w:spacing w:after="0" w:line="283" w:lineRule="auto"/>
        <w:rPr>
          <w:sz w:val="20"/>
          <w:szCs w:val="20"/>
          <w:color w:val="auto"/>
        </w:rPr>
      </w:pPr>
      <w:r>
        <w:rPr>
          <w:rFonts w:ascii="Arial" w:cs="Arial" w:eastAsia="Arial" w:hAnsi="Arial"/>
          <w:sz w:val="16"/>
          <w:szCs w:val="16"/>
          <w:color w:val="auto"/>
        </w:rPr>
        <w:t>Mr. Modig received a bachelor’s degree in business administration, economics and German from the University of Lund, Sweden, and an MBA from INSEAD, Fontainebleau, France.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(Nasdaq: RNA), a biopharmaceutical company focusing on novel RNA modulating treatments for rare diseases including Duchenne muscular dystrophy.</w:t>
      </w:r>
    </w:p>
    <w:p>
      <w:pPr>
        <w:spacing w:after="0" w:line="162"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a Board Member of Vicore Pharma (STO: VICO) and Organon Benelux and is Chairman of the Board of Microbiotica and Complix. Finally, he is a member of the Top Team of the Dutch Top Sector Life Sciences &amp; Health. Previously, he served on the boards of Sobi (STO: SOBI), Hansa Biopharma (STO: HNSA), Wilson Therapeutics (STO: WTX) (acquired by Alexion), Therachon (acquired by Pfizer), VectivBio (Nasdaq: VECT) (acquired by IronWood), Asceneuron and InteRNA. Mr. Schikan has a Pharm.D. degree from Utrecht University.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89"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41" w:lineRule="exact"/>
        <w:rPr>
          <w:sz w:val="20"/>
          <w:szCs w:val="20"/>
          <w:color w:val="auto"/>
        </w:rPr>
      </w:pPr>
    </w:p>
    <w:p>
      <w:pPr>
        <w:ind w:right="300" w:firstLine="458"/>
        <w:spacing w:after="0" w:line="283"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89"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Dr. Glassman has been a director since January 2021. Since July 2022, Dr. Glassman served as the Executive Vice President, Search &amp; Evaluation at Enavate Sciences, a $600M private equity fund that is a subsidiary of Patient Square Capital. Dr. Glassman also serves as a board member for Umoja, Portage Biotech and Jubilant.</w:t>
      </w:r>
    </w:p>
    <w:p>
      <w:pPr>
        <w:spacing w:after="0" w:line="130"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Dr. Glassman is an industry veteran with nearly 30 years of healthcare leadership and investment experience. Most recently, he was a venture partner in public equity at OrbiMed Advisors, returning to the firm after serving as a private equity partner. Previously, he worked as a senior investment banking professional for over seventeen years across Credit Suisse, Merrill Lynch, Bank of America, most recently serving as Vice Chairman of the Global Health Care Investment Banking division at Credit Suisse. Earlier in his career, Dr. Glassman oversaw healthcare investments at Merrill Lynch Global Private Equity and was a consultant within McKinsey &amp; Company’s Pharmaceutical and Medical Products practice. Dr. Glassman was a board-certified hematologist-oncologist and remains on the faculty of Weill Cornell as a Clinical Assistant Professor of Medicine. He also spent several years as a basic science investigator at Rockefeller University in the laboratory of Hidesaburo Hanafusa, where he received Howard Hughes Medical Institute and American Cancer Society awards. Dr. Glassman earned his A.B. from Harvard College and an M.D. from Harvard Medical School.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54" w:lineRule="exact"/>
        <w:rPr>
          <w:sz w:val="20"/>
          <w:szCs w:val="20"/>
          <w:color w:val="auto"/>
        </w:rPr>
      </w:pPr>
    </w:p>
    <w:p>
      <w:pPr>
        <w:ind w:firstLine="458"/>
        <w:spacing w:after="0" w:line="267"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the Senior Vice President, Head of Late-stage Development, Cardiovascular, Renal and Metabolism (CVRM), BioPharmaceuticals R&amp;D at AstraZeneca and has lead the global development of medicines within this area for over 10 years. Throughout her career at AstraZeneca which began in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Chalmers Ventures AB, Bj</w:t>
      </w:r>
      <w:r>
        <w:rPr>
          <w:rFonts w:ascii="Arial" w:cs="Arial" w:eastAsia="Arial" w:hAnsi="Arial"/>
          <w:sz w:val="16"/>
          <w:szCs w:val="16"/>
          <w:color w:val="auto"/>
        </w:rPr>
        <w:t>ӧ</w:t>
      </w:r>
      <w:r>
        <w:rPr>
          <w:rFonts w:ascii="Arial" w:cs="Arial" w:eastAsia="Arial" w:hAnsi="Arial"/>
          <w:sz w:val="16"/>
          <w:szCs w:val="16"/>
          <w:color w:val="auto"/>
        </w:rPr>
        <w:t>rks Matematik o Mera AB, rfidcompare europe AB, and Calliditas.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7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Ms. Monges has been a director since July 2021 and serves as the Chair of the Audit Committee. She currently also serves as Chair of the Board of Directors of Euroapi and is a Board member of Ferring Pharmaceuticals. She also serves as a non-executive director at ADC Therapeutics, and Novo Holdings. Prior to these roles, Ms. Monges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management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Peng Lu, M.D., Ph.D</w:t>
      </w:r>
      <w:r>
        <w:rPr>
          <w:rFonts w:ascii="Arial" w:cs="Arial" w:eastAsia="Arial" w:hAnsi="Arial"/>
          <w:sz w:val="16"/>
          <w:szCs w:val="16"/>
          <w:color w:val="auto"/>
        </w:rPr>
        <w:t>.</w:t>
      </w:r>
    </w:p>
    <w:p>
      <w:pPr>
        <w:spacing w:after="0" w:line="178"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Dr. Lu joined the Company in 2020, bringing 15 years of protein therapeutics and small molecule drug development experience including within genetic rare diseases.</w:t>
      </w:r>
    </w:p>
    <w:p>
      <w:pPr>
        <w:spacing w:after="0" w:line="129" w:lineRule="exact"/>
        <w:rPr>
          <w:sz w:val="20"/>
          <w:szCs w:val="20"/>
          <w:color w:val="auto"/>
        </w:rPr>
      </w:pPr>
    </w:p>
    <w:p>
      <w:pPr>
        <w:ind w:right="200" w:firstLine="458"/>
        <w:spacing w:after="0" w:line="257" w:lineRule="auto"/>
        <w:rPr>
          <w:sz w:val="20"/>
          <w:szCs w:val="20"/>
          <w:color w:val="auto"/>
        </w:rPr>
      </w:pPr>
      <w:r>
        <w:rPr>
          <w:rFonts w:ascii="Arial" w:cs="Arial" w:eastAsia="Arial" w:hAnsi="Arial"/>
          <w:sz w:val="16"/>
          <w:szCs w:val="16"/>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37"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Lesage, Ph.D.</w:t>
      </w:r>
    </w:p>
    <w:p>
      <w:pPr>
        <w:spacing w:after="0" w:line="189"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Dr. Lesage co-founded Pharvaris and has led the translational science, preclinical and non-clinical development since its inception. Dr. Lesage has over 30 years’ experience in drug discovery, preclinical and early development.</w:t>
      </w:r>
    </w:p>
    <w:p>
      <w:pPr>
        <w:spacing w:after="0" w:line="116"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Dr. Lesage held different leadership positions with increasing responsibility in the neuroscience drug discovery unit at Johnson &amp; Johnson. By 2010, Dr. Lesage served as the biology head of psychiatry. Dr. Lesage is an inventor on 9 patents and an author of 45 publications. Dr. Lesage founded GrayMatters Consulting in 2010 and advised early and late-stage biotech companies, venture capital organizations, and government agencies and initiatives. In 2013, Dr. Lesage co-founded Kosa Pharma.</w:t>
      </w:r>
    </w:p>
    <w:p>
      <w:pPr>
        <w:spacing w:after="0" w:line="137" w:lineRule="exact"/>
        <w:rPr>
          <w:sz w:val="20"/>
          <w:szCs w:val="20"/>
          <w:color w:val="auto"/>
        </w:rPr>
      </w:pPr>
    </w:p>
    <w:p>
      <w:pPr>
        <w:jc w:val="both"/>
        <w:ind w:right="140" w:firstLine="458"/>
        <w:spacing w:after="0" w:line="264" w:lineRule="auto"/>
        <w:rPr>
          <w:sz w:val="20"/>
          <w:szCs w:val="20"/>
          <w:color w:val="auto"/>
        </w:rPr>
      </w:pPr>
      <w:r>
        <w:rPr>
          <w:rFonts w:ascii="Arial" w:cs="Arial" w:eastAsia="Arial" w:hAnsi="Arial"/>
          <w:sz w:val="16"/>
          <w:szCs w:val="16"/>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Morgan Conn, Ph.D.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 Conn joined the Company in 2017 and has over 20 years of experience in the biopharmaceutical industry.</w:t>
      </w:r>
    </w:p>
    <w:p>
      <w:pPr>
        <w:spacing w:after="0" w:line="178"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Previously, Dr. Conn worked at PTC Therapeutics from 2001-2017, initially in Research and subsequently helping to build the Business Development function, holding positions of increasing responsibility including global head and Vice President, Business Development. During this time, Dr. Conn was instrumental to all corporate transactions, including collaborations, licenses, and acquisitions with leading pharma, biotech, and academic organizations, and supported private and public financing events behind the company’s growth from a discovery organization to a global commercial entity. Dr. Conn’s portfolio includes transactions and financings supporting three rare pediatric neuromuscular medicines now commercialized: TRANSLARNA (ataluren), EMFLAZA (deflazacort), and EVRYSDI (risdiplam). In 2017, Dr. Conn founded CallisBio, a consulting firm offering strategic and implementation services in biopharma business and corporate development including transactions and financing.</w:t>
      </w:r>
    </w:p>
    <w:p>
      <w:pPr>
        <w:spacing w:after="0" w:line="154"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pre-doctoral fellow; and, studied as a post-doctoral Research Fellow of the Miller Institute for Basic Research in Science at the University of California, Berkeley.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Anna Nijdam, MSc RA</w:t>
      </w:r>
    </w:p>
    <w:p>
      <w:pPr>
        <w:spacing w:after="0" w:line="17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treasurer at the Entrepreneurs Foundation and previously served as member of the Associations Audit Committee of Hockey Club Rotterdam and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Wim Souverijns, Ph.D.</w:t>
      </w:r>
    </w:p>
    <w:p>
      <w:pPr>
        <w:spacing w:after="0" w:line="176" w:lineRule="exact"/>
        <w:rPr>
          <w:sz w:val="20"/>
          <w:szCs w:val="20"/>
          <w:color w:val="auto"/>
        </w:rPr>
      </w:pPr>
    </w:p>
    <w:p>
      <w:pPr>
        <w:ind w:right="340" w:firstLine="458"/>
        <w:spacing w:after="0" w:line="283" w:lineRule="auto"/>
        <w:rPr>
          <w:sz w:val="20"/>
          <w:szCs w:val="20"/>
          <w:color w:val="auto"/>
        </w:rPr>
      </w:pPr>
      <w:r>
        <w:rPr>
          <w:rFonts w:ascii="Arial" w:cs="Arial" w:eastAsia="Arial" w:hAnsi="Arial"/>
          <w:sz w:val="16"/>
          <w:szCs w:val="16"/>
          <w:color w:val="auto"/>
        </w:rPr>
        <w:t>Dr. Souverijns joined the Company in July 2021 with over 25 years of experience in pharmaceutical portfolio strategic and operational leadership at ObsEva, Celgene, and Amgen.</w:t>
      </w:r>
    </w:p>
    <w:p>
      <w:pPr>
        <w:spacing w:after="0" w:line="11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Dr. Souverijns joined the Company from his most recent position as the Chief Commercial Officer at ObsEva where he was responsible for the commercialization of its women’s health product portfolio. Prior to joining ObsEva, he spent 11 years at Celgene where he contributed to the successful build out of the product portfolio in diverse strategic and operational leadership roles. He developed a broad pharmaceutical background through various international assignments at PwC Consulting and in different market access roles at Amgen, both at the European and global level. Dr. Souverijns holds a degree in bio-engineering from the KU Leuven, Belgium, and obtained a Ph.D. from the same institute.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Joan Schmidt, J.D.</w:t>
      </w:r>
    </w:p>
    <w:p>
      <w:pPr>
        <w:spacing w:after="0" w:line="176"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Ms. Schmidt joined Pharvaris in June 2022 and brings more than 20 years of leadership experience in compliance, intellectual property, litigation, governance, and people management within the biopharmaceutical industry. Most recently, she served as the Executive Vice President, General Counsel and Secretary at Arena Pharmaceuticals where, as a member of the executive team, she developed and implemented company strategy, and scaled and strengthened the legal, compliance, and intellectual property functions prior to the company’s acquisition by Pfizer in March 2022 for approximately $6.7 billion. Prior to Arena, Ms. Schmidt served as General Counsel at DBV Technologies and as U.S. General Counsel and Head of Human Resources at Biotronik. Earlier, Ms. Schmidt had positions of increasing responsibility at Novo Nordisk, both in the U.S. and Europe, most recently as Corporate Vice President responsible for global transactions, litigation, and trademarks. Ms. Schmidt earned her J.D. from Elizabeth Haub School of Law at Pace University and obtained a B.A. from the University of Connecticut.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Annick Deschoolmeester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Ms. Deschoolmeester joined Pharvaris in September 2021 and currently serves as the Chief Human Resources Officer with over 25 years of experience in human resources across various industries, including in management consulting and international talent management in the biotech and pharmaceutical industries. Before joining Pharvaris, she served as Global Head of Learning &amp; Talent and as HR Business Leader, Plasma Derived Therapies, with Takeda Pharmaceuticals. Prior to that, Ms. Deschoolmeester developed a broad human resources background, working in human resources leadership roles at European, international, and global levels with companies such as Shire Pharmaceuticals, Allergan, Yahoo, and PricewaterhouseCoopers. She holds a master’s degree in Interpreting from the Provincial Hogeschool voor Vertalers &amp; Tolken in Gent, Belgium.</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Stefan Abele, Ph.D.</w:t>
      </w:r>
    </w:p>
    <w:p>
      <w:pPr>
        <w:spacing w:after="0" w:line="176"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Dr. Abele joined Pharvaris in November 2023 and currently serves as Chief Technical Operations Officer. In this role, he is responsible for all chemistry, manufacturing, and controls (CMC) activities, supply chain, and program management as Pharvaris progresses into late-stage clinical development. Dr. Abele joined Pharvaris with more than 20 years of experience in process development, end-to-end Active Pharmaceutical Ingredients (API) supply chain, cross-functional CMC activities, GMP manufacturing, global vendor management, and people leadership.</w:t>
      </w:r>
    </w:p>
    <w:p>
      <w:pPr>
        <w:spacing w:after="0" w:line="137"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Previously, Dr. Abele served as the Senior Vice President, Chemical Development and Commercial Manufacturing at Idorsia Pharmaceuticals, where he and his team were responsible for the API development and manufacturing of QUVIVIQ (daridorexant), PIVLAZ (clazosentan), and aprocitentan. Prior to Idorsia, Dr. Abele worked at Actelion Pharmaceuticals where he established and grew the fully integrated Chemistry Process R&amp;D department. Earlier, he held positions of growing responsibility at Carbogen-Amcis, including as Head of Production and as a manager of teams in R&amp;D and GMP manufacturing of APIs for global pharma companies. Dr. Abele holds a Diploma in Chemistry from the University of Konstanz and a Ph.D. in Synthetic Organic Chemistry from the ETH Zurich.</w:t>
      </w:r>
    </w:p>
    <w:p>
      <w:pPr>
        <w:spacing w:after="0" w:line="155" w:lineRule="exact"/>
        <w:rPr>
          <w:sz w:val="20"/>
          <w:szCs w:val="20"/>
          <w:color w:val="auto"/>
        </w:rPr>
      </w:pPr>
    </w:p>
    <w:p>
      <w:pPr>
        <w:ind w:left="920" w:hanging="463"/>
        <w:spacing w:after="0"/>
        <w:tabs>
          <w:tab w:leader="none" w:pos="92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Other Benefits of Members of Our Board</w:t>
      </w:r>
    </w:p>
    <w:p>
      <w:pPr>
        <w:spacing w:after="0" w:line="178"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at our general meeting by a simple majority of votes cast. Such a proposal must set out at least the maximum number of shares or rights to subscribe for shares to be granted to the directors and the criteria for granting or amendment.</w:t>
      </w:r>
    </w:p>
    <w:p>
      <w:pPr>
        <w:spacing w:after="0" w:line="154"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Our compensation policy authorizes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of our Board and Senior Management</w:t>
      </w:r>
    </w:p>
    <w:p>
      <w:pPr>
        <w:spacing w:after="0" w:line="178" w:lineRule="exact"/>
        <w:rPr>
          <w:sz w:val="20"/>
          <w:szCs w:val="20"/>
          <w:color w:val="auto"/>
        </w:rPr>
      </w:pPr>
    </w:p>
    <w:p>
      <w:pPr>
        <w:ind w:right="380" w:firstLine="458"/>
        <w:spacing w:after="0" w:line="264" w:lineRule="auto"/>
        <w:rPr>
          <w:sz w:val="20"/>
          <w:szCs w:val="20"/>
          <w:color w:val="auto"/>
        </w:rPr>
      </w:pPr>
      <w:r>
        <w:rPr>
          <w:rFonts w:ascii="Arial" w:cs="Arial" w:eastAsia="Arial" w:hAnsi="Arial"/>
          <w:sz w:val="16"/>
          <w:szCs w:val="16"/>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w:t>
      </w:r>
    </w:p>
    <w:p>
      <w:pPr>
        <w:spacing w:after="0" w:line="144" w:lineRule="exact"/>
        <w:rPr>
          <w:sz w:val="20"/>
          <w:szCs w:val="20"/>
          <w:color w:val="auto"/>
        </w:rPr>
      </w:pPr>
    </w:p>
    <w:p>
      <w:pPr>
        <w:jc w:val="both"/>
        <w:ind w:right="300" w:firstLine="458"/>
        <w:spacing w:after="0" w:line="264" w:lineRule="auto"/>
        <w:rPr>
          <w:sz w:val="20"/>
          <w:szCs w:val="20"/>
          <w:color w:val="auto"/>
        </w:rPr>
      </w:pPr>
      <w:r>
        <w:rPr>
          <w:rFonts w:ascii="Arial" w:cs="Arial" w:eastAsia="Arial" w:hAnsi="Arial"/>
          <w:sz w:val="16"/>
          <w:szCs w:val="16"/>
          <w:color w:val="auto"/>
        </w:rPr>
        <w:t>The aggregate compensation, including benefits in kind, accrued or paid to members of our Board and Senior Management with respect to the year ended December 31, 2023 for services in all capacities was approximately €12.5 million. For the year ended December 31, 2023, we paid Mr. Modig, our Chief Executive Officer and Executive Director, €0.9 million in compensation and benefits in kind.</w:t>
      </w:r>
    </w:p>
    <w:p>
      <w:pPr>
        <w:spacing w:after="0" w:line="130"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The table below shows the aggregate compensation, including benefits in kind, accrued or paid to individual members of the Board for the year ended December 31, 2023 in such capacity.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2"/>
              <w:spacing w:after="0"/>
              <w:rPr>
                <w:sz w:val="20"/>
                <w:szCs w:val="20"/>
                <w:color w:val="auto"/>
              </w:rPr>
            </w:pPr>
            <w:r>
              <w:rPr>
                <w:rFonts w:ascii="Arial" w:cs="Arial" w:eastAsia="Arial" w:hAnsi="Arial"/>
                <w:sz w:val="13"/>
                <w:szCs w:val="13"/>
                <w:b w:val="1"/>
                <w:bCs w:val="1"/>
                <w:color w:val="auto"/>
                <w:w w:val="99"/>
              </w:rPr>
              <w:t>Base salary</w:t>
            </w:r>
          </w:p>
        </w:tc>
        <w:tc>
          <w:tcPr>
            <w:tcW w:w="20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remuneration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Modig</w:t>
            </w:r>
          </w:p>
        </w:tc>
        <w:tc>
          <w:tcPr>
            <w:tcW w:w="25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532,000</w:t>
            </w: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935,284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Dr. Glassman</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50,500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Meeker</w:t>
            </w:r>
          </w:p>
        </w:tc>
        <w:tc>
          <w:tcPr>
            <w:tcW w:w="2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94,000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Mr. Schikan</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61,000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Monges</w:t>
            </w:r>
          </w:p>
        </w:tc>
        <w:tc>
          <w:tcPr>
            <w:tcW w:w="2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62,500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Dr. de Jonge Schuermans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31,500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Björk</w:t>
            </w:r>
          </w:p>
        </w:tc>
        <w:tc>
          <w:tcPr>
            <w:tcW w:w="2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2560" w:type="dxa"/>
            <w:vAlign w:val="bottom"/>
            <w:vMerge w:val="restart"/>
          </w:tcPr>
          <w:p>
            <w:pPr>
              <w:jc w:val="right"/>
              <w:ind w:right="1320"/>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2023 in such capacity.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60" w:type="dxa"/>
            <w:vAlign w:val="bottom"/>
          </w:tcPr>
          <w:p>
            <w:pPr>
              <w:jc w:val="right"/>
              <w:ind w:right="144"/>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04"/>
              <w:spacing w:after="0"/>
              <w:rPr>
                <w:sz w:val="20"/>
                <w:szCs w:val="20"/>
                <w:color w:val="auto"/>
              </w:rPr>
            </w:pPr>
            <w:r>
              <w:rPr>
                <w:rFonts w:ascii="Arial" w:cs="Arial" w:eastAsia="Arial" w:hAnsi="Arial"/>
                <w:sz w:val="13"/>
                <w:szCs w:val="13"/>
                <w:b w:val="1"/>
                <w:bCs w:val="1"/>
                <w:color w:val="auto"/>
              </w:rPr>
              <w:t>Exercise</w:t>
            </w:r>
          </w:p>
        </w:tc>
        <w:tc>
          <w:tcPr>
            <w:tcW w:w="180" w:type="dxa"/>
            <w:vAlign w:val="bottom"/>
          </w:tcPr>
          <w:p>
            <w:pPr>
              <w:spacing w:after="0"/>
              <w:rPr>
                <w:sz w:val="13"/>
                <w:szCs w:val="13"/>
                <w:color w:val="auto"/>
              </w:rPr>
            </w:pPr>
          </w:p>
        </w:tc>
        <w:tc>
          <w:tcPr>
            <w:tcW w:w="1340" w:type="dxa"/>
            <w:vAlign w:val="bottom"/>
          </w:tcPr>
          <w:p>
            <w:pPr>
              <w:ind w:left="360"/>
              <w:spacing w:after="0"/>
              <w:rPr>
                <w:sz w:val="20"/>
                <w:szCs w:val="20"/>
                <w:color w:val="auto"/>
              </w:rPr>
            </w:pPr>
            <w:r>
              <w:rPr>
                <w:rFonts w:ascii="Arial" w:cs="Arial" w:eastAsia="Arial" w:hAnsi="Arial"/>
                <w:sz w:val="13"/>
                <w:szCs w:val="13"/>
                <w:b w:val="1"/>
                <w:bCs w:val="1"/>
                <w:color w:val="auto"/>
              </w:rPr>
              <w:t>Expiration</w:t>
            </w:r>
          </w:p>
        </w:tc>
      </w:tr>
      <w:tr>
        <w:trPr>
          <w:trHeight w:val="165"/>
        </w:trPr>
        <w:tc>
          <w:tcPr>
            <w:tcW w:w="5140" w:type="dxa"/>
            <w:vAlign w:val="bottom"/>
          </w:tcPr>
          <w:p>
            <w:pPr>
              <w:spacing w:after="0"/>
              <w:rPr>
                <w:sz w:val="14"/>
                <w:szCs w:val="14"/>
                <w:color w:val="auto"/>
              </w:rPr>
            </w:pPr>
          </w:p>
        </w:tc>
        <w:tc>
          <w:tcPr>
            <w:tcW w:w="106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Price</w:t>
            </w:r>
          </w:p>
        </w:tc>
        <w:tc>
          <w:tcPr>
            <w:tcW w:w="180" w:type="dxa"/>
            <w:vAlign w:val="bottom"/>
          </w:tcPr>
          <w:p>
            <w:pPr>
              <w:spacing w:after="0"/>
              <w:rPr>
                <w:sz w:val="14"/>
                <w:szCs w:val="14"/>
                <w:color w:val="auto"/>
              </w:rPr>
            </w:pPr>
          </w:p>
        </w:tc>
        <w:tc>
          <w:tcPr>
            <w:tcW w:w="134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Date</w:t>
            </w:r>
          </w:p>
        </w:tc>
      </w:tr>
      <w:tr>
        <w:trPr>
          <w:trHeight w:val="20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April 6, 2033</w:t>
            </w:r>
          </w:p>
        </w:tc>
      </w:tr>
      <w:tr>
        <w:trPr>
          <w:trHeight w:val="214"/>
        </w:trPr>
        <w:tc>
          <w:tcPr>
            <w:tcW w:w="5140" w:type="dxa"/>
            <w:vAlign w:val="bottom"/>
          </w:tcPr>
          <w:p>
            <w:pPr>
              <w:spacing w:after="0"/>
              <w:rPr>
                <w:sz w:val="20"/>
                <w:szCs w:val="20"/>
                <w:color w:val="auto"/>
              </w:rPr>
            </w:pPr>
            <w:r>
              <w:rPr>
                <w:rFonts w:ascii="Arial" w:cs="Arial" w:eastAsia="Arial" w:hAnsi="Arial"/>
                <w:sz w:val="16"/>
                <w:szCs w:val="16"/>
                <w:color w:val="auto"/>
              </w:rPr>
              <w:t>Dr. Glassman</w:t>
            </w:r>
          </w:p>
        </w:tc>
        <w:tc>
          <w:tcPr>
            <w:tcW w:w="1060" w:type="dxa"/>
            <w:vAlign w:val="bottom"/>
          </w:tcPr>
          <w:p>
            <w:pPr>
              <w:jc w:val="right"/>
              <w:spacing w:after="0"/>
              <w:rPr>
                <w:sz w:val="20"/>
                <w:szCs w:val="20"/>
                <w:color w:val="auto"/>
              </w:rPr>
            </w:pPr>
            <w:r>
              <w:rPr>
                <w:rFonts w:ascii="Arial" w:cs="Arial" w:eastAsia="Arial" w:hAnsi="Arial"/>
                <w:sz w:val="16"/>
                <w:szCs w:val="16"/>
                <w:color w:val="auto"/>
              </w:rPr>
              <w:t>21,000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Pr>
          <w:p>
            <w:pPr>
              <w:spacing w:after="0"/>
              <w:rPr>
                <w:sz w:val="18"/>
                <w:szCs w:val="18"/>
                <w:color w:val="auto"/>
              </w:rPr>
            </w:pPr>
          </w:p>
        </w:tc>
        <w:tc>
          <w:tcPr>
            <w:tcW w:w="1340" w:type="dxa"/>
            <w:vAlign w:val="bottom"/>
          </w:tcPr>
          <w:p>
            <w:pPr>
              <w:ind w:left="420"/>
              <w:spacing w:after="0"/>
              <w:rPr>
                <w:sz w:val="20"/>
                <w:szCs w:val="20"/>
                <w:color w:val="auto"/>
              </w:rPr>
            </w:pPr>
            <w:r>
              <w:rPr>
                <w:rFonts w:ascii="Arial" w:cs="Arial" w:eastAsia="Arial" w:hAnsi="Arial"/>
                <w:sz w:val="16"/>
                <w:szCs w:val="16"/>
                <w:color w:val="auto"/>
              </w:rPr>
              <w:t>April 6, 2033</w:t>
            </w: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April 6, 2033</w:t>
            </w:r>
          </w:p>
        </w:tc>
      </w:tr>
      <w:tr>
        <w:trPr>
          <w:trHeight w:val="214"/>
        </w:trPr>
        <w:tc>
          <w:tcPr>
            <w:tcW w:w="5140" w:type="dxa"/>
            <w:vAlign w:val="bottom"/>
          </w:tcPr>
          <w:p>
            <w:pPr>
              <w:spacing w:after="0"/>
              <w:rPr>
                <w:sz w:val="20"/>
                <w:szCs w:val="20"/>
                <w:color w:val="auto"/>
              </w:rPr>
            </w:pPr>
            <w:r>
              <w:rPr>
                <w:rFonts w:ascii="Arial" w:cs="Arial" w:eastAsia="Arial" w:hAnsi="Arial"/>
                <w:sz w:val="16"/>
                <w:szCs w:val="16"/>
                <w:color w:val="auto"/>
              </w:rPr>
              <w:t>Mr. Schikan</w:t>
            </w:r>
          </w:p>
        </w:tc>
        <w:tc>
          <w:tcPr>
            <w:tcW w:w="1060" w:type="dxa"/>
            <w:vAlign w:val="bottom"/>
          </w:tcPr>
          <w:p>
            <w:pPr>
              <w:jc w:val="right"/>
              <w:spacing w:after="0"/>
              <w:rPr>
                <w:sz w:val="20"/>
                <w:szCs w:val="20"/>
                <w:color w:val="auto"/>
              </w:rPr>
            </w:pPr>
            <w:r>
              <w:rPr>
                <w:rFonts w:ascii="Arial" w:cs="Arial" w:eastAsia="Arial" w:hAnsi="Arial"/>
                <w:sz w:val="16"/>
                <w:szCs w:val="16"/>
                <w:color w:val="auto"/>
              </w:rPr>
              <w:t>21,000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Pr>
          <w:p>
            <w:pPr>
              <w:spacing w:after="0"/>
              <w:rPr>
                <w:sz w:val="18"/>
                <w:szCs w:val="18"/>
                <w:color w:val="auto"/>
              </w:rPr>
            </w:pPr>
          </w:p>
        </w:tc>
        <w:tc>
          <w:tcPr>
            <w:tcW w:w="1340" w:type="dxa"/>
            <w:vAlign w:val="bottom"/>
          </w:tcPr>
          <w:p>
            <w:pPr>
              <w:ind w:left="420"/>
              <w:spacing w:after="0"/>
              <w:rPr>
                <w:sz w:val="20"/>
                <w:szCs w:val="20"/>
                <w:color w:val="auto"/>
              </w:rPr>
            </w:pPr>
            <w:r>
              <w:rPr>
                <w:rFonts w:ascii="Arial" w:cs="Arial" w:eastAsia="Arial" w:hAnsi="Arial"/>
                <w:sz w:val="16"/>
                <w:szCs w:val="16"/>
                <w:color w:val="auto"/>
              </w:rPr>
              <w:t>April 6, 2033</w:t>
            </w: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April 6, 2033</w:t>
            </w:r>
          </w:p>
        </w:tc>
      </w:tr>
      <w:tr>
        <w:trPr>
          <w:trHeight w:val="214"/>
        </w:trPr>
        <w:tc>
          <w:tcPr>
            <w:tcW w:w="5140" w:type="dxa"/>
            <w:vAlign w:val="bottom"/>
          </w:tcPr>
          <w:p>
            <w:pPr>
              <w:spacing w:after="0"/>
              <w:rPr>
                <w:sz w:val="20"/>
                <w:szCs w:val="20"/>
                <w:color w:val="auto"/>
              </w:rPr>
            </w:pPr>
            <w:r>
              <w:rPr>
                <w:rFonts w:ascii="Arial" w:cs="Arial" w:eastAsia="Arial" w:hAnsi="Arial"/>
                <w:sz w:val="16"/>
                <w:szCs w:val="16"/>
                <w:color w:val="auto"/>
              </w:rPr>
              <w:t>Dr. De Jonge Schuermans*</w:t>
            </w:r>
          </w:p>
        </w:tc>
        <w:tc>
          <w:tcPr>
            <w:tcW w:w="1060" w:type="dxa"/>
            <w:vAlign w:val="bottom"/>
          </w:tcPr>
          <w:p>
            <w:pPr>
              <w:jc w:val="right"/>
              <w:spacing w:after="0"/>
              <w:rPr>
                <w:sz w:val="20"/>
                <w:szCs w:val="20"/>
                <w:color w:val="auto"/>
              </w:rPr>
            </w:pPr>
            <w:r>
              <w:rPr>
                <w:rFonts w:ascii="Arial" w:cs="Arial" w:eastAsia="Arial" w:hAnsi="Arial"/>
                <w:sz w:val="16"/>
                <w:szCs w:val="16"/>
                <w:color w:val="auto"/>
              </w:rPr>
              <w:t>21,000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8.05</w:t>
            </w:r>
          </w:p>
        </w:tc>
        <w:tc>
          <w:tcPr>
            <w:tcW w:w="180" w:type="dxa"/>
            <w:vAlign w:val="bottom"/>
          </w:tcPr>
          <w:p>
            <w:pPr>
              <w:spacing w:after="0"/>
              <w:rPr>
                <w:sz w:val="18"/>
                <w:szCs w:val="18"/>
                <w:color w:val="auto"/>
              </w:rPr>
            </w:pPr>
          </w:p>
        </w:tc>
        <w:tc>
          <w:tcPr>
            <w:tcW w:w="1340" w:type="dxa"/>
            <w:vAlign w:val="bottom"/>
          </w:tcPr>
          <w:p>
            <w:pPr>
              <w:ind w:left="420"/>
              <w:spacing w:after="0"/>
              <w:rPr>
                <w:sz w:val="20"/>
                <w:szCs w:val="20"/>
                <w:color w:val="auto"/>
              </w:rPr>
            </w:pPr>
            <w:r>
              <w:rPr>
                <w:rFonts w:ascii="Arial" w:cs="Arial" w:eastAsia="Arial" w:hAnsi="Arial"/>
                <w:sz w:val="16"/>
                <w:szCs w:val="16"/>
                <w:color w:val="auto"/>
              </w:rPr>
              <w:t>April 6, 2033</w:t>
            </w:r>
          </w:p>
        </w:tc>
      </w:tr>
      <w:tr>
        <w:trPr>
          <w:trHeight w:val="242"/>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Dr. Bj</w:t>
            </w:r>
            <w:r>
              <w:rPr>
                <w:rFonts w:ascii="Calibri" w:cs="Calibri" w:eastAsia="Calibri" w:hAnsi="Calibri"/>
                <w:sz w:val="16"/>
                <w:szCs w:val="16"/>
                <w:color w:val="auto"/>
              </w:rPr>
              <w:t>ö</w:t>
            </w:r>
            <w:r>
              <w:rPr>
                <w:rFonts w:ascii="Arial" w:cs="Arial" w:eastAsia="Arial" w:hAnsi="Arial"/>
                <w:sz w:val="16"/>
                <w:szCs w:val="16"/>
                <w:color w:val="auto"/>
              </w:rPr>
              <w:t>rk</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April 6, 2033</w:t>
            </w: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*Dr. De Jonge Schuermans stepped down from her position as Member of the Board effective July 1, 2023.</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Share Ownership of our Board and Senior Management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share ownership of our Board and Senior Management as of April 1, 2024.</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80" w:type="dxa"/>
            <w:vAlign w:val="bottom"/>
          </w:tcPr>
          <w:p>
            <w:pPr>
              <w:spacing w:after="0"/>
              <w:rPr>
                <w:sz w:val="13"/>
                <w:szCs w:val="13"/>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Percentage</w:t>
            </w:r>
          </w:p>
        </w:tc>
      </w:tr>
      <w:tr>
        <w:trPr>
          <w:trHeight w:val="159"/>
        </w:trPr>
        <w:tc>
          <w:tcPr>
            <w:tcW w:w="61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5"/>
              </w:rPr>
              <w:t>Ordinary</w:t>
            </w:r>
          </w:p>
        </w:tc>
        <w:tc>
          <w:tcPr>
            <w:tcW w:w="180" w:type="dxa"/>
            <w:vAlign w:val="bottom"/>
          </w:tcPr>
          <w:p>
            <w:pPr>
              <w:spacing w:after="0"/>
              <w:rPr>
                <w:sz w:val="13"/>
                <w:szCs w:val="13"/>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of Shares</w:t>
            </w:r>
          </w:p>
        </w:tc>
      </w:tr>
      <w:tr>
        <w:trPr>
          <w:trHeight w:val="168"/>
        </w:trPr>
        <w:tc>
          <w:tcPr>
            <w:tcW w:w="6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xml:space="preserve">Shares </w:t>
            </w:r>
            <w:r>
              <w:rPr>
                <w:rFonts w:ascii="Times New Roman" w:cs="Times New Roman" w:eastAsia="Times New Roman" w:hAnsi="Times New Roman"/>
                <w:sz w:val="13"/>
                <w:szCs w:val="13"/>
                <w:b w:val="1"/>
                <w:bCs w:val="1"/>
                <w:color w:val="auto"/>
                <w:w w:val="94"/>
              </w:rPr>
              <w:t>³</w:t>
            </w:r>
          </w:p>
        </w:tc>
        <w:tc>
          <w:tcPr>
            <w:tcW w:w="1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160" w:type="dxa"/>
            <w:vAlign w:val="bottom"/>
            <w:gridSpan w:val="2"/>
          </w:tcPr>
          <w:p>
            <w:pPr>
              <w:spacing w:after="0"/>
              <w:rPr>
                <w:sz w:val="14"/>
                <w:szCs w:val="14"/>
                <w:color w:val="auto"/>
              </w:rPr>
            </w:pPr>
          </w:p>
        </w:tc>
      </w:tr>
      <w:tr>
        <w:trPr>
          <w:trHeight w:val="220"/>
        </w:trPr>
        <w:tc>
          <w:tcPr>
            <w:tcW w:w="6140" w:type="dxa"/>
            <w:vAlign w:val="bottom"/>
          </w:tcPr>
          <w:p>
            <w:pPr>
              <w:spacing w:after="0"/>
              <w:rPr>
                <w:sz w:val="20"/>
                <w:szCs w:val="20"/>
                <w:color w:val="auto"/>
              </w:rPr>
            </w:pPr>
            <w:r>
              <w:rPr>
                <w:rFonts w:ascii="Arial" w:cs="Arial" w:eastAsia="Arial" w:hAnsi="Arial"/>
                <w:sz w:val="16"/>
                <w:szCs w:val="16"/>
                <w:color w:val="auto"/>
              </w:rPr>
              <w:t>Mr. Modig</w:t>
            </w:r>
            <w:r>
              <w:rPr>
                <w:rFonts w:ascii="Times New Roman" w:cs="Times New Roman" w:eastAsia="Times New Roman" w:hAnsi="Times New Roman"/>
                <w:sz w:val="16"/>
                <w:szCs w:val="16"/>
                <w:color w:val="auto"/>
              </w:rPr>
              <w:t>¹</w:t>
            </w:r>
          </w:p>
        </w:tc>
        <w:tc>
          <w:tcPr>
            <w:tcW w:w="1300" w:type="dxa"/>
            <w:vAlign w:val="bottom"/>
          </w:tcPr>
          <w:p>
            <w:pPr>
              <w:jc w:val="right"/>
              <w:spacing w:after="0"/>
              <w:rPr>
                <w:sz w:val="20"/>
                <w:szCs w:val="20"/>
                <w:color w:val="auto"/>
              </w:rPr>
            </w:pPr>
            <w:r>
              <w:rPr>
                <w:rFonts w:ascii="Arial" w:cs="Arial" w:eastAsia="Arial" w:hAnsi="Arial"/>
                <w:sz w:val="16"/>
                <w:szCs w:val="16"/>
                <w:color w:val="auto"/>
              </w:rPr>
              <w:t>1,150,000</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2.14 %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Knolle</w:t>
            </w:r>
          </w:p>
        </w:tc>
        <w:tc>
          <w:tcPr>
            <w:tcW w:w="1300" w:type="dxa"/>
            <w:vAlign w:val="bottom"/>
          </w:tcPr>
          <w:p>
            <w:pPr>
              <w:jc w:val="right"/>
              <w:spacing w:after="0"/>
              <w:rPr>
                <w:sz w:val="20"/>
                <w:szCs w:val="20"/>
                <w:color w:val="auto"/>
              </w:rPr>
            </w:pPr>
            <w:r>
              <w:rPr>
                <w:rFonts w:ascii="Arial" w:cs="Arial" w:eastAsia="Arial" w:hAnsi="Arial"/>
                <w:sz w:val="16"/>
                <w:szCs w:val="16"/>
                <w:color w:val="auto"/>
              </w:rPr>
              <w:t>1,200,000</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2.23 %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Mr. Schikan</w:t>
            </w:r>
          </w:p>
        </w:tc>
        <w:tc>
          <w:tcPr>
            <w:tcW w:w="1300" w:type="dxa"/>
            <w:vAlign w:val="bottom"/>
          </w:tcPr>
          <w:p>
            <w:pPr>
              <w:jc w:val="right"/>
              <w:spacing w:after="0"/>
              <w:rPr>
                <w:sz w:val="20"/>
                <w:szCs w:val="20"/>
                <w:color w:val="auto"/>
              </w:rPr>
            </w:pPr>
            <w:r>
              <w:rPr>
                <w:rFonts w:ascii="Arial" w:cs="Arial" w:eastAsia="Arial" w:hAnsi="Arial"/>
                <w:sz w:val="16"/>
                <w:szCs w:val="16"/>
                <w:color w:val="auto"/>
              </w:rPr>
              <w:t>470,000</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0.87 %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Lesage²</w:t>
            </w:r>
          </w:p>
        </w:tc>
        <w:tc>
          <w:tcPr>
            <w:tcW w:w="1300" w:type="dxa"/>
            <w:vAlign w:val="bottom"/>
          </w:tcPr>
          <w:p>
            <w:pPr>
              <w:jc w:val="right"/>
              <w:spacing w:after="0"/>
              <w:rPr>
                <w:sz w:val="20"/>
                <w:szCs w:val="20"/>
                <w:color w:val="auto"/>
              </w:rPr>
            </w:pPr>
            <w:r>
              <w:rPr>
                <w:rFonts w:ascii="Arial" w:cs="Arial" w:eastAsia="Arial" w:hAnsi="Arial"/>
                <w:sz w:val="16"/>
                <w:szCs w:val="16"/>
                <w:color w:val="auto"/>
              </w:rPr>
              <w:t>250,000</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0.46 %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Meeker</w:t>
            </w: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0.09 %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Glassman</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Dr. Björk</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Ms. Monges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Dr. de Jonge Schuermans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Lu</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Conn</w:t>
            </w:r>
          </w:p>
        </w:tc>
        <w:tc>
          <w:tcPr>
            <w:tcW w:w="1300" w:type="dxa"/>
            <w:vAlign w:val="bottom"/>
          </w:tcPr>
          <w:p>
            <w:pPr>
              <w:jc w:val="right"/>
              <w:spacing w:after="0"/>
              <w:rPr>
                <w:sz w:val="20"/>
                <w:szCs w:val="20"/>
                <w:color w:val="auto"/>
              </w:rPr>
            </w:pPr>
            <w:r>
              <w:rPr>
                <w:rFonts w:ascii="Arial" w:cs="Arial" w:eastAsia="Arial" w:hAnsi="Arial"/>
                <w:sz w:val="16"/>
                <w:szCs w:val="16"/>
                <w:color w:val="auto"/>
              </w:rPr>
              <w:t>14,242</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0.03 %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Ms. Nijdam</w:t>
            </w:r>
          </w:p>
        </w:tc>
        <w:tc>
          <w:tcPr>
            <w:tcW w:w="1300" w:type="dxa"/>
            <w:vAlign w:val="bottom"/>
          </w:tcPr>
          <w:p>
            <w:pPr>
              <w:jc w:val="right"/>
              <w:spacing w:after="0"/>
              <w:rPr>
                <w:sz w:val="20"/>
                <w:szCs w:val="20"/>
                <w:color w:val="auto"/>
              </w:rPr>
            </w:pPr>
            <w:r>
              <w:rPr>
                <w:rFonts w:ascii="Arial" w:cs="Arial" w:eastAsia="Arial" w:hAnsi="Arial"/>
                <w:sz w:val="16"/>
                <w:szCs w:val="16"/>
                <w:color w:val="auto"/>
              </w:rPr>
              <w:t>14,396</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0.03 %</w:t>
            </w: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Ms. Schmidt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Ms. Deschoolmeester</w:t>
            </w:r>
          </w:p>
        </w:tc>
        <w:tc>
          <w:tcPr>
            <w:tcW w:w="1300" w:type="dxa"/>
            <w:vAlign w:val="bottom"/>
          </w:tcPr>
          <w:p>
            <w:pPr>
              <w:jc w:val="right"/>
              <w:spacing w:after="0"/>
              <w:rPr>
                <w:sz w:val="20"/>
                <w:szCs w:val="20"/>
                <w:color w:val="auto"/>
              </w:rPr>
            </w:pPr>
            <w:r>
              <w:rPr>
                <w:rFonts w:ascii="Arial" w:cs="Arial" w:eastAsia="Arial" w:hAnsi="Arial"/>
                <w:sz w:val="16"/>
                <w:szCs w:val="16"/>
                <w:color w:val="auto"/>
              </w:rPr>
              <w:t>17,845</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0.03 %</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Dr. Abele</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-2186305</wp:posOffset>
            </wp:positionV>
            <wp:extent cx="5702935" cy="1447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02935" cy="14478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-1905000</wp:posOffset>
            </wp:positionV>
            <wp:extent cx="5702935" cy="135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02935" cy="13589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-1632585</wp:posOffset>
            </wp:positionV>
            <wp:extent cx="5702935" cy="135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02935" cy="13589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-815340</wp:posOffset>
            </wp:positionV>
            <wp:extent cx="5702935" cy="135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02935" cy="13589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-270510</wp:posOffset>
            </wp:positionV>
            <wp:extent cx="5702935" cy="135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02935" cy="135890"/>
                    </a:xfrm>
                    <a:prstGeom prst="rect">
                      <a:avLst/>
                    </a:prstGeom>
                    <a:noFill/>
                  </pic:spPr>
                </pic:pic>
              </a:graphicData>
            </a:graphic>
          </wp:anchor>
        </w:drawing>
      </w:r>
    </w:p>
    <w:p>
      <w:pPr>
        <w:spacing w:after="0" w:line="67" w:lineRule="exact"/>
        <w:rPr>
          <w:sz w:val="20"/>
          <w:szCs w:val="20"/>
          <w:color w:val="auto"/>
        </w:rPr>
      </w:pPr>
    </w:p>
    <w:p>
      <w:pPr>
        <w:ind w:left="80" w:hanging="73"/>
        <w:spacing w:after="0"/>
        <w:tabs>
          <w:tab w:leader="none" w:pos="80" w:val="left"/>
        </w:tabs>
        <w:numPr>
          <w:ilvl w:val="0"/>
          <w:numId w:val="80"/>
        </w:numPr>
        <w:rPr>
          <w:rFonts w:ascii="Arial" w:cs="Arial" w:eastAsia="Arial" w:hAnsi="Arial"/>
          <w:sz w:val="17"/>
          <w:szCs w:val="17"/>
          <w:color w:val="auto"/>
          <w:vertAlign w:val="superscript"/>
        </w:rPr>
      </w:pPr>
      <w:r>
        <w:rPr>
          <w:rFonts w:ascii="Arial" w:cs="Arial" w:eastAsia="Arial" w:hAnsi="Arial"/>
          <w:sz w:val="13"/>
          <w:szCs w:val="13"/>
          <w:color w:val="auto"/>
        </w:rPr>
        <w:t>Represents ordinary shares held by Schoodic Management B.V., an entity controlled by Mr. Modig.</w:t>
      </w:r>
    </w:p>
    <w:p>
      <w:pPr>
        <w:spacing w:after="0" w:line="140" w:lineRule="exact"/>
        <w:rPr>
          <w:sz w:val="20"/>
          <w:szCs w:val="20"/>
          <w:color w:val="auto"/>
        </w:rPr>
      </w:pPr>
    </w:p>
    <w:p>
      <w:pPr>
        <w:ind w:left="80" w:hanging="73"/>
        <w:spacing w:after="0"/>
        <w:tabs>
          <w:tab w:leader="none" w:pos="80"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Represents ordinary shares held by GrayMatters Consulting B.V., an entity controlled by Dr. Lesage.</w:t>
      </w:r>
    </w:p>
    <w:p>
      <w:pPr>
        <w:spacing w:after="0" w:line="140" w:lineRule="exact"/>
        <w:rPr>
          <w:sz w:val="20"/>
          <w:szCs w:val="20"/>
          <w:color w:val="auto"/>
        </w:rPr>
      </w:pPr>
    </w:p>
    <w:p>
      <w:pPr>
        <w:ind w:left="80" w:hanging="73"/>
        <w:spacing w:after="0"/>
        <w:tabs>
          <w:tab w:leader="none" w:pos="80" w:val="left"/>
        </w:tabs>
        <w:numPr>
          <w:ilvl w:val="0"/>
          <w:numId w:val="82"/>
        </w:numPr>
        <w:rPr>
          <w:rFonts w:ascii="Arial" w:cs="Arial" w:eastAsia="Arial" w:hAnsi="Arial"/>
          <w:sz w:val="17"/>
          <w:szCs w:val="17"/>
          <w:color w:val="auto"/>
          <w:vertAlign w:val="superscript"/>
        </w:rPr>
      </w:pPr>
      <w:r>
        <w:rPr>
          <w:rFonts w:ascii="Arial" w:cs="Arial" w:eastAsia="Arial" w:hAnsi="Arial"/>
          <w:sz w:val="13"/>
          <w:szCs w:val="13"/>
          <w:color w:val="auto"/>
        </w:rPr>
        <w:t>Each ordinary share carries one vote per share.</w:t>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00"/>
          </w:cols>
          <w:pgMar w:left="320" w:top="769" w:right="117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 Ownership of our Board and Senior Management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option ownership of our Board and Senior Management as of April 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Percentage</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Percentage</w:t>
            </w:r>
          </w:p>
        </w:tc>
        <w:tc>
          <w:tcPr>
            <w:tcW w:w="2400" w:type="dxa"/>
            <w:vAlign w:val="bottom"/>
          </w:tcPr>
          <w:p>
            <w:pPr>
              <w:spacing w:after="0"/>
              <w:rPr>
                <w:sz w:val="13"/>
                <w:szCs w:val="13"/>
                <w:color w:val="auto"/>
              </w:rPr>
            </w:pPr>
          </w:p>
        </w:tc>
      </w:tr>
      <w:tr>
        <w:trPr>
          <w:trHeight w:val="161"/>
        </w:trPr>
        <w:tc>
          <w:tcPr>
            <w:tcW w:w="3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00"/>
              <w:spacing w:after="0"/>
              <w:rPr>
                <w:sz w:val="20"/>
                <w:szCs w:val="20"/>
                <w:color w:val="auto"/>
              </w:rPr>
            </w:pPr>
            <w:r>
              <w:rPr>
                <w:rFonts w:ascii="Arial" w:cs="Arial" w:eastAsia="Arial" w:hAnsi="Arial"/>
                <w:sz w:val="13"/>
                <w:szCs w:val="13"/>
                <w:b w:val="1"/>
                <w:bCs w:val="1"/>
                <w:color w:val="auto"/>
              </w:rPr>
              <w:t>Exercise</w:t>
            </w:r>
          </w:p>
        </w:tc>
        <w:tc>
          <w:tcPr>
            <w:tcW w:w="2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of Shares</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of Fully</w:t>
            </w:r>
          </w:p>
        </w:tc>
        <w:tc>
          <w:tcPr>
            <w:tcW w:w="2400" w:type="dxa"/>
            <w:vAlign w:val="bottom"/>
          </w:tcPr>
          <w:p>
            <w:pPr>
              <w:jc w:val="right"/>
              <w:ind w:right="820"/>
              <w:spacing w:after="0"/>
              <w:rPr>
                <w:sz w:val="20"/>
                <w:szCs w:val="20"/>
                <w:color w:val="auto"/>
              </w:rPr>
            </w:pPr>
            <w:r>
              <w:rPr>
                <w:rFonts w:ascii="Arial" w:cs="Arial" w:eastAsia="Arial" w:hAnsi="Arial"/>
                <w:sz w:val="13"/>
                <w:szCs w:val="13"/>
                <w:b w:val="1"/>
                <w:bCs w:val="1"/>
                <w:color w:val="auto"/>
              </w:rPr>
              <w:t>Expiration</w:t>
            </w:r>
          </w:p>
        </w:tc>
      </w:tr>
      <w:tr>
        <w:trPr>
          <w:trHeight w:val="165"/>
        </w:trPr>
        <w:tc>
          <w:tcPr>
            <w:tcW w:w="3260" w:type="dxa"/>
            <w:vAlign w:val="bottom"/>
          </w:tcPr>
          <w:p>
            <w:pPr>
              <w:ind w:left="140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Options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Diluted</w:t>
            </w:r>
          </w:p>
        </w:tc>
        <w:tc>
          <w:tcPr>
            <w:tcW w:w="220" w:type="dxa"/>
            <w:vAlign w:val="bottom"/>
          </w:tcPr>
          <w:p>
            <w:pPr>
              <w:spacing w:after="0"/>
              <w:rPr>
                <w:sz w:val="14"/>
                <w:szCs w:val="14"/>
                <w:color w:val="auto"/>
              </w:rPr>
            </w:pPr>
          </w:p>
        </w:tc>
        <w:tc>
          <w:tcPr>
            <w:tcW w:w="2400" w:type="dxa"/>
            <w:vAlign w:val="bottom"/>
            <w:tcBorders>
              <w:bottom w:val="single" w:sz="8" w:color="auto"/>
            </w:tcBorders>
          </w:tcPr>
          <w:p>
            <w:pPr>
              <w:jc w:val="right"/>
              <w:ind w:right="980"/>
              <w:spacing w:after="0"/>
              <w:rPr>
                <w:sz w:val="20"/>
                <w:szCs w:val="20"/>
                <w:color w:val="auto"/>
              </w:rPr>
            </w:pPr>
            <w:r>
              <w:rPr>
                <w:rFonts w:ascii="Arial" w:cs="Arial" w:eastAsia="Arial" w:hAnsi="Arial"/>
                <w:sz w:val="13"/>
                <w:szCs w:val="13"/>
                <w:b w:val="1"/>
                <w:bCs w:val="1"/>
                <w:color w:val="auto"/>
              </w:rPr>
              <w:t>Date</w:t>
            </w:r>
          </w:p>
        </w:tc>
      </w:tr>
      <w:tr>
        <w:trPr>
          <w:trHeight w:val="208"/>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Modig</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0.18 %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0.17 %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2030</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Mr. Modig</w:t>
            </w:r>
          </w:p>
        </w:tc>
        <w:tc>
          <w:tcPr>
            <w:tcW w:w="1540" w:type="dxa"/>
            <w:vAlign w:val="bottom"/>
          </w:tcPr>
          <w:p>
            <w:pPr>
              <w:jc w:val="right"/>
              <w:spacing w:after="0"/>
              <w:rPr>
                <w:sz w:val="20"/>
                <w:szCs w:val="20"/>
                <w:color w:val="auto"/>
              </w:rPr>
            </w:pPr>
            <w:r>
              <w:rPr>
                <w:rFonts w:ascii="Arial" w:cs="Arial" w:eastAsia="Arial" w:hAnsi="Arial"/>
                <w:sz w:val="16"/>
                <w:szCs w:val="16"/>
                <w:color w:val="auto"/>
              </w:rPr>
              <w:t>250,000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0.48 %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0.45 %</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Modig</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0.27 %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0.25 %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Mr. Modig</w:t>
            </w:r>
          </w:p>
        </w:tc>
        <w:tc>
          <w:tcPr>
            <w:tcW w:w="1540" w:type="dxa"/>
            <w:vAlign w:val="bottom"/>
          </w:tcPr>
          <w:p>
            <w:pPr>
              <w:jc w:val="right"/>
              <w:spacing w:after="0"/>
              <w:rPr>
                <w:sz w:val="20"/>
                <w:szCs w:val="20"/>
                <w:color w:val="auto"/>
              </w:rPr>
            </w:pPr>
            <w:r>
              <w:rPr>
                <w:rFonts w:ascii="Arial" w:cs="Arial" w:eastAsia="Arial" w:hAnsi="Arial"/>
                <w:sz w:val="16"/>
                <w:szCs w:val="16"/>
                <w:color w:val="auto"/>
              </w:rPr>
              <w:t>170,000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0.33 %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0.31 %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0.24 %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0.23 %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2030</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Lesage</w:t>
            </w:r>
          </w:p>
        </w:tc>
        <w:tc>
          <w:tcPr>
            <w:tcW w:w="1540" w:type="dxa"/>
            <w:vAlign w:val="bottom"/>
          </w:tcPr>
          <w:p>
            <w:pPr>
              <w:jc w:val="right"/>
              <w:spacing w:after="0"/>
              <w:rPr>
                <w:sz w:val="20"/>
                <w:szCs w:val="20"/>
                <w:color w:val="auto"/>
              </w:rPr>
            </w:pPr>
            <w:r>
              <w:rPr>
                <w:rFonts w:ascii="Arial" w:cs="Arial" w:eastAsia="Arial" w:hAnsi="Arial"/>
                <w:sz w:val="16"/>
                <w:szCs w:val="16"/>
                <w:color w:val="auto"/>
              </w:rPr>
              <w:t>120,000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0.23 %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0.22 %</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Lesage</w:t>
            </w:r>
          </w:p>
        </w:tc>
        <w:tc>
          <w:tcPr>
            <w:tcW w:w="1540" w:type="dxa"/>
            <w:vAlign w:val="bottom"/>
          </w:tcPr>
          <w:p>
            <w:pPr>
              <w:jc w:val="right"/>
              <w:spacing w:after="0"/>
              <w:rPr>
                <w:sz w:val="20"/>
                <w:szCs w:val="20"/>
                <w:color w:val="auto"/>
              </w:rPr>
            </w:pPr>
            <w:r>
              <w:rPr>
                <w:rFonts w:ascii="Arial" w:cs="Arial" w:eastAsia="Arial" w:hAnsi="Arial"/>
                <w:sz w:val="16"/>
                <w:szCs w:val="16"/>
                <w:color w:val="auto"/>
              </w:rPr>
              <w:t>100,000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0.19 %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0.18 %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Conn</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141,292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0.27 %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0.25 %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2030</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Conn</w:t>
            </w:r>
          </w:p>
        </w:tc>
        <w:tc>
          <w:tcPr>
            <w:tcW w:w="1540" w:type="dxa"/>
            <w:vAlign w:val="bottom"/>
          </w:tcPr>
          <w:p>
            <w:pPr>
              <w:jc w:val="right"/>
              <w:spacing w:after="0"/>
              <w:rPr>
                <w:sz w:val="20"/>
                <w:szCs w:val="20"/>
                <w:color w:val="auto"/>
              </w:rPr>
            </w:pPr>
            <w:r>
              <w:rPr>
                <w:rFonts w:ascii="Arial" w:cs="Arial" w:eastAsia="Arial" w:hAnsi="Arial"/>
                <w:sz w:val="16"/>
                <w:szCs w:val="16"/>
                <w:color w:val="auto"/>
              </w:rPr>
              <w:t>110,000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0.21 %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0.20 %</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Conn</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Conn</w:t>
            </w:r>
          </w:p>
        </w:tc>
        <w:tc>
          <w:tcPr>
            <w:tcW w:w="1540" w:type="dxa"/>
            <w:vAlign w:val="bottom"/>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0.14 %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0.14 %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371,565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0.71 %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0.67 %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3, 2030</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Lu</w:t>
            </w:r>
          </w:p>
        </w:tc>
        <w:tc>
          <w:tcPr>
            <w:tcW w:w="1540" w:type="dxa"/>
            <w:vAlign w:val="bottom"/>
          </w:tcPr>
          <w:p>
            <w:pPr>
              <w:jc w:val="right"/>
              <w:spacing w:after="0"/>
              <w:rPr>
                <w:sz w:val="20"/>
                <w:szCs w:val="20"/>
                <w:color w:val="auto"/>
              </w:rPr>
            </w:pPr>
            <w:r>
              <w:rPr>
                <w:rFonts w:ascii="Arial" w:cs="Arial" w:eastAsia="Arial" w:hAnsi="Arial"/>
                <w:sz w:val="16"/>
                <w:szCs w:val="16"/>
                <w:color w:val="auto"/>
              </w:rPr>
              <w:t>79,000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0.15 %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0.14 %</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Lu</w:t>
            </w:r>
          </w:p>
        </w:tc>
        <w:tc>
          <w:tcPr>
            <w:tcW w:w="1540" w:type="dxa"/>
            <w:vAlign w:val="bottom"/>
          </w:tcPr>
          <w:p>
            <w:pPr>
              <w:jc w:val="right"/>
              <w:spacing w:after="0"/>
              <w:rPr>
                <w:sz w:val="20"/>
                <w:szCs w:val="20"/>
                <w:color w:val="auto"/>
              </w:rPr>
            </w:pPr>
            <w:r>
              <w:rPr>
                <w:rFonts w:ascii="Arial" w:cs="Arial" w:eastAsia="Arial" w:hAnsi="Arial"/>
                <w:sz w:val="16"/>
                <w:szCs w:val="16"/>
                <w:color w:val="auto"/>
              </w:rPr>
              <w:t>80,000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0.15 %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0.14 %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Glassman</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2031</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540" w:type="dxa"/>
            <w:vAlign w:val="bottom"/>
          </w:tcPr>
          <w:p>
            <w:pPr>
              <w:jc w:val="right"/>
              <w:spacing w:after="0"/>
              <w:rPr>
                <w:sz w:val="20"/>
                <w:szCs w:val="20"/>
                <w:color w:val="auto"/>
              </w:rPr>
            </w:pPr>
            <w:r>
              <w:rPr>
                <w:rFonts w:ascii="Arial" w:cs="Arial" w:eastAsia="Arial" w:hAnsi="Arial"/>
                <w:sz w:val="16"/>
                <w:szCs w:val="16"/>
                <w:color w:val="auto"/>
              </w:rPr>
              <w:t>8,000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0.02 %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0.01 %</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Glassman</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0.03 %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0.03 %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540" w:type="dxa"/>
            <w:vAlign w:val="bottom"/>
          </w:tcPr>
          <w:p>
            <w:pPr>
              <w:jc w:val="right"/>
              <w:spacing w:after="0"/>
              <w:rPr>
                <w:sz w:val="20"/>
                <w:szCs w:val="20"/>
                <w:color w:val="auto"/>
              </w:rPr>
            </w:pPr>
            <w:r>
              <w:rPr>
                <w:rFonts w:ascii="Arial" w:cs="Arial" w:eastAsia="Arial" w:hAnsi="Arial"/>
                <w:sz w:val="16"/>
                <w:szCs w:val="16"/>
                <w:color w:val="auto"/>
              </w:rPr>
              <w:t>21,000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0.04 %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0.04 %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0.15 %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0.14 %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2031</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Meeker</w:t>
            </w:r>
          </w:p>
        </w:tc>
        <w:tc>
          <w:tcPr>
            <w:tcW w:w="1540" w:type="dxa"/>
            <w:vAlign w:val="bottom"/>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0.03 %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0.03 %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Ms. Monges</w:t>
            </w:r>
          </w:p>
        </w:tc>
        <w:tc>
          <w:tcPr>
            <w:tcW w:w="1540" w:type="dxa"/>
            <w:vAlign w:val="bottom"/>
          </w:tcPr>
          <w:p>
            <w:pPr>
              <w:jc w:val="right"/>
              <w:spacing w:after="0"/>
              <w:rPr>
                <w:sz w:val="20"/>
                <w:szCs w:val="20"/>
                <w:color w:val="auto"/>
              </w:rPr>
            </w:pPr>
            <w:r>
              <w:rPr>
                <w:rFonts w:ascii="Arial" w:cs="Arial" w:eastAsia="Arial" w:hAnsi="Arial"/>
                <w:sz w:val="16"/>
                <w:szCs w:val="16"/>
                <w:color w:val="auto"/>
              </w:rPr>
              <w:t>35,000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17.43</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0.07 %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0.06 %</w:t>
            </w:r>
          </w:p>
        </w:tc>
        <w:tc>
          <w:tcPr>
            <w:tcW w:w="2400" w:type="dxa"/>
            <w:vAlign w:val="bottom"/>
          </w:tcPr>
          <w:p>
            <w:pPr>
              <w:jc w:val="right"/>
              <w:spacing w:after="0"/>
              <w:rPr>
                <w:sz w:val="20"/>
                <w:szCs w:val="20"/>
                <w:color w:val="auto"/>
              </w:rPr>
            </w:pPr>
            <w:r>
              <w:rPr>
                <w:rFonts w:ascii="Arial" w:cs="Arial" w:eastAsia="Arial" w:hAnsi="Arial"/>
                <w:sz w:val="16"/>
                <w:szCs w:val="16"/>
                <w:color w:val="auto"/>
              </w:rPr>
              <w:t>July 1,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Monges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0.03 %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0.03 %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Ms. Monges</w:t>
            </w:r>
          </w:p>
        </w:tc>
        <w:tc>
          <w:tcPr>
            <w:tcW w:w="1540" w:type="dxa"/>
            <w:vAlign w:val="bottom"/>
          </w:tcPr>
          <w:p>
            <w:pPr>
              <w:jc w:val="right"/>
              <w:spacing w:after="0"/>
              <w:rPr>
                <w:sz w:val="20"/>
                <w:szCs w:val="20"/>
                <w:color w:val="auto"/>
              </w:rPr>
            </w:pPr>
            <w:r>
              <w:rPr>
                <w:rFonts w:ascii="Arial" w:cs="Arial" w:eastAsia="Arial" w:hAnsi="Arial"/>
                <w:sz w:val="16"/>
                <w:szCs w:val="16"/>
                <w:color w:val="auto"/>
              </w:rPr>
              <w:t>21,000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0.04 %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0.04 %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0.07 %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0.06 %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40" w:type="dxa"/>
            <w:vAlign w:val="bottom"/>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0.03 %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0.03 %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540" w:type="dxa"/>
            <w:vAlign w:val="bottom"/>
          </w:tcPr>
          <w:p>
            <w:pPr>
              <w:jc w:val="right"/>
              <w:spacing w:after="0"/>
              <w:rPr>
                <w:sz w:val="20"/>
                <w:szCs w:val="20"/>
                <w:color w:val="auto"/>
              </w:rPr>
            </w:pPr>
            <w:r>
              <w:rPr>
                <w:rFonts w:ascii="Arial" w:cs="Arial" w:eastAsia="Arial" w:hAnsi="Arial"/>
                <w:sz w:val="16"/>
                <w:szCs w:val="16"/>
                <w:color w:val="auto"/>
              </w:rPr>
              <w:t>115,000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17.43</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0.22 %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0.21 %</w:t>
            </w:r>
          </w:p>
        </w:tc>
        <w:tc>
          <w:tcPr>
            <w:tcW w:w="2400" w:type="dxa"/>
            <w:vAlign w:val="bottom"/>
          </w:tcPr>
          <w:p>
            <w:pPr>
              <w:jc w:val="right"/>
              <w:spacing w:after="0"/>
              <w:rPr>
                <w:sz w:val="20"/>
                <w:szCs w:val="20"/>
                <w:color w:val="auto"/>
              </w:rPr>
            </w:pPr>
            <w:r>
              <w:rPr>
                <w:rFonts w:ascii="Arial" w:cs="Arial" w:eastAsia="Arial" w:hAnsi="Arial"/>
                <w:sz w:val="16"/>
                <w:szCs w:val="16"/>
                <w:color w:val="auto"/>
              </w:rPr>
              <w:t>July 1,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Souverijns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540" w:type="dxa"/>
            <w:vAlign w:val="bottom"/>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0.14 %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0.14 %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Schikan</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0.07 %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0.06 %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2031</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Mr. Schikan</w:t>
            </w:r>
          </w:p>
        </w:tc>
        <w:tc>
          <w:tcPr>
            <w:tcW w:w="1540" w:type="dxa"/>
            <w:vAlign w:val="bottom"/>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0.03 %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0.03 %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1, 2032</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Schikan</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2400" w:type="dxa"/>
            <w:vAlign w:val="bottom"/>
            <w:shd w:val="clear" w:color="auto" w:fill="CFF4FC"/>
          </w:tcPr>
          <w:p>
            <w:pPr>
              <w:jc w:val="right"/>
              <w:spacing w:after="0"/>
              <w:rPr>
                <w:sz w:val="20"/>
                <w:szCs w:val="20"/>
                <w:color w:val="auto"/>
              </w:rPr>
            </w:pPr>
            <w:r>
              <w:rPr>
                <w:rFonts w:ascii="Arial" w:cs="Arial" w:eastAsia="Arial" w:hAnsi="Arial"/>
                <w:sz w:val="16"/>
                <w:szCs w:val="16"/>
                <w:color w:val="auto"/>
              </w:rPr>
              <w:t>April 6, 2033</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Ms. Nijdam</w:t>
            </w:r>
          </w:p>
        </w:tc>
        <w:tc>
          <w:tcPr>
            <w:tcW w:w="1540" w:type="dxa"/>
            <w:vAlign w:val="bottom"/>
          </w:tcPr>
          <w:p>
            <w:pPr>
              <w:jc w:val="right"/>
              <w:spacing w:after="0"/>
              <w:rPr>
                <w:sz w:val="20"/>
                <w:szCs w:val="20"/>
                <w:color w:val="auto"/>
              </w:rPr>
            </w:pPr>
            <w:r>
              <w:rPr>
                <w:rFonts w:ascii="Arial" w:cs="Arial" w:eastAsia="Arial" w:hAnsi="Arial"/>
                <w:sz w:val="16"/>
                <w:szCs w:val="16"/>
                <w:color w:val="auto"/>
              </w:rPr>
              <w:t>30,000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0.06 %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0.05 %</w:t>
            </w:r>
          </w:p>
        </w:tc>
        <w:tc>
          <w:tcPr>
            <w:tcW w:w="2400" w:type="dxa"/>
            <w:vAlign w:val="bottom"/>
          </w:tcPr>
          <w:p>
            <w:pPr>
              <w:jc w:val="right"/>
              <w:spacing w:after="0"/>
              <w:rPr>
                <w:sz w:val="20"/>
                <w:szCs w:val="20"/>
                <w:color w:val="auto"/>
              </w:rPr>
            </w:pPr>
            <w:r>
              <w:rPr>
                <w:rFonts w:ascii="Arial" w:cs="Arial" w:eastAsia="Arial" w:hAnsi="Arial"/>
                <w:sz w:val="16"/>
                <w:szCs w:val="16"/>
                <w:color w:val="auto"/>
              </w:rPr>
              <w:t>February 5, 2031</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Schmidt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0.23 %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0.22 %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June 1, 2032</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Ms. Schmidt</w:t>
            </w:r>
          </w:p>
        </w:tc>
        <w:tc>
          <w:tcPr>
            <w:tcW w:w="1540" w:type="dxa"/>
            <w:vAlign w:val="bottom"/>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0.14 %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0.14 %</w:t>
            </w:r>
          </w:p>
        </w:tc>
        <w:tc>
          <w:tcPr>
            <w:tcW w:w="2400" w:type="dxa"/>
            <w:vAlign w:val="bottom"/>
          </w:tcPr>
          <w:p>
            <w:pPr>
              <w:jc w:val="right"/>
              <w:spacing w:after="0"/>
              <w:rPr>
                <w:sz w:val="20"/>
                <w:szCs w:val="20"/>
                <w:color w:val="auto"/>
              </w:rPr>
            </w:pPr>
            <w:r>
              <w:rPr>
                <w:rFonts w:ascii="Arial" w:cs="Arial" w:eastAsia="Arial" w:hAnsi="Arial"/>
                <w:sz w:val="16"/>
                <w:szCs w:val="16"/>
                <w:color w:val="auto"/>
              </w:rPr>
              <w:t>April 6, 2033</w:t>
            </w:r>
          </w:p>
        </w:tc>
      </w:tr>
      <w:tr>
        <w:trPr>
          <w:trHeight w:val="215"/>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A. Deschoolmeester</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w:t>
            </w: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0.13 %</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0.13 %</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r>
      <w:tr>
        <w:trPr>
          <w:trHeight w:val="214"/>
        </w:trPr>
        <w:tc>
          <w:tcPr>
            <w:tcW w:w="3260" w:type="dxa"/>
            <w:vAlign w:val="bottom"/>
          </w:tcPr>
          <w:p>
            <w:pPr>
              <w:ind w:left="20"/>
              <w:spacing w:after="0"/>
              <w:rPr>
                <w:sz w:val="20"/>
                <w:szCs w:val="20"/>
                <w:color w:val="auto"/>
              </w:rPr>
            </w:pPr>
            <w:r>
              <w:rPr>
                <w:rFonts w:ascii="Arial" w:cs="Arial" w:eastAsia="Arial" w:hAnsi="Arial"/>
                <w:sz w:val="16"/>
                <w:szCs w:val="16"/>
                <w:color w:val="auto"/>
              </w:rPr>
              <w:t>Dr. S Abele</w:t>
            </w:r>
          </w:p>
        </w:tc>
        <w:tc>
          <w:tcPr>
            <w:tcW w:w="1540" w:type="dxa"/>
            <w:vAlign w:val="bottom"/>
          </w:tcPr>
          <w:p>
            <w:pPr>
              <w:jc w:val="right"/>
              <w:spacing w:after="0"/>
              <w:rPr>
                <w:sz w:val="20"/>
                <w:szCs w:val="20"/>
                <w:color w:val="auto"/>
              </w:rPr>
            </w:pPr>
            <w:r>
              <w:rPr>
                <w:rFonts w:ascii="Arial" w:cs="Arial" w:eastAsia="Arial" w:hAnsi="Arial"/>
                <w:sz w:val="16"/>
                <w:szCs w:val="16"/>
                <w:color w:val="auto"/>
              </w:rPr>
              <w:t>90,000</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16.40</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0.17 %</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0.16 %</w:t>
            </w:r>
          </w:p>
        </w:tc>
        <w:tc>
          <w:tcPr>
            <w:tcW w:w="2400" w:type="dxa"/>
            <w:vAlign w:val="bottom"/>
          </w:tcPr>
          <w:p>
            <w:pPr>
              <w:jc w:val="right"/>
              <w:spacing w:after="0"/>
              <w:rPr>
                <w:sz w:val="20"/>
                <w:szCs w:val="20"/>
                <w:color w:val="auto"/>
              </w:rPr>
            </w:pPr>
            <w:r>
              <w:rPr>
                <w:rFonts w:ascii="Arial" w:cs="Arial" w:eastAsia="Arial" w:hAnsi="Arial"/>
                <w:sz w:val="16"/>
                <w:szCs w:val="16"/>
                <w:color w:val="auto"/>
              </w:rPr>
              <w:t>November 15, 2033</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17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2016, the Company adopted the Pharvaris B.V. 2016 Equity Incentive Plan, or the 2016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2016 Plan was amended and restated in connection with our initial public offering. As of April 1, 2024, there were no shares available for issuance under the 2016 Plan.</w:t>
      </w:r>
    </w:p>
    <w:p>
      <w:pPr>
        <w:spacing w:after="0" w:line="152"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The 2016 Plan provided for the grant of options, stock appreciation rights, restricted stock, restricted stock units, or RSUs, performance stock awards, performance cash awards, and other stock-based awards.</w:t>
      </w:r>
    </w:p>
    <w:p>
      <w:pPr>
        <w:spacing w:after="0" w:line="116" w:lineRule="exact"/>
        <w:rPr>
          <w:sz w:val="20"/>
          <w:szCs w:val="20"/>
          <w:color w:val="auto"/>
        </w:rPr>
      </w:pPr>
    </w:p>
    <w:p>
      <w:pPr>
        <w:jc w:val="both"/>
        <w:ind w:right="460" w:firstLine="458"/>
        <w:spacing w:after="0" w:line="264" w:lineRule="auto"/>
        <w:rPr>
          <w:sz w:val="20"/>
          <w:szCs w:val="20"/>
          <w:color w:val="auto"/>
        </w:rPr>
      </w:pPr>
      <w:r>
        <w:rPr>
          <w:rFonts w:ascii="Arial" w:cs="Arial" w:eastAsia="Arial" w:hAnsi="Arial"/>
          <w:sz w:val="16"/>
          <w:szCs w:val="16"/>
          <w:color w:val="auto"/>
        </w:rPr>
        <w:t>In connection with the consummation of our initial public offering, we granted our officers and directors stock options to purchase an aggregate of 873,000 ordinary shares in accordance with the terms of the 2016 Plan and the terms and conditions of award agreements evidencing such grants. The exercise price per share was the initial public offering price per share.</w:t>
      </w:r>
    </w:p>
    <w:p>
      <w:pPr>
        <w:spacing w:after="0" w:line="144" w:lineRule="exact"/>
        <w:rPr>
          <w:sz w:val="20"/>
          <w:szCs w:val="20"/>
          <w:color w:val="auto"/>
        </w:rPr>
      </w:pPr>
    </w:p>
    <w:p>
      <w:pPr>
        <w:ind w:left="140" w:right="600" w:firstLine="458"/>
        <w:spacing w:after="0" w:line="283" w:lineRule="auto"/>
        <w:rPr>
          <w:sz w:val="20"/>
          <w:szCs w:val="20"/>
          <w:color w:val="auto"/>
        </w:rPr>
      </w:pPr>
      <w:r>
        <w:rPr>
          <w:rFonts w:ascii="Arial" w:cs="Arial" w:eastAsia="Arial" w:hAnsi="Arial"/>
          <w:sz w:val="16"/>
          <w:szCs w:val="16"/>
          <w:color w:val="auto"/>
        </w:rPr>
        <w:t>As of April 1, 2024, the total number of options held by the Board and Senior Management and other employees is 3,595,800 with a weighted average exercise price of €11,60 per share.</w:t>
      </w:r>
    </w:p>
    <w:p>
      <w:pPr>
        <w:sectPr>
          <w:pgSz w:w="11900" w:h="16838" w:orient="portrait"/>
          <w:cols w:equalWidth="0" w:num="1">
            <w:col w:w="11240"/>
          </w:cols>
          <w:pgMar w:left="320" w:top="769" w:right="339" w:bottom="95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95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1, 2024, the total number of unvested RSUs held by Senior Management is 47,663.</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17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 The 2021 Plan is intended to help us secure and retain the services of eligible award recipients, provide incentives for such persons to exert maximum efforts for our success and provide a means by which eligible recipients may benefit from increases in the value of our ordinary shares. Subject to adjustment in the event of certain transactions or changes of capitalization in accordance with the 2021 Plan, ordinary shares equal to 9% of the Company’s issued share capital as of the date of the consummation of the IPO were initially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Senior Management</w:t>
      </w:r>
    </w:p>
    <w:p>
      <w:pPr>
        <w:spacing w:after="0" w:line="191"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We have entered into written employment or service agreements with each member of our Senior Management. See “ITEM 7. MAJOR SHAREHOLDERS AND RELATED PARTY TRANSACTIONS—B. Related party transactions —Agreements and Arrangements with Senior Management”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 Contracts</w:t>
      </w:r>
    </w:p>
    <w:p>
      <w:pPr>
        <w:spacing w:after="0" w:line="178"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We have entered into service contracts with Dr. Björk, Dr. Glassman, Dr. Meeker, Ms. Monges, and Mr. Schikan that memorialize the terms of their compensation, duties and obligations to the Company. See “ITEM 7. MAJOR SHAREHOLDERS AND RELATED PARTY TRANSACTIONS—B. Related party transactions —Agreements and Arrangements with our Directors”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178" w:lineRule="exact"/>
        <w:rPr>
          <w:sz w:val="20"/>
          <w:szCs w:val="20"/>
          <w:color w:val="auto"/>
        </w:rPr>
      </w:pPr>
    </w:p>
    <w:p>
      <w:pPr>
        <w:jc w:val="both"/>
        <w:ind w:right="20" w:firstLine="458"/>
        <w:spacing w:after="0" w:line="264" w:lineRule="auto"/>
        <w:rPr>
          <w:sz w:val="20"/>
          <w:szCs w:val="20"/>
          <w:color w:val="auto"/>
        </w:rPr>
      </w:pPr>
      <w:r>
        <w:rPr>
          <w:rFonts w:ascii="Arial" w:cs="Arial" w:eastAsia="Arial" w:hAnsi="Arial"/>
          <w:sz w:val="16"/>
          <w:szCs w:val="16"/>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w:t>
      </w:r>
    </w:p>
    <w:p>
      <w:pPr>
        <w:spacing w:after="0" w:line="130" w:lineRule="exact"/>
        <w:rPr>
          <w:sz w:val="20"/>
          <w:szCs w:val="20"/>
          <w:color w:val="auto"/>
        </w:rPr>
      </w:pPr>
    </w:p>
    <w:p>
      <w:pPr>
        <w:ind w:right="600" w:firstLine="458"/>
        <w:spacing w:after="0" w:line="283" w:lineRule="auto"/>
        <w:rPr>
          <w:sz w:val="20"/>
          <w:szCs w:val="20"/>
          <w:color w:val="auto"/>
        </w:rPr>
      </w:pPr>
      <w:r>
        <w:rPr>
          <w:rFonts w:ascii="Arial" w:cs="Arial" w:eastAsia="Arial" w:hAnsi="Arial"/>
          <w:sz w:val="16"/>
          <w:szCs w:val="16"/>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29" w:lineRule="exact"/>
        <w:rPr>
          <w:sz w:val="20"/>
          <w:szCs w:val="20"/>
          <w:color w:val="auto"/>
        </w:rPr>
      </w:pPr>
    </w:p>
    <w:p>
      <w:pPr>
        <w:ind w:firstLine="458"/>
        <w:spacing w:after="0" w:line="247"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under our Articles of Association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 Under our Articles of Association, our Board may stipulate additional terms, conditions and restrictions in relation to the indemnification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Dutch Corporate Governance</w:t>
      </w:r>
    </w:p>
    <w:p>
      <w:pPr>
        <w:spacing w:after="0" w:line="17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As a listed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annual reports whether they comply with the provisions of the DCGC. If a company subject to the DCGC does not comply with these provisions, that company would be required to give reason for such non-compliance. We do not comply with all best practice provisions of the DCGC. Our main deviations from the DCGC are summarized below , but we cannot exclude the possibility of deviating from additional provisions of the DCGC after the date hereof and including in order to follow market practice or governance practices in the United States.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52"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 practice, we have granted equity awards to our non-executive directors.</w:t>
      </w:r>
    </w:p>
    <w:p>
      <w:pPr>
        <w:spacing w:after="0" w:line="162" w:lineRule="exact"/>
        <w:rPr>
          <w:sz w:val="20"/>
          <w:szCs w:val="20"/>
          <w:color w:val="auto"/>
        </w:rPr>
      </w:pPr>
    </w:p>
    <w:p>
      <w:pPr>
        <w:ind w:right="160" w:firstLine="458"/>
        <w:spacing w:after="0" w:line="264" w:lineRule="auto"/>
        <w:rPr>
          <w:sz w:val="20"/>
          <w:szCs w:val="20"/>
          <w:color w:val="auto"/>
        </w:rPr>
      </w:pPr>
      <w:r>
        <w:rPr>
          <w:rFonts w:ascii="Arial" w:cs="Arial" w:eastAsia="Arial" w:hAnsi="Arial"/>
          <w:sz w:val="16"/>
          <w:szCs w:val="16"/>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44" w:lineRule="exact"/>
        <w:rPr>
          <w:sz w:val="20"/>
          <w:szCs w:val="20"/>
          <w:color w:val="auto"/>
        </w:rPr>
      </w:pPr>
    </w:p>
    <w:p>
      <w:pPr>
        <w:ind w:left="920" w:hanging="463"/>
        <w:spacing w:after="0"/>
        <w:tabs>
          <w:tab w:leader="none" w:pos="92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w:t>
      </w:r>
    </w:p>
    <w:p>
      <w:pPr>
        <w:spacing w:after="0" w:line="17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Board Structure</w:t>
      </w:r>
    </w:p>
    <w:p>
      <w:pPr>
        <w:spacing w:after="0" w:line="178"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Board is charged with the management of the Company, which includes setting the Company's strategy, subject to the restrictions contained in our Articles of Association. The executive director manages our day-to-day business and operations and implement our strategy. The non-executive directors focus on the supervision of the Company policies, performance of the duties of all directors and our general state of affairs. Subject to certain limitations under Dutch law, the directors may divide their tasks among themselves in or pursuant to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59"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color w:val="auto"/>
        </w:rPr>
        <w:t>Our Board is entitled to represent the Company. The power to represent the Company also vests in our Chief Executive Officer, as well as in any other two Executive Directors acting jointly. Any resolution of the Board regarding a material change in our identity or character, as defined under Dutch law, requires approval of our general meeting. The absence of the approval of the general meeting shall result in the relevant resolution being null and void but shall not affect the powers of representation of the Board or of the Executive Directors.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may consist of one or more executive directors and one or more non-executive directors. The Board shall be composed of individuals.</w:t>
      </w:r>
    </w:p>
    <w:p>
      <w:pPr>
        <w:spacing w:after="0" w:line="178"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based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50" w:lineRule="exact"/>
        <w:rPr>
          <w:sz w:val="20"/>
          <w:szCs w:val="20"/>
          <w:color w:val="auto"/>
        </w:rPr>
      </w:pPr>
    </w:p>
    <w:p>
      <w:pPr>
        <w:ind w:right="320" w:firstLine="458"/>
        <w:spacing w:after="0" w:line="264"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30"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39"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The Board may also suspend, but may not remove, an executive director. The Articles of Association do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17" w:lineRule="exact"/>
        <w:rPr>
          <w:sz w:val="20"/>
          <w:szCs w:val="20"/>
          <w:color w:val="auto"/>
        </w:rPr>
      </w:pPr>
    </w:p>
    <w:p>
      <w:pPr>
        <w:ind w:left="900" w:right="280" w:hanging="443"/>
        <w:spacing w:after="0" w:line="282"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they may serve; and</w:t>
      </w:r>
    </w:p>
    <w:p>
      <w:pPr>
        <w:spacing w:after="0" w:line="103" w:lineRule="exact"/>
        <w:rPr>
          <w:rFonts w:ascii="Times New Roman" w:cs="Times New Roman" w:eastAsia="Times New Roman" w:hAnsi="Times New Roman"/>
          <w:sz w:val="16"/>
          <w:szCs w:val="16"/>
          <w:color w:val="auto"/>
        </w:rPr>
      </w:pPr>
    </w:p>
    <w:p>
      <w:pPr>
        <w:ind w:left="900" w:right="120" w:hanging="443"/>
        <w:spacing w:after="0" w:line="263" w:lineRule="auto"/>
        <w:tabs>
          <w:tab w:leader="none" w:pos="90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of the reasons for any reappointment after an eight-year term of office should be disclosed in the Company’s statutory annual Board report.</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Diversity and Election of Directors</w:t>
      </w:r>
    </w:p>
    <w:p>
      <w:pPr>
        <w:spacing w:after="0" w:line="191"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Our Board is comprised of six members, one of whom is an executive director. The members of our Board do not have a retirement age requirement under our Articles of Association. No family relationships or other arrangements exist among any member of our Board or Senior Management.</w:t>
      </w:r>
    </w:p>
    <w:p>
      <w:pPr>
        <w:spacing w:after="0" w:line="116" w:lineRule="exact"/>
        <w:rPr>
          <w:sz w:val="20"/>
          <w:szCs w:val="20"/>
          <w:color w:val="auto"/>
        </w:rPr>
      </w:pPr>
    </w:p>
    <w:p>
      <w:pPr>
        <w:ind w:right="160" w:firstLine="458"/>
        <w:spacing w:after="0" w:line="250" w:lineRule="auto"/>
        <w:rPr>
          <w:sz w:val="20"/>
          <w:szCs w:val="20"/>
          <w:color w:val="auto"/>
        </w:rPr>
      </w:pPr>
      <w:r>
        <w:rPr>
          <w:rFonts w:ascii="Arial" w:cs="Arial" w:eastAsia="Arial" w:hAnsi="Arial"/>
          <w:sz w:val="16"/>
          <w:szCs w:val="16"/>
          <w:color w:val="auto"/>
        </w:rPr>
        <w:t>Our diversity policy is that we will balance our Board in terms of gender, age, background and nationality as much as reasonably possible while still having our board composed of the best possible candidates overall. It has been and will remain our priority to have the best available specialists on our Board, irrespective of age, background, nationality and gender, who make a balanced panel of directors able to advise and guide our Company to further growth and success for all its stakeholders. This means we require a number of specialties and character traits to be present. Taking into account the aforementioned and the specialist nature of our business, we will actively seek to further improve diversity on our board if and when proposing new appointments to our Board, whilst acknowledging that age, gender and nationality are important, but not the only factors relevant for the ultimate decision to select a board member. The table below provides information as to the gender diversity of our Board. Dutch law prohibits us from gathering and disclosing demographic background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224790</wp:posOffset>
            </wp:positionV>
            <wp:extent cx="6405245" cy="174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05245" cy="174625"/>
                    </a:xfrm>
                    <a:prstGeom prst="rect">
                      <a:avLst/>
                    </a:prstGeom>
                    <a:noFill/>
                  </pic:spPr>
                </pic:pic>
              </a:graphicData>
            </a:graphic>
          </wp:anchor>
        </w:drawing>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Board Diversity Matrix (As of April 10,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Country of Principal Executive Offices:</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 Netherlands</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Foreign Private Issuer</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Yes</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Disclosure Prohibited under Home Country Law</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Yes</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Number of Directors</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shd w:val="clear" w:color="auto" w:fill="D9D9D9"/>
          </w:tcPr>
          <w:p>
            <w:pPr>
              <w:spacing w:after="0"/>
              <w:rPr>
                <w:sz w:val="16"/>
                <w:szCs w:val="16"/>
                <w:color w:val="auto"/>
              </w:rPr>
            </w:pPr>
          </w:p>
        </w:tc>
        <w:tc>
          <w:tcPr>
            <w:tcW w:w="1380" w:type="dxa"/>
            <w:vAlign w:val="bottom"/>
            <w:tcBorders>
              <w:right w:val="single" w:sz="8" w:color="auto"/>
            </w:tcBorders>
            <w:vMerge w:val="restart"/>
            <w:shd w:val="clear" w:color="auto" w:fill="D9D9D9"/>
          </w:tcPr>
          <w:p>
            <w:pPr>
              <w:ind w:left="400"/>
              <w:spacing w:after="0"/>
              <w:rPr>
                <w:sz w:val="20"/>
                <w:szCs w:val="20"/>
                <w:color w:val="auto"/>
              </w:rPr>
            </w:pPr>
            <w:r>
              <w:rPr>
                <w:rFonts w:ascii="Arial" w:cs="Arial" w:eastAsia="Arial" w:hAnsi="Arial"/>
                <w:sz w:val="16"/>
                <w:szCs w:val="16"/>
                <w:b w:val="1"/>
                <w:bCs w:val="1"/>
                <w:color w:val="auto"/>
              </w:rPr>
              <w:t>Female</w:t>
            </w:r>
          </w:p>
        </w:tc>
        <w:tc>
          <w:tcPr>
            <w:tcW w:w="1060" w:type="dxa"/>
            <w:vAlign w:val="bottom"/>
            <w:vMerge w:val="restart"/>
            <w:shd w:val="clear" w:color="auto" w:fill="D9D9D9"/>
          </w:tcPr>
          <w:p>
            <w:pPr>
              <w:jc w:val="center"/>
              <w:ind w:left="180"/>
              <w:spacing w:after="0"/>
              <w:rPr>
                <w:sz w:val="20"/>
                <w:szCs w:val="20"/>
                <w:color w:val="auto"/>
              </w:rPr>
            </w:pPr>
            <w:r>
              <w:rPr>
                <w:rFonts w:ascii="Arial" w:cs="Arial" w:eastAsia="Arial" w:hAnsi="Arial"/>
                <w:sz w:val="16"/>
                <w:szCs w:val="16"/>
                <w:b w:val="1"/>
                <w:bCs w:val="1"/>
                <w:color w:val="auto"/>
              </w:rPr>
              <w:t>Male</w:t>
            </w:r>
          </w:p>
        </w:tc>
        <w:tc>
          <w:tcPr>
            <w:tcW w:w="280" w:type="dxa"/>
            <w:vAlign w:val="bottom"/>
            <w:tcBorders>
              <w:right w:val="single" w:sz="8" w:color="auto"/>
            </w:tcBorders>
            <w:shd w:val="clear" w:color="auto" w:fill="D9D9D9"/>
          </w:tcPr>
          <w:p>
            <w:pPr>
              <w:spacing w:after="0"/>
              <w:rPr>
                <w:sz w:val="16"/>
                <w:szCs w:val="16"/>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Non-Binary</w:t>
            </w:r>
          </w:p>
        </w:tc>
        <w:tc>
          <w:tcPr>
            <w:tcW w:w="13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Did Not Disclose</w:t>
            </w:r>
          </w:p>
        </w:tc>
        <w:tc>
          <w:tcPr>
            <w:tcW w:w="0" w:type="dxa"/>
            <w:vAlign w:val="bottom"/>
          </w:tcPr>
          <w:p>
            <w:pPr>
              <w:spacing w:after="0"/>
              <w:rPr>
                <w:sz w:val="1"/>
                <w:szCs w:val="1"/>
                <w:color w:val="auto"/>
              </w:rPr>
            </w:pPr>
          </w:p>
        </w:tc>
      </w:tr>
      <w:tr>
        <w:trPr>
          <w:trHeight w:val="128"/>
        </w:trPr>
        <w:tc>
          <w:tcPr>
            <w:tcW w:w="620" w:type="dxa"/>
            <w:vAlign w:val="bottom"/>
            <w:tcBorders>
              <w:right w:val="single" w:sz="8" w:color="auto"/>
            </w:tcBorders>
          </w:tcPr>
          <w:p>
            <w:pPr>
              <w:spacing w:after="0"/>
              <w:rPr>
                <w:sz w:val="11"/>
                <w:szCs w:val="11"/>
                <w:color w:val="auto"/>
              </w:rPr>
            </w:pPr>
          </w:p>
        </w:tc>
        <w:tc>
          <w:tcPr>
            <w:tcW w:w="4620" w:type="dxa"/>
            <w:vAlign w:val="bottom"/>
            <w:tcBorders>
              <w:right w:val="single" w:sz="8" w:color="auto"/>
            </w:tcBorders>
            <w:shd w:val="clear" w:color="auto" w:fill="D9D9D9"/>
          </w:tcPr>
          <w:p>
            <w:pPr>
              <w:spacing w:after="0"/>
              <w:rPr>
                <w:sz w:val="11"/>
                <w:szCs w:val="11"/>
                <w:color w:val="auto"/>
              </w:rPr>
            </w:pPr>
          </w:p>
        </w:tc>
        <w:tc>
          <w:tcPr>
            <w:tcW w:w="1380" w:type="dxa"/>
            <w:vAlign w:val="bottom"/>
            <w:tcBorders>
              <w:right w:val="single" w:sz="8" w:color="auto"/>
            </w:tcBorders>
            <w:vMerge w:val="continue"/>
            <w:shd w:val="clear" w:color="auto" w:fill="D9D9D9"/>
          </w:tcPr>
          <w:p>
            <w:pPr>
              <w:spacing w:after="0"/>
              <w:rPr>
                <w:sz w:val="11"/>
                <w:szCs w:val="11"/>
                <w:color w:val="auto"/>
              </w:rPr>
            </w:pPr>
          </w:p>
        </w:tc>
        <w:tc>
          <w:tcPr>
            <w:tcW w:w="1060" w:type="dxa"/>
            <w:vAlign w:val="bottom"/>
            <w:vMerge w:val="continue"/>
            <w:shd w:val="clear" w:color="auto" w:fill="D9D9D9"/>
          </w:tcPr>
          <w:p>
            <w:pPr>
              <w:spacing w:after="0"/>
              <w:rPr>
                <w:sz w:val="11"/>
                <w:szCs w:val="11"/>
                <w:color w:val="auto"/>
              </w:rPr>
            </w:pPr>
          </w:p>
        </w:tc>
        <w:tc>
          <w:tcPr>
            <w:tcW w:w="280" w:type="dxa"/>
            <w:vAlign w:val="bottom"/>
            <w:tcBorders>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Gender</w:t>
            </w:r>
          </w:p>
        </w:tc>
        <w:tc>
          <w:tcPr>
            <w:tcW w:w="0" w:type="dxa"/>
            <w:vAlign w:val="bottom"/>
          </w:tcPr>
          <w:p>
            <w:pPr>
              <w:spacing w:after="0"/>
              <w:rPr>
                <w:sz w:val="1"/>
                <w:szCs w:val="1"/>
                <w:color w:val="auto"/>
              </w:rPr>
            </w:pPr>
          </w:p>
        </w:tc>
      </w:tr>
      <w:tr>
        <w:trPr>
          <w:trHeight w:val="87"/>
        </w:trPr>
        <w:tc>
          <w:tcPr>
            <w:tcW w:w="620" w:type="dxa"/>
            <w:vAlign w:val="bottom"/>
            <w:tcBorders>
              <w:right w:val="single" w:sz="8" w:color="auto"/>
            </w:tcBorders>
          </w:tcPr>
          <w:p>
            <w:pPr>
              <w:spacing w:after="0"/>
              <w:rPr>
                <w:sz w:val="7"/>
                <w:szCs w:val="7"/>
                <w:color w:val="auto"/>
              </w:rPr>
            </w:pPr>
          </w:p>
        </w:tc>
        <w:tc>
          <w:tcPr>
            <w:tcW w:w="4620" w:type="dxa"/>
            <w:vAlign w:val="bottom"/>
            <w:tcBorders>
              <w:right w:val="single" w:sz="8" w:color="auto"/>
            </w:tcBorders>
            <w:shd w:val="clear" w:color="auto" w:fill="D9D9D9"/>
          </w:tcPr>
          <w:p>
            <w:pPr>
              <w:spacing w:after="0"/>
              <w:rPr>
                <w:sz w:val="7"/>
                <w:szCs w:val="7"/>
                <w:color w:val="auto"/>
              </w:rPr>
            </w:pPr>
          </w:p>
        </w:tc>
        <w:tc>
          <w:tcPr>
            <w:tcW w:w="1380" w:type="dxa"/>
            <w:vAlign w:val="bottom"/>
            <w:tcBorders>
              <w:right w:val="single" w:sz="8" w:color="auto"/>
            </w:tcBorders>
            <w:shd w:val="clear" w:color="auto" w:fill="D9D9D9"/>
          </w:tcPr>
          <w:p>
            <w:pPr>
              <w:spacing w:after="0"/>
              <w:rPr>
                <w:sz w:val="7"/>
                <w:szCs w:val="7"/>
                <w:color w:val="auto"/>
              </w:rPr>
            </w:pPr>
          </w:p>
        </w:tc>
        <w:tc>
          <w:tcPr>
            <w:tcW w:w="1060" w:type="dxa"/>
            <w:vAlign w:val="bottom"/>
            <w:shd w:val="clear" w:color="auto" w:fill="D9D9D9"/>
          </w:tcPr>
          <w:p>
            <w:pPr>
              <w:spacing w:after="0"/>
              <w:rPr>
                <w:sz w:val="7"/>
                <w:szCs w:val="7"/>
                <w:color w:val="auto"/>
              </w:rPr>
            </w:pPr>
          </w:p>
        </w:tc>
        <w:tc>
          <w:tcPr>
            <w:tcW w:w="280" w:type="dxa"/>
            <w:vAlign w:val="bottom"/>
            <w:tcBorders>
              <w:right w:val="single" w:sz="8" w:color="auto"/>
            </w:tcBorders>
            <w:shd w:val="clear" w:color="auto" w:fill="D9D9D9"/>
          </w:tcPr>
          <w:p>
            <w:pPr>
              <w:spacing w:after="0"/>
              <w:rPr>
                <w:sz w:val="7"/>
                <w:szCs w:val="7"/>
                <w:color w:val="auto"/>
              </w:rPr>
            </w:pPr>
          </w:p>
        </w:tc>
        <w:tc>
          <w:tcPr>
            <w:tcW w:w="1360" w:type="dxa"/>
            <w:vAlign w:val="bottom"/>
            <w:tcBorders>
              <w:right w:val="single" w:sz="8" w:color="auto"/>
            </w:tcBorders>
            <w:shd w:val="clear" w:color="auto" w:fill="D9D9D9"/>
          </w:tcPr>
          <w:p>
            <w:pPr>
              <w:spacing w:after="0"/>
              <w:rPr>
                <w:sz w:val="7"/>
                <w:szCs w:val="7"/>
                <w:color w:val="auto"/>
              </w:rPr>
            </w:pPr>
          </w:p>
        </w:tc>
        <w:tc>
          <w:tcPr>
            <w:tcW w:w="136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shd w:val="clear" w:color="auto" w:fill="D9D9D9"/>
          </w:tcPr>
          <w:p>
            <w:pPr>
              <w:spacing w:after="0"/>
              <w:rPr>
                <w:sz w:val="20"/>
                <w:szCs w:val="20"/>
                <w:color w:val="auto"/>
              </w:rPr>
            </w:pPr>
          </w:p>
        </w:tc>
        <w:tc>
          <w:tcPr>
            <w:tcW w:w="1380" w:type="dxa"/>
            <w:vAlign w:val="bottom"/>
            <w:tcBorders>
              <w:bottom w:val="single" w:sz="8" w:color="auto"/>
              <w:right w:val="single" w:sz="8" w:color="auto"/>
            </w:tcBorders>
            <w:shd w:val="clear" w:color="auto" w:fill="D9D9D9"/>
          </w:tcPr>
          <w:p>
            <w:pPr>
              <w:spacing w:after="0"/>
              <w:rPr>
                <w:sz w:val="20"/>
                <w:szCs w:val="20"/>
                <w:color w:val="auto"/>
              </w:rPr>
            </w:pPr>
          </w:p>
        </w:tc>
        <w:tc>
          <w:tcPr>
            <w:tcW w:w="1060" w:type="dxa"/>
            <w:vAlign w:val="bottom"/>
            <w:tcBorders>
              <w:bottom w:val="single" w:sz="8" w:color="auto"/>
            </w:tcBorders>
            <w:shd w:val="clear" w:color="auto" w:fill="D9D9D9"/>
          </w:tcPr>
          <w:p>
            <w:pPr>
              <w:spacing w:after="0"/>
              <w:rPr>
                <w:sz w:val="20"/>
                <w:szCs w:val="20"/>
                <w:color w:val="auto"/>
              </w:rPr>
            </w:pPr>
          </w:p>
        </w:tc>
        <w:tc>
          <w:tcPr>
            <w:tcW w:w="280" w:type="dxa"/>
            <w:vAlign w:val="bottom"/>
            <w:tcBorders>
              <w:bottom w:val="single" w:sz="8" w:color="auto"/>
              <w:right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Part I: Gender Identity</w:t>
            </w:r>
          </w:p>
        </w:tc>
        <w:tc>
          <w:tcPr>
            <w:tcW w:w="1380" w:type="dxa"/>
            <w:vAlign w:val="bottom"/>
            <w:tcBorders>
              <w:bottom w:val="single" w:sz="8" w:color="auto"/>
              <w:right w:val="single" w:sz="8" w:color="D9D9D9"/>
            </w:tcBorders>
            <w:shd w:val="clear" w:color="auto" w:fill="D9D9D9"/>
          </w:tcPr>
          <w:p>
            <w:pPr>
              <w:spacing w:after="0"/>
              <w:rPr>
                <w:sz w:val="20"/>
                <w:szCs w:val="20"/>
                <w:color w:val="auto"/>
              </w:rPr>
            </w:pPr>
          </w:p>
        </w:tc>
        <w:tc>
          <w:tcPr>
            <w:tcW w:w="1060" w:type="dxa"/>
            <w:vAlign w:val="bottom"/>
            <w:tcBorders>
              <w:bottom w:val="single" w:sz="8" w:color="auto"/>
            </w:tcBorders>
            <w:shd w:val="clear" w:color="auto" w:fill="D9D9D9"/>
          </w:tcPr>
          <w:p>
            <w:pPr>
              <w:spacing w:after="0"/>
              <w:rPr>
                <w:sz w:val="20"/>
                <w:szCs w:val="20"/>
                <w:color w:val="auto"/>
              </w:rPr>
            </w:pPr>
          </w:p>
        </w:tc>
        <w:tc>
          <w:tcPr>
            <w:tcW w:w="28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Directors</w:t>
            </w:r>
          </w:p>
        </w:tc>
        <w:tc>
          <w:tcPr>
            <w:tcW w:w="13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5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6"/>
                <w:szCs w:val="16"/>
                <w:b w:val="1"/>
                <w:bCs w:val="1"/>
                <w:color w:val="auto"/>
              </w:rPr>
              <w:t>Part II: Demographic Background</w:t>
            </w:r>
          </w:p>
        </w:tc>
        <w:tc>
          <w:tcPr>
            <w:tcW w:w="1380" w:type="dxa"/>
            <w:vAlign w:val="bottom"/>
            <w:tcBorders>
              <w:bottom w:val="single" w:sz="8" w:color="auto"/>
              <w:right w:val="single" w:sz="8" w:color="D9D9D9"/>
            </w:tcBorders>
            <w:shd w:val="clear" w:color="auto" w:fill="D9D9D9"/>
          </w:tcPr>
          <w:p>
            <w:pPr>
              <w:spacing w:after="0"/>
              <w:rPr>
                <w:sz w:val="20"/>
                <w:szCs w:val="20"/>
                <w:color w:val="auto"/>
              </w:rPr>
            </w:pPr>
          </w:p>
        </w:tc>
        <w:tc>
          <w:tcPr>
            <w:tcW w:w="1060" w:type="dxa"/>
            <w:vAlign w:val="bottom"/>
            <w:tcBorders>
              <w:bottom w:val="single" w:sz="8" w:color="auto"/>
            </w:tcBorders>
            <w:shd w:val="clear" w:color="auto" w:fill="D9D9D9"/>
          </w:tcPr>
          <w:p>
            <w:pPr>
              <w:spacing w:after="0"/>
              <w:rPr>
                <w:sz w:val="20"/>
                <w:szCs w:val="20"/>
                <w:color w:val="auto"/>
              </w:rPr>
            </w:pPr>
          </w:p>
        </w:tc>
        <w:tc>
          <w:tcPr>
            <w:tcW w:w="28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D9D9D9"/>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Underrepresented Individual in Home Country Jurisdiction</w:t>
            </w: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LGBTQ+</w:t>
            </w: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Did Not Disclose Demographic Background</w:t>
            </w: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Corporate Governance Practices</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102" w:lineRule="exact"/>
        <w:rPr>
          <w:sz w:val="20"/>
          <w:szCs w:val="20"/>
          <w:color w:val="auto"/>
        </w:rPr>
      </w:pPr>
    </w:p>
    <w:p>
      <w:pPr>
        <w:ind w:left="900" w:right="480" w:hanging="443"/>
        <w:spacing w:after="0" w:line="282" w:lineRule="auto"/>
        <w:tabs>
          <w:tab w:leader="none" w:pos="90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filing quarterly reports on Form 10-Q and current reports on Form 8-K disclosing significant events within four days of their occurrence.</w:t>
      </w:r>
    </w:p>
    <w:p>
      <w:pPr>
        <w:spacing w:after="0" w:line="103" w:lineRule="exact"/>
        <w:rPr>
          <w:rFonts w:ascii="Times New Roman" w:cs="Times New Roman" w:eastAsia="Times New Roman" w:hAnsi="Times New Roman"/>
          <w:sz w:val="16"/>
          <w:szCs w:val="16"/>
          <w:color w:val="auto"/>
        </w:rPr>
      </w:pPr>
    </w:p>
    <w:p>
      <w:pPr>
        <w:ind w:left="900" w:hanging="443"/>
        <w:spacing w:after="0" w:line="282" w:lineRule="auto"/>
        <w:tabs>
          <w:tab w:leader="none" w:pos="90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Section 16 rules regarding sales of ordinary shares by insiders, which will provide less data in this regard than to shareholders of U.S. companies that are subject to the Exchange Act.</w:t>
      </w:r>
    </w:p>
    <w:p>
      <w:pPr>
        <w:spacing w:after="0" w:line="103" w:lineRule="exact"/>
        <w:rPr>
          <w:rFonts w:ascii="Times New Roman" w:cs="Times New Roman" w:eastAsia="Times New Roman" w:hAnsi="Times New Roman"/>
          <w:sz w:val="16"/>
          <w:szCs w:val="16"/>
          <w:color w:val="auto"/>
        </w:rPr>
      </w:pPr>
    </w:p>
    <w:p>
      <w:pPr>
        <w:ind w:left="900" w:right="220" w:hanging="443"/>
        <w:spacing w:after="0" w:line="282" w:lineRule="auto"/>
        <w:tabs>
          <w:tab w:leader="none" w:pos="90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03" w:lineRule="exact"/>
        <w:rPr>
          <w:rFonts w:ascii="Times New Roman" w:cs="Times New Roman" w:eastAsia="Times New Roman" w:hAnsi="Times New Roman"/>
          <w:sz w:val="16"/>
          <w:szCs w:val="16"/>
          <w:color w:val="auto"/>
        </w:rPr>
      </w:pPr>
    </w:p>
    <w:p>
      <w:pPr>
        <w:ind w:left="900" w:hanging="443"/>
        <w:spacing w:after="0" w:line="282" w:lineRule="auto"/>
        <w:tabs>
          <w:tab w:leader="none" w:pos="90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provide in our bylaws for a generally applicable quorum and that such quorum not be less than one-third of the outstanding voting stock.</w:t>
      </w:r>
    </w:p>
    <w:p>
      <w:pPr>
        <w:spacing w:after="0" w:line="103" w:lineRule="exact"/>
        <w:rPr>
          <w:rFonts w:ascii="Times New Roman" w:cs="Times New Roman" w:eastAsia="Times New Roman" w:hAnsi="Times New Roman"/>
          <w:sz w:val="16"/>
          <w:szCs w:val="16"/>
          <w:color w:val="auto"/>
        </w:rPr>
      </w:pPr>
    </w:p>
    <w:p>
      <w:pPr>
        <w:ind w:left="900" w:right="20" w:hanging="443"/>
        <w:spacing w:after="0" w:line="282" w:lineRule="auto"/>
        <w:tabs>
          <w:tab w:leader="none" w:pos="90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solicit proxies and provide proxy statements for all meetings of Shareholders and shall provide copies of such proxy solicitation to Nasdaq.</w:t>
      </w:r>
    </w:p>
    <w:p>
      <w:pPr>
        <w:spacing w:after="0" w:line="103" w:lineRule="exact"/>
        <w:rPr>
          <w:rFonts w:ascii="Times New Roman" w:cs="Times New Roman" w:eastAsia="Times New Roman" w:hAnsi="Times New Roman"/>
          <w:sz w:val="16"/>
          <w:szCs w:val="16"/>
          <w:color w:val="auto"/>
        </w:rPr>
      </w:pPr>
    </w:p>
    <w:p>
      <w:pPr>
        <w:ind w:left="900" w:right="100" w:hanging="443"/>
        <w:spacing w:after="0" w:line="263" w:lineRule="auto"/>
        <w:tabs>
          <w:tab w:leader="none" w:pos="90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2"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Nasdaq Rule 5615(a)(3) provides that a foreign private issuer may rely on home country corporate governance practices in lieu of certain of the rules in the Nasdaq Rule 5600 Series, Rule 5250(b)(3) and Rule 5250(d).</w:t>
      </w:r>
    </w:p>
    <w:p>
      <w:pPr>
        <w:spacing w:after="0" w:line="129" w:lineRule="exact"/>
        <w:rPr>
          <w:sz w:val="20"/>
          <w:szCs w:val="20"/>
          <w:color w:val="auto"/>
        </w:rPr>
      </w:pPr>
    </w:p>
    <w:p>
      <w:pPr>
        <w:ind w:right="100" w:firstLine="458"/>
        <w:spacing w:after="0" w:line="283" w:lineRule="auto"/>
        <w:rPr>
          <w:sz w:val="20"/>
          <w:szCs w:val="20"/>
          <w:color w:val="auto"/>
        </w:rPr>
      </w:pPr>
      <w:r>
        <w:rPr>
          <w:rFonts w:ascii="Arial" w:cs="Arial" w:eastAsia="Arial" w:hAnsi="Arial"/>
          <w:sz w:val="16"/>
          <w:szCs w:val="16"/>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16"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76"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 xml:space="preserve">The audit committee, which consists of Mr. Schikan, Ms. Monges and Dr. </w:t>
      </w:r>
      <w:r>
        <w:rPr>
          <w:rFonts w:ascii="Arial" w:cs="Arial" w:eastAsia="Arial" w:hAnsi="Arial"/>
          <w:sz w:val="16"/>
          <w:szCs w:val="16"/>
          <w:color w:val="111619"/>
        </w:rPr>
        <w:t>Glassman</w:t>
      </w:r>
      <w:r>
        <w:rPr>
          <w:rFonts w:ascii="Arial" w:cs="Arial" w:eastAsia="Arial" w:hAnsi="Arial"/>
          <w:sz w:val="16"/>
          <w:szCs w:val="16"/>
          <w:color w:val="auto"/>
        </w:rPr>
        <w:t xml:space="preserve">, assists the Board in overseeing our accounting and financial reporting processes and the audits of our financial statements. Ms. Monges serves as Chair of the Audit Committee. In addition, the audit committee is responsible for the appointment, compensation, retention and oversight of the work of our independent registered public accounting firm. Our Board has determined that Mr. Schikan, Ms. Monges and Dr. </w:t>
      </w:r>
      <w:r>
        <w:rPr>
          <w:rFonts w:ascii="Arial" w:cs="Arial" w:eastAsia="Arial" w:hAnsi="Arial"/>
          <w:sz w:val="16"/>
          <w:szCs w:val="16"/>
          <w:color w:val="111619"/>
        </w:rPr>
        <w:t>Glassman,</w:t>
      </w:r>
      <w:r>
        <w:rPr>
          <w:rFonts w:ascii="Arial" w:cs="Arial" w:eastAsia="Arial" w:hAnsi="Arial"/>
          <w:sz w:val="16"/>
          <w:szCs w:val="16"/>
          <w:color w:val="auto"/>
        </w:rPr>
        <w:t xml:space="preserve"> satisfy the “independence” requirements set forth in the Nasdaq listing standards and Rule 10A-3 under the Exchange Act. Our Board has determined that Mr. Schikan and Ms. Monges qualify as “audit committee financial experts,” as such term is defined in the rules of the SEC. </w:t>
      </w:r>
      <w:r>
        <w:rPr>
          <w:rFonts w:ascii="Arial" w:cs="Arial" w:eastAsia="Arial" w:hAnsi="Arial"/>
          <w:sz w:val="16"/>
          <w:szCs w:val="16"/>
          <w:color w:val="111619"/>
        </w:rPr>
        <w:t>Dr. de Jonge Schuermans served on the Audit Committee until July 1, 2023 and was replaced by</w:t>
      </w:r>
      <w:r>
        <w:rPr>
          <w:rFonts w:ascii="Arial" w:cs="Arial" w:eastAsia="Arial" w:hAnsi="Arial"/>
          <w:sz w:val="16"/>
          <w:szCs w:val="16"/>
          <w:color w:val="auto"/>
        </w:rPr>
        <w:t xml:space="preserve"> Dr. </w:t>
      </w:r>
      <w:r>
        <w:rPr>
          <w:rFonts w:ascii="Arial" w:cs="Arial" w:eastAsia="Arial" w:hAnsi="Arial"/>
          <w:sz w:val="16"/>
          <w:szCs w:val="16"/>
          <w:color w:val="111619"/>
        </w:rPr>
        <w:t>Glassman as a member of the</w:t>
      </w:r>
      <w:r>
        <w:rPr>
          <w:rFonts w:ascii="Arial" w:cs="Arial" w:eastAsia="Arial" w:hAnsi="Arial"/>
          <w:sz w:val="16"/>
          <w:szCs w:val="16"/>
          <w:color w:val="auto"/>
        </w:rPr>
        <w:t xml:space="preserve"> </w:t>
      </w:r>
      <w:r>
        <w:rPr>
          <w:rFonts w:ascii="Arial" w:cs="Arial" w:eastAsia="Arial" w:hAnsi="Arial"/>
          <w:sz w:val="16"/>
          <w:szCs w:val="16"/>
          <w:color w:val="111619"/>
        </w:rPr>
        <w:t>Audit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89" w:lineRule="exact"/>
        <w:rPr>
          <w:sz w:val="20"/>
          <w:szCs w:val="20"/>
          <w:color w:val="auto"/>
        </w:rPr>
      </w:pPr>
    </w:p>
    <w:p>
      <w:pPr>
        <w:jc w:val="both"/>
        <w:ind w:right="320" w:firstLine="458"/>
        <w:spacing w:after="0" w:line="264" w:lineRule="auto"/>
        <w:rPr>
          <w:sz w:val="20"/>
          <w:szCs w:val="20"/>
          <w:color w:val="auto"/>
        </w:rPr>
      </w:pPr>
      <w:r>
        <w:rPr>
          <w:rFonts w:ascii="Arial" w:cs="Arial" w:eastAsia="Arial" w:hAnsi="Arial"/>
          <w:sz w:val="16"/>
          <w:szCs w:val="16"/>
          <w:color w:val="auto"/>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the “independence” requirements under the Exchange Act and the Nasdaq listing standards.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Nomination and corporate governance committee</w:t>
      </w:r>
    </w:p>
    <w:p>
      <w:pPr>
        <w:spacing w:after="0" w:line="176" w:lineRule="exact"/>
        <w:rPr>
          <w:sz w:val="20"/>
          <w:szCs w:val="20"/>
          <w:color w:val="auto"/>
        </w:rPr>
      </w:pPr>
    </w:p>
    <w:p>
      <w:pPr>
        <w:ind w:right="600" w:firstLine="458"/>
        <w:spacing w:after="0" w:line="283" w:lineRule="auto"/>
        <w:rPr>
          <w:sz w:val="20"/>
          <w:szCs w:val="20"/>
          <w:color w:val="auto"/>
        </w:rPr>
      </w:pPr>
      <w:r>
        <w:rPr>
          <w:rFonts w:ascii="Arial" w:cs="Arial" w:eastAsia="Arial" w:hAnsi="Arial"/>
          <w:sz w:val="16"/>
          <w:szCs w:val="16"/>
          <w:color w:val="auto"/>
        </w:rPr>
        <w:t>The nomination and corporate governance committee, which consists of Dr. Björk, Dr. Meeker and Ms. Monges, assists our Board in identifying individuals qualified to become members of our Board consistent with criteria established by our Board and in developing our code of conduct.</w:t>
      </w:r>
    </w:p>
    <w:p>
      <w:pPr>
        <w:spacing w:after="0" w:line="129" w:lineRule="exact"/>
        <w:rPr>
          <w:sz w:val="20"/>
          <w:szCs w:val="20"/>
          <w:color w:val="auto"/>
        </w:rPr>
      </w:pPr>
    </w:p>
    <w:p>
      <w:pPr>
        <w:ind w:right="280" w:firstLine="458"/>
        <w:spacing w:after="0" w:line="264" w:lineRule="auto"/>
        <w:rPr>
          <w:sz w:val="20"/>
          <w:szCs w:val="20"/>
          <w:color w:val="auto"/>
        </w:rPr>
      </w:pPr>
      <w:r>
        <w:rPr>
          <w:rFonts w:ascii="Arial" w:cs="Arial" w:eastAsia="Arial" w:hAnsi="Arial"/>
          <w:sz w:val="16"/>
          <w:szCs w:val="16"/>
          <w:color w:val="auto"/>
        </w:rPr>
        <w:t xml:space="preserve">Dr. Meeker serves as Chairman of the committee. Our Board has determined that Dr. Björk, Dr. Meeker and Ms. Monges satisfy the “independence” requirements under the Exchange Act and the Nasdaq listing standards. </w:t>
      </w:r>
      <w:r>
        <w:rPr>
          <w:rFonts w:ascii="Arial" w:cs="Arial" w:eastAsia="Arial" w:hAnsi="Arial"/>
          <w:sz w:val="16"/>
          <w:szCs w:val="16"/>
          <w:color w:val="111619"/>
        </w:rPr>
        <w:t>Dr. de Jonge Schuermans served on the Nomination &amp; Corporate Governance</w:t>
      </w:r>
      <w:r>
        <w:rPr>
          <w:rFonts w:ascii="Arial" w:cs="Arial" w:eastAsia="Arial" w:hAnsi="Arial"/>
          <w:sz w:val="16"/>
          <w:szCs w:val="16"/>
          <w:color w:val="auto"/>
        </w:rPr>
        <w:t xml:space="preserve"> </w:t>
      </w:r>
      <w:r>
        <w:rPr>
          <w:rFonts w:ascii="Arial" w:cs="Arial" w:eastAsia="Arial" w:hAnsi="Arial"/>
          <w:sz w:val="16"/>
          <w:szCs w:val="16"/>
          <w:color w:val="111619"/>
        </w:rPr>
        <w:t>Committee until July 1, 2023 and was replaced by Ms. Monges.</w:t>
      </w:r>
    </w:p>
    <w:p>
      <w:pPr>
        <w:spacing w:after="0" w:line="130" w:lineRule="exact"/>
        <w:rPr>
          <w:sz w:val="20"/>
          <w:szCs w:val="20"/>
          <w:color w:val="auto"/>
        </w:rPr>
      </w:pPr>
    </w:p>
    <w:p>
      <w:pPr>
        <w:ind w:left="920" w:hanging="463"/>
        <w:spacing w:after="0"/>
        <w:tabs>
          <w:tab w:leader="none" w:pos="9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178" w:lineRule="exact"/>
        <w:rPr>
          <w:sz w:val="20"/>
          <w:szCs w:val="20"/>
          <w:color w:val="auto"/>
        </w:rPr>
      </w:pPr>
    </w:p>
    <w:p>
      <w:pPr>
        <w:ind w:right="700" w:firstLine="458"/>
        <w:spacing w:after="0" w:line="283" w:lineRule="auto"/>
        <w:rPr>
          <w:sz w:val="20"/>
          <w:szCs w:val="20"/>
          <w:color w:val="auto"/>
        </w:rPr>
      </w:pPr>
      <w:r>
        <w:rPr>
          <w:rFonts w:ascii="Arial" w:cs="Arial" w:eastAsia="Arial" w:hAnsi="Arial"/>
          <w:sz w:val="16"/>
          <w:szCs w:val="16"/>
          <w:color w:val="auto"/>
        </w:rPr>
        <w:t>As of December 31, 2023, we had 82 employees. None of our employees are represented by labor unions or covered by collective bargaining agreements. We believe our relations with our employees are good.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out the number of employees by main category of activity and geographical location as of December 31, 2023:</w:t>
      </w:r>
    </w:p>
    <w:p>
      <w:pPr>
        <w:spacing w:after="0" w:line="346" w:lineRule="exact"/>
        <w:rPr>
          <w:sz w:val="20"/>
          <w:szCs w:val="20"/>
          <w:color w:val="auto"/>
        </w:rPr>
      </w:pPr>
    </w:p>
    <w:tbl>
      <w:tblPr>
        <w:tblLayout w:type="fixed"/>
        <w:tblInd w:w="2820" w:type="dxa"/>
        <w:tblCellMar>
          <w:top w:w="0" w:type="dxa"/>
          <w:left w:w="0" w:type="dxa"/>
          <w:bottom w:w="0" w:type="dxa"/>
          <w:right w:w="0" w:type="dxa"/>
        </w:tblCellMar>
      </w:tblPr>
      <w:tr>
        <w:trPr>
          <w:trHeight w:val="149"/>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auto"/>
              </w:rPr>
              <w:t>Geography</w:t>
            </w:r>
          </w:p>
        </w:tc>
        <w:tc>
          <w:tcPr>
            <w:tcW w:w="120" w:type="dxa"/>
            <w:vAlign w:val="bottom"/>
          </w:tcPr>
          <w:p>
            <w:pPr>
              <w:spacing w:after="0"/>
              <w:rPr>
                <w:sz w:val="12"/>
                <w:szCs w:val="12"/>
                <w:color w:val="auto"/>
              </w:rPr>
            </w:pPr>
          </w:p>
        </w:tc>
        <w:tc>
          <w:tcPr>
            <w:tcW w:w="1160" w:type="dxa"/>
            <w:vAlign w:val="bottom"/>
          </w:tcPr>
          <w:p>
            <w:pPr>
              <w:jc w:val="center"/>
              <w:ind w:left="157"/>
              <w:spacing w:after="0"/>
              <w:rPr>
                <w:sz w:val="20"/>
                <w:szCs w:val="20"/>
                <w:color w:val="auto"/>
              </w:rPr>
            </w:pPr>
            <w:r>
              <w:rPr>
                <w:rFonts w:ascii="Arial" w:cs="Arial" w:eastAsia="Arial" w:hAnsi="Arial"/>
                <w:sz w:val="13"/>
                <w:szCs w:val="13"/>
                <w:b w:val="1"/>
                <w:bCs w:val="1"/>
                <w:color w:val="auto"/>
                <w:w w:val="96"/>
              </w:rPr>
              <w:t>Research and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ind w:right="171"/>
              <w:spacing w:after="0"/>
              <w:rPr>
                <w:sz w:val="20"/>
                <w:szCs w:val="20"/>
                <w:color w:val="auto"/>
              </w:rPr>
            </w:pPr>
            <w:r>
              <w:rPr>
                <w:rFonts w:ascii="Arial" w:cs="Arial" w:eastAsia="Arial" w:hAnsi="Arial"/>
                <w:sz w:val="13"/>
                <w:szCs w:val="13"/>
                <w:b w:val="1"/>
                <w:bCs w:val="1"/>
                <w:color w:val="auto"/>
              </w:rPr>
              <w:t>General and</w:t>
            </w:r>
          </w:p>
        </w:tc>
        <w:tc>
          <w:tcPr>
            <w:tcW w:w="60" w:type="dxa"/>
            <w:vAlign w:val="bottom"/>
          </w:tcPr>
          <w:p>
            <w:pPr>
              <w:spacing w:after="0"/>
              <w:rPr>
                <w:sz w:val="12"/>
                <w:szCs w:val="12"/>
                <w:color w:val="auto"/>
              </w:rPr>
            </w:pPr>
          </w:p>
        </w:tc>
        <w:tc>
          <w:tcPr>
            <w:tcW w:w="82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94"/>
              </w:rPr>
              <w:t>development</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administrative</w:t>
            </w:r>
          </w:p>
        </w:tc>
        <w:tc>
          <w:tcPr>
            <w:tcW w:w="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20" w:type="dxa"/>
            <w:vAlign w:val="bottom"/>
            <w:shd w:val="clear" w:color="auto" w:fill="CFF0FC"/>
          </w:tcPr>
          <w:p>
            <w:pPr>
              <w:spacing w:after="0"/>
              <w:rPr>
                <w:sz w:val="20"/>
                <w:szCs w:val="20"/>
                <w:color w:val="auto"/>
              </w:rPr>
            </w:pPr>
            <w:r>
              <w:rPr>
                <w:rFonts w:ascii="Arial" w:cs="Arial" w:eastAsia="Arial" w:hAnsi="Arial"/>
                <w:sz w:val="16"/>
                <w:szCs w:val="16"/>
                <w:color w:val="auto"/>
              </w:rPr>
              <w:t>Switzerland</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Arial" w:cs="Arial" w:eastAsia="Arial" w:hAnsi="Arial"/>
                <w:sz w:val="16"/>
                <w:szCs w:val="16"/>
                <w:color w:val="auto"/>
              </w:rPr>
              <w:t>The Netherlands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2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-169545</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-169545</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-169545</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7" w:lineRule="exact"/>
        <w:rPr>
          <w:sz w:val="20"/>
          <w:szCs w:val="20"/>
          <w:color w:val="auto"/>
        </w:rPr>
      </w:pPr>
    </w:p>
    <w:p>
      <w:pPr>
        <w:ind w:left="920" w:hanging="463"/>
        <w:spacing w:after="0"/>
        <w:tabs>
          <w:tab w:leader="none" w:pos="92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78" w:lineRule="exact"/>
        <w:rPr>
          <w:sz w:val="20"/>
          <w:szCs w:val="20"/>
          <w:color w:val="auto"/>
        </w:rPr>
      </w:pPr>
    </w:p>
    <w:p>
      <w:pPr>
        <w:ind w:right="200" w:firstLine="458"/>
        <w:spacing w:after="0" w:line="283" w:lineRule="auto"/>
        <w:rPr>
          <w:sz w:val="20"/>
          <w:szCs w:val="20"/>
          <w:color w:val="auto"/>
        </w:rPr>
      </w:pPr>
      <w:r>
        <w:rPr>
          <w:rFonts w:ascii="Arial" w:cs="Arial" w:eastAsia="Arial" w:hAnsi="Arial"/>
          <w:sz w:val="16"/>
          <w:szCs w:val="16"/>
          <w:color w:val="auto"/>
        </w:rPr>
        <w:t>See “ITEM 6. DIRECTORS, SENIOR MANAGEMENT AND EMPLOYEES—B. Compensation—Disclosure of Compensation of our Board and Senior Management” and “ITEM 7. MAJOR SHAREHOLDERS AND RELATED PARTY TRANSACTIONS—A. Major shareholders.</w:t>
      </w:r>
    </w:p>
    <w:p>
      <w:pPr>
        <w:spacing w:after="0" w:line="129" w:lineRule="exact"/>
        <w:rPr>
          <w:sz w:val="20"/>
          <w:szCs w:val="20"/>
          <w:color w:val="auto"/>
        </w:rPr>
      </w:pPr>
    </w:p>
    <w:p>
      <w:pPr>
        <w:ind w:left="920" w:hanging="463"/>
        <w:spacing w:after="0"/>
        <w:tabs>
          <w:tab w:leader="none" w:pos="92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a registrant’s action to recover erroneously awarded compensation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Major shareholders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relating to the beneficial ownership of Pharvaris’ ordinary shares as of April 1, 2024, by:</w:t>
      </w:r>
    </w:p>
    <w:p>
      <w:pPr>
        <w:spacing w:after="0" w:line="165" w:lineRule="exact"/>
        <w:rPr>
          <w:sz w:val="20"/>
          <w:szCs w:val="20"/>
          <w:color w:val="auto"/>
        </w:rPr>
      </w:pPr>
    </w:p>
    <w:p>
      <w:pPr>
        <w:ind w:left="900" w:hanging="443"/>
        <w:spacing w:after="0"/>
        <w:tabs>
          <w:tab w:leader="none" w:pos="9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or group of affiliated persons, known by us to own beneficially 5% or more of our outstanding ordinary shares;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each member of our Board and Senior Management; and</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all members of our Board and Senior Management as a group.</w:t>
      </w:r>
    </w:p>
    <w:p>
      <w:pPr>
        <w:spacing w:after="0" w:line="365" w:lineRule="exact"/>
        <w:rPr>
          <w:sz w:val="20"/>
          <w:szCs w:val="20"/>
          <w:color w:val="auto"/>
        </w:rPr>
      </w:pPr>
    </w:p>
    <w:p>
      <w:pPr>
        <w:ind w:right="520"/>
        <w:spacing w:after="0" w:line="264" w:lineRule="auto"/>
        <w:rPr>
          <w:sz w:val="20"/>
          <w:szCs w:val="20"/>
          <w:color w:val="auto"/>
        </w:rPr>
      </w:pPr>
      <w:r>
        <w:rPr>
          <w:rFonts w:ascii="Arial" w:cs="Arial" w:eastAsia="Arial" w:hAnsi="Arial"/>
          <w:sz w:val="16"/>
          <w:szCs w:val="16"/>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investment power as well as any ordinary shares that the individual has the right to acquire within 60 days of April 1, 2024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44"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This table is based upon information supplied by our named senior management, directors, and principal shareholders, and Schedules 13D, and 13G filed with the SEC. The percentage of outstanding ordinary shares is computed on the basis of 53,816,707 ordinary shares outstanding as of April 1, 2024. Ordinary shares that a person has the right to acquire within 60 days of April 1, 2024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Board and Senior Management as a group. Unless otherwise indicated below, the address for each beneficial owner is c/o Pharvaris N.V., Emmy Noetherweg 2, 2333 BK Leiden, The Netherlands.</w:t>
      </w:r>
    </w:p>
    <w:tbl>
      <w:tblPr>
        <w:tblLayout w:type="fixed"/>
        <w:tblInd w:w="0" w:type="dxa"/>
        <w:tblCellMar>
          <w:top w:w="0" w:type="dxa"/>
          <w:left w:w="0" w:type="dxa"/>
          <w:bottom w:w="0" w:type="dxa"/>
          <w:right w:w="0" w:type="dxa"/>
        </w:tblCellMar>
      </w:tblPr>
      <w:tr>
        <w:trPr>
          <w:trHeight w:val="124"/>
        </w:trPr>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gridSpan w:val="5"/>
          </w:tcPr>
          <w:p>
            <w:pPr>
              <w:jc w:val="right"/>
              <w:ind w:right="540"/>
              <w:spacing w:after="0" w:line="124" w:lineRule="exact"/>
              <w:rPr>
                <w:sz w:val="20"/>
                <w:szCs w:val="20"/>
                <w:color w:val="auto"/>
              </w:rPr>
            </w:pPr>
            <w:r>
              <w:rPr>
                <w:rFonts w:ascii="Arial" w:cs="Arial" w:eastAsia="Arial" w:hAnsi="Arial"/>
                <w:sz w:val="13"/>
                <w:szCs w:val="13"/>
                <w:b w:val="1"/>
                <w:bCs w:val="1"/>
                <w:color w:val="auto"/>
              </w:rPr>
              <w:t>Ordinary Shares Beneficially</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1180"/>
              <w:spacing w:after="0"/>
              <w:rPr>
                <w:sz w:val="20"/>
                <w:szCs w:val="20"/>
                <w:color w:val="auto"/>
              </w:rPr>
            </w:pPr>
            <w:r>
              <w:rPr>
                <w:rFonts w:ascii="Arial" w:cs="Arial" w:eastAsia="Arial" w:hAnsi="Arial"/>
                <w:sz w:val="13"/>
                <w:szCs w:val="13"/>
                <w:b w:val="1"/>
                <w:bCs w:val="1"/>
                <w:color w:val="auto"/>
              </w:rPr>
              <w:t>Owned</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top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Percentage of</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Class</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5% Beneficial Owner:</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EQT Life Sciences (Formerly LSP V Coöperatieve U.A.) (1)</w:t>
            </w:r>
          </w:p>
        </w:tc>
        <w:tc>
          <w:tcPr>
            <w:tcW w:w="1160" w:type="dxa"/>
            <w:vAlign w:val="bottom"/>
          </w:tcPr>
          <w:p>
            <w:pPr>
              <w:jc w:val="right"/>
              <w:spacing w:after="0"/>
              <w:rPr>
                <w:sz w:val="20"/>
                <w:szCs w:val="20"/>
                <w:color w:val="auto"/>
              </w:rPr>
            </w:pPr>
            <w:r>
              <w:rPr>
                <w:rFonts w:ascii="Arial" w:cs="Arial" w:eastAsia="Arial" w:hAnsi="Arial"/>
                <w:sz w:val="16"/>
                <w:szCs w:val="16"/>
                <w:color w:val="auto"/>
              </w:rPr>
              <w:t>3,556,805</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6.61 %</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FMR LLC (2)</w:t>
            </w:r>
          </w:p>
        </w:tc>
        <w:tc>
          <w:tcPr>
            <w:tcW w:w="1160" w:type="dxa"/>
            <w:vAlign w:val="bottom"/>
          </w:tcPr>
          <w:p>
            <w:pPr>
              <w:jc w:val="right"/>
              <w:spacing w:after="0"/>
              <w:rPr>
                <w:sz w:val="20"/>
                <w:szCs w:val="20"/>
                <w:color w:val="auto"/>
              </w:rPr>
            </w:pPr>
            <w:r>
              <w:rPr>
                <w:rFonts w:ascii="Arial" w:cs="Arial" w:eastAsia="Arial" w:hAnsi="Arial"/>
                <w:sz w:val="16"/>
                <w:szCs w:val="16"/>
                <w:color w:val="auto"/>
              </w:rPr>
              <w:t>5,192,894</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9.65 %</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Entities affiliated with Foresite Capital (3)</w:t>
            </w:r>
          </w:p>
        </w:tc>
        <w:tc>
          <w:tcPr>
            <w:tcW w:w="1160" w:type="dxa"/>
            <w:vAlign w:val="bottom"/>
          </w:tcPr>
          <w:p>
            <w:pPr>
              <w:jc w:val="right"/>
              <w:spacing w:after="0"/>
              <w:rPr>
                <w:sz w:val="20"/>
                <w:szCs w:val="20"/>
                <w:color w:val="auto"/>
              </w:rPr>
            </w:pPr>
            <w:r>
              <w:rPr>
                <w:rFonts w:ascii="Arial" w:cs="Arial" w:eastAsia="Arial" w:hAnsi="Arial"/>
                <w:sz w:val="16"/>
                <w:szCs w:val="16"/>
                <w:color w:val="auto"/>
              </w:rPr>
              <w:t>4,038,842</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7.50 %</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Viking Global Opportunities Illiquid Investments Sub-Master LP (4)</w:t>
            </w:r>
          </w:p>
        </w:tc>
        <w:tc>
          <w:tcPr>
            <w:tcW w:w="1160" w:type="dxa"/>
            <w:vAlign w:val="bottom"/>
          </w:tcPr>
          <w:p>
            <w:pPr>
              <w:jc w:val="right"/>
              <w:spacing w:after="0"/>
              <w:rPr>
                <w:sz w:val="20"/>
                <w:szCs w:val="20"/>
                <w:color w:val="auto"/>
              </w:rPr>
            </w:pPr>
            <w:r>
              <w:rPr>
                <w:rFonts w:ascii="Arial" w:cs="Arial" w:eastAsia="Arial" w:hAnsi="Arial"/>
                <w:sz w:val="16"/>
                <w:szCs w:val="16"/>
                <w:color w:val="auto"/>
              </w:rPr>
              <w:t>3,656,923</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6.80 %</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General Atlantic PH B.V. (5)</w:t>
            </w:r>
          </w:p>
        </w:tc>
        <w:tc>
          <w:tcPr>
            <w:tcW w:w="1160" w:type="dxa"/>
            <w:vAlign w:val="bottom"/>
          </w:tcPr>
          <w:p>
            <w:pPr>
              <w:jc w:val="right"/>
              <w:spacing w:after="0"/>
              <w:rPr>
                <w:sz w:val="20"/>
                <w:szCs w:val="20"/>
                <w:color w:val="auto"/>
              </w:rPr>
            </w:pPr>
            <w:r>
              <w:rPr>
                <w:rFonts w:ascii="Arial" w:cs="Arial" w:eastAsia="Arial" w:hAnsi="Arial"/>
                <w:sz w:val="16"/>
                <w:szCs w:val="16"/>
                <w:color w:val="auto"/>
              </w:rPr>
              <w:t>7,531,252</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13.99 %</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Entities affiliated with venBio Global Strategic Fund III, L.P. (6)</w:t>
            </w:r>
          </w:p>
        </w:tc>
        <w:tc>
          <w:tcPr>
            <w:tcW w:w="1160" w:type="dxa"/>
            <w:vAlign w:val="bottom"/>
          </w:tcPr>
          <w:p>
            <w:pPr>
              <w:jc w:val="right"/>
              <w:spacing w:after="0"/>
              <w:rPr>
                <w:sz w:val="20"/>
                <w:szCs w:val="20"/>
                <w:color w:val="auto"/>
              </w:rPr>
            </w:pPr>
            <w:r>
              <w:rPr>
                <w:rFonts w:ascii="Arial" w:cs="Arial" w:eastAsia="Arial" w:hAnsi="Arial"/>
                <w:sz w:val="16"/>
                <w:szCs w:val="16"/>
                <w:color w:val="auto"/>
              </w:rPr>
              <w:t>4,382,504</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8.14 %</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Entities affiliated with Venrock Healthcare Capital Partners III, L.P.(7)</w:t>
            </w:r>
          </w:p>
        </w:tc>
        <w:tc>
          <w:tcPr>
            <w:tcW w:w="1160" w:type="dxa"/>
            <w:vAlign w:val="bottom"/>
          </w:tcPr>
          <w:p>
            <w:pPr>
              <w:jc w:val="right"/>
              <w:spacing w:after="0"/>
              <w:rPr>
                <w:sz w:val="20"/>
                <w:szCs w:val="20"/>
                <w:color w:val="auto"/>
              </w:rPr>
            </w:pPr>
            <w:r>
              <w:rPr>
                <w:rFonts w:ascii="Arial" w:cs="Arial" w:eastAsia="Arial" w:hAnsi="Arial"/>
                <w:sz w:val="16"/>
                <w:szCs w:val="16"/>
                <w:color w:val="auto"/>
              </w:rPr>
              <w:t>3,395,606</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6.31 %</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Board and Senior Management:</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Mr. Modig (8)</w:t>
            </w:r>
          </w:p>
        </w:tc>
        <w:tc>
          <w:tcPr>
            <w:tcW w:w="1160" w:type="dxa"/>
            <w:vAlign w:val="bottom"/>
          </w:tcPr>
          <w:p>
            <w:pPr>
              <w:jc w:val="right"/>
              <w:spacing w:after="0"/>
              <w:rPr>
                <w:sz w:val="20"/>
                <w:szCs w:val="20"/>
                <w:color w:val="auto"/>
              </w:rPr>
            </w:pPr>
            <w:r>
              <w:rPr>
                <w:rFonts w:ascii="Arial" w:cs="Arial" w:eastAsia="Arial" w:hAnsi="Arial"/>
                <w:sz w:val="16"/>
                <w:szCs w:val="16"/>
                <w:color w:val="auto"/>
              </w:rPr>
              <w:t>1,567,083</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Dr. Knolle (9)</w:t>
            </w:r>
          </w:p>
        </w:tc>
        <w:tc>
          <w:tcPr>
            <w:tcW w:w="1160" w:type="dxa"/>
            <w:vAlign w:val="bottom"/>
          </w:tcPr>
          <w:p>
            <w:pPr>
              <w:jc w:val="right"/>
              <w:spacing w:after="0"/>
              <w:rPr>
                <w:sz w:val="20"/>
                <w:szCs w:val="20"/>
                <w:color w:val="auto"/>
              </w:rPr>
            </w:pPr>
            <w:r>
              <w:rPr>
                <w:rFonts w:ascii="Arial" w:cs="Arial" w:eastAsia="Arial" w:hAnsi="Arial"/>
                <w:sz w:val="16"/>
                <w:szCs w:val="16"/>
                <w:color w:val="auto"/>
              </w:rPr>
              <w:t>1,479,888</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Mr. Schikan (10)</w:t>
            </w:r>
          </w:p>
        </w:tc>
        <w:tc>
          <w:tcPr>
            <w:tcW w:w="1160" w:type="dxa"/>
            <w:vAlign w:val="bottom"/>
          </w:tcPr>
          <w:p>
            <w:pPr>
              <w:jc w:val="right"/>
              <w:spacing w:after="0"/>
              <w:rPr>
                <w:sz w:val="20"/>
                <w:szCs w:val="20"/>
                <w:color w:val="auto"/>
              </w:rPr>
            </w:pPr>
            <w:r>
              <w:rPr>
                <w:rFonts w:ascii="Arial" w:cs="Arial" w:eastAsia="Arial" w:hAnsi="Arial"/>
                <w:sz w:val="16"/>
                <w:szCs w:val="16"/>
                <w:color w:val="auto"/>
              </w:rPr>
              <w:t>513,240</w:t>
            </w:r>
          </w:p>
        </w:tc>
        <w:tc>
          <w:tcPr>
            <w:tcW w:w="1320" w:type="dxa"/>
            <w:vAlign w:val="bottom"/>
            <w:gridSpan w:val="2"/>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Lu (11)</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482,308</w:t>
            </w:r>
          </w:p>
        </w:tc>
        <w:tc>
          <w:tcPr>
            <w:tcW w:w="1320" w:type="dxa"/>
            <w:vAlign w:val="bottom"/>
            <w:gridSpan w:val="2"/>
            <w:shd w:val="clear" w:color="auto" w:fill="CFF0FC"/>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Dr. Lesage (12)</w:t>
            </w:r>
          </w:p>
        </w:tc>
        <w:tc>
          <w:tcPr>
            <w:tcW w:w="1160" w:type="dxa"/>
            <w:vAlign w:val="bottom"/>
          </w:tcPr>
          <w:p>
            <w:pPr>
              <w:jc w:val="right"/>
              <w:spacing w:after="0"/>
              <w:rPr>
                <w:sz w:val="20"/>
                <w:szCs w:val="20"/>
                <w:color w:val="auto"/>
              </w:rPr>
            </w:pPr>
            <w:r>
              <w:rPr>
                <w:rFonts w:ascii="Arial" w:cs="Arial" w:eastAsia="Arial" w:hAnsi="Arial"/>
                <w:sz w:val="16"/>
                <w:szCs w:val="16"/>
                <w:color w:val="auto"/>
              </w:rPr>
              <w:t>535,438</w:t>
            </w:r>
          </w:p>
        </w:tc>
        <w:tc>
          <w:tcPr>
            <w:tcW w:w="1320" w:type="dxa"/>
            <w:vAlign w:val="bottom"/>
            <w:gridSpan w:val="2"/>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Conn (13)</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299,076</w:t>
            </w:r>
          </w:p>
        </w:tc>
        <w:tc>
          <w:tcPr>
            <w:tcW w:w="1320" w:type="dxa"/>
            <w:vAlign w:val="bottom"/>
            <w:gridSpan w:val="2"/>
            <w:shd w:val="clear" w:color="auto" w:fill="CFF0FC"/>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Dr. Meeker (14)</w:t>
            </w:r>
          </w:p>
        </w:tc>
        <w:tc>
          <w:tcPr>
            <w:tcW w:w="1160" w:type="dxa"/>
            <w:vAlign w:val="bottom"/>
          </w:tcPr>
          <w:p>
            <w:pPr>
              <w:jc w:val="right"/>
              <w:spacing w:after="0"/>
              <w:rPr>
                <w:sz w:val="20"/>
                <w:szCs w:val="20"/>
                <w:color w:val="auto"/>
              </w:rPr>
            </w:pPr>
            <w:r>
              <w:rPr>
                <w:rFonts w:ascii="Arial" w:cs="Arial" w:eastAsia="Arial" w:hAnsi="Arial"/>
                <w:sz w:val="16"/>
                <w:szCs w:val="16"/>
                <w:color w:val="auto"/>
              </w:rPr>
              <w:t>131,469</w:t>
            </w:r>
          </w:p>
        </w:tc>
        <w:tc>
          <w:tcPr>
            <w:tcW w:w="1320" w:type="dxa"/>
            <w:vAlign w:val="bottom"/>
            <w:gridSpan w:val="2"/>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Glassman (15)</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41,227</w:t>
            </w:r>
          </w:p>
        </w:tc>
        <w:tc>
          <w:tcPr>
            <w:tcW w:w="1320" w:type="dxa"/>
            <w:vAlign w:val="bottom"/>
            <w:gridSpan w:val="2"/>
            <w:shd w:val="clear" w:color="auto" w:fill="CFF0FC"/>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Ms. Nijdam (16)</w:t>
            </w:r>
          </w:p>
        </w:tc>
        <w:tc>
          <w:tcPr>
            <w:tcW w:w="1160" w:type="dxa"/>
            <w:vAlign w:val="bottom"/>
          </w:tcPr>
          <w:p>
            <w:pPr>
              <w:jc w:val="right"/>
              <w:spacing w:after="0"/>
              <w:rPr>
                <w:sz w:val="20"/>
                <w:szCs w:val="20"/>
                <w:color w:val="auto"/>
              </w:rPr>
            </w:pPr>
            <w:r>
              <w:rPr>
                <w:rFonts w:ascii="Arial" w:cs="Arial" w:eastAsia="Arial" w:hAnsi="Arial"/>
                <w:sz w:val="16"/>
                <w:szCs w:val="16"/>
                <w:color w:val="auto"/>
              </w:rPr>
              <w:t>50,369</w:t>
            </w:r>
          </w:p>
        </w:tc>
        <w:tc>
          <w:tcPr>
            <w:tcW w:w="1320" w:type="dxa"/>
            <w:vAlign w:val="bottom"/>
            <w:gridSpan w:val="2"/>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Björk (17)</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29,969</w:t>
            </w:r>
          </w:p>
        </w:tc>
        <w:tc>
          <w:tcPr>
            <w:tcW w:w="1320" w:type="dxa"/>
            <w:vAlign w:val="bottom"/>
            <w:gridSpan w:val="2"/>
            <w:shd w:val="clear" w:color="auto" w:fill="CFF0FC"/>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Ms. Monges (18)</w:t>
            </w:r>
          </w:p>
        </w:tc>
        <w:tc>
          <w:tcPr>
            <w:tcW w:w="1160" w:type="dxa"/>
            <w:vAlign w:val="bottom"/>
          </w:tcPr>
          <w:p>
            <w:pPr>
              <w:jc w:val="right"/>
              <w:spacing w:after="0"/>
              <w:rPr>
                <w:sz w:val="20"/>
                <w:szCs w:val="20"/>
                <w:color w:val="auto"/>
              </w:rPr>
            </w:pPr>
            <w:r>
              <w:rPr>
                <w:rFonts w:ascii="Arial" w:cs="Arial" w:eastAsia="Arial" w:hAnsi="Arial"/>
                <w:sz w:val="16"/>
                <w:szCs w:val="16"/>
                <w:color w:val="auto"/>
              </w:rPr>
              <w:t>39,594</w:t>
            </w:r>
          </w:p>
        </w:tc>
        <w:tc>
          <w:tcPr>
            <w:tcW w:w="1320" w:type="dxa"/>
            <w:vAlign w:val="bottom"/>
            <w:gridSpan w:val="2"/>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Souverijns (19)</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135,625</w:t>
            </w:r>
          </w:p>
        </w:tc>
        <w:tc>
          <w:tcPr>
            <w:tcW w:w="1320" w:type="dxa"/>
            <w:vAlign w:val="bottom"/>
            <w:gridSpan w:val="2"/>
            <w:shd w:val="clear" w:color="auto" w:fill="CFF0FC"/>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Joan Schmidt, J.D. (20)</w:t>
            </w:r>
          </w:p>
        </w:tc>
        <w:tc>
          <w:tcPr>
            <w:tcW w:w="1160" w:type="dxa"/>
            <w:vAlign w:val="bottom"/>
          </w:tcPr>
          <w:p>
            <w:pPr>
              <w:jc w:val="right"/>
              <w:spacing w:after="0"/>
              <w:rPr>
                <w:sz w:val="20"/>
                <w:szCs w:val="20"/>
                <w:color w:val="auto"/>
              </w:rPr>
            </w:pPr>
            <w:r>
              <w:rPr>
                <w:rFonts w:ascii="Arial" w:cs="Arial" w:eastAsia="Arial" w:hAnsi="Arial"/>
                <w:sz w:val="16"/>
                <w:szCs w:val="16"/>
                <w:color w:val="auto"/>
              </w:rPr>
              <w:t>80,313</w:t>
            </w:r>
          </w:p>
        </w:tc>
        <w:tc>
          <w:tcPr>
            <w:tcW w:w="1320" w:type="dxa"/>
            <w:vAlign w:val="bottom"/>
            <w:gridSpan w:val="2"/>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Annick Deschoolmeester (21)</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36,803</w:t>
            </w:r>
          </w:p>
        </w:tc>
        <w:tc>
          <w:tcPr>
            <w:tcW w:w="1320" w:type="dxa"/>
            <w:vAlign w:val="bottom"/>
            <w:gridSpan w:val="2"/>
            <w:shd w:val="clear" w:color="auto" w:fill="CFF0FC"/>
          </w:tcPr>
          <w:p>
            <w:pPr>
              <w:jc w:val="right"/>
              <w:ind w:right="871"/>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Stefan Abele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All executive officers and board members as a group</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gridSpan w:val="3"/>
          </w:tcPr>
          <w:p>
            <w:pPr>
              <w:ind w:left="20"/>
              <w:spacing w:after="0"/>
              <w:rPr>
                <w:sz w:val="20"/>
                <w:szCs w:val="20"/>
                <w:color w:val="auto"/>
              </w:rPr>
            </w:pPr>
            <w:r>
              <w:rPr>
                <w:rFonts w:ascii="Arial" w:cs="Arial" w:eastAsia="Arial" w:hAnsi="Arial"/>
                <w:sz w:val="16"/>
                <w:szCs w:val="16"/>
                <w:color w:val="auto"/>
              </w:rPr>
              <w:t>(14 persons)</w:t>
            </w:r>
          </w:p>
        </w:tc>
        <w:tc>
          <w:tcPr>
            <w:tcW w:w="1160" w:type="dxa"/>
            <w:vAlign w:val="bottom"/>
          </w:tcPr>
          <w:p>
            <w:pPr>
              <w:jc w:val="right"/>
              <w:spacing w:after="0"/>
              <w:rPr>
                <w:sz w:val="20"/>
                <w:szCs w:val="20"/>
                <w:color w:val="auto"/>
              </w:rPr>
            </w:pPr>
            <w:r>
              <w:rPr>
                <w:rFonts w:ascii="Arial" w:cs="Arial" w:eastAsia="Arial" w:hAnsi="Arial"/>
                <w:sz w:val="16"/>
                <w:szCs w:val="16"/>
                <w:color w:val="auto"/>
              </w:rPr>
              <w:t>5,422,402</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10.08 %</w:t>
            </w:r>
          </w:p>
        </w:tc>
        <w:tc>
          <w:tcPr>
            <w:tcW w:w="0" w:type="dxa"/>
            <w:vAlign w:val="bottom"/>
          </w:tcPr>
          <w:p>
            <w:pPr>
              <w:spacing w:after="0"/>
              <w:rPr>
                <w:sz w:val="1"/>
                <w:szCs w:val="1"/>
                <w:color w:val="auto"/>
              </w:rPr>
            </w:pPr>
          </w:p>
        </w:tc>
      </w:tr>
      <w:tr>
        <w:trPr>
          <w:trHeight w:val="215"/>
        </w:trPr>
        <w:tc>
          <w:tcPr>
            <w:tcW w:w="4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spacing w:after="0"/>
              <w:rPr>
                <w:sz w:val="18"/>
                <w:szCs w:val="18"/>
                <w:color w:val="auto"/>
              </w:rPr>
            </w:pPr>
          </w:p>
        </w:tc>
        <w:tc>
          <w:tcPr>
            <w:tcW w:w="4160" w:type="dxa"/>
            <w:vAlign w:val="bottom"/>
            <w:gridSpan w:val="2"/>
            <w:vMerge w:val="restart"/>
          </w:tcPr>
          <w:p>
            <w:pPr>
              <w:spacing w:after="0"/>
              <w:rPr>
                <w:sz w:val="20"/>
                <w:szCs w:val="20"/>
                <w:color w:val="auto"/>
              </w:rPr>
            </w:pPr>
            <w:r>
              <w:rPr>
                <w:rFonts w:ascii="Arial" w:cs="Arial" w:eastAsia="Arial" w:hAnsi="Arial"/>
                <w:sz w:val="16"/>
                <w:szCs w:val="16"/>
                <w:color w:val="auto"/>
              </w:rPr>
              <w:t>less than 1% of total outstanding ordinary shares.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gridSpan w:val="2"/>
          </w:tcPr>
          <w:p>
            <w:pPr>
              <w:ind w:left="180"/>
              <w:spacing w:after="0"/>
              <w:rPr>
                <w:sz w:val="20"/>
                <w:szCs w:val="20"/>
                <w:color w:val="auto"/>
              </w:rPr>
            </w:pPr>
            <w:r>
              <w:rPr>
                <w:rFonts w:ascii="Arial" w:cs="Arial" w:eastAsia="Arial" w:hAnsi="Arial"/>
                <w:sz w:val="16"/>
                <w:szCs w:val="16"/>
                <w:color w:val="auto"/>
              </w:rPr>
              <w:t>Indicates beneficial ownership of</w:t>
            </w:r>
          </w:p>
        </w:tc>
        <w:tc>
          <w:tcPr>
            <w:tcW w:w="41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-3548380</wp:posOffset>
            </wp:positionV>
            <wp:extent cx="5132705" cy="135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-3275965</wp:posOffset>
            </wp:positionV>
            <wp:extent cx="5132705" cy="135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-3003550</wp:posOffset>
            </wp:positionV>
            <wp:extent cx="5132705" cy="135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32705" cy="135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-2458720</wp:posOffset>
            </wp:positionV>
            <wp:extent cx="5132705" cy="135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32705" cy="135890"/>
                    </a:xfrm>
                    <a:prstGeom prst="rect">
                      <a:avLst/>
                    </a:prstGeom>
                    <a:noFill/>
                  </pic:spPr>
                </pic:pic>
              </a:graphicData>
            </a:graphic>
          </wp:anchor>
        </w:drawing>
      </w:r>
    </w:p>
    <w:p>
      <w:pPr>
        <w:spacing w:after="0" w:line="262" w:lineRule="exact"/>
        <w:rPr>
          <w:sz w:val="20"/>
          <w:szCs w:val="20"/>
          <w:color w:val="auto"/>
        </w:rPr>
      </w:pPr>
    </w:p>
    <w:p>
      <w:pPr>
        <w:ind w:left="580" w:right="340" w:hanging="439"/>
        <w:spacing w:after="0" w:line="254"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LSP V is the record holder of 3,556,805 ordinary shares. LSP V Management B.V. is the sole director of LSP V. The managing directors of LSP V Management B.V. are Martijn Kleijwegt, Rene Kuijten and Joachim Rothe. As such, LSP V Management B.V., Martijn Kleijwegt, Rene Kuijten and Joachim Rothe may be deemed to beneficially own the ordinary shares held of record by LSP V. Each of Mr. Kleijwegt, Mr. Kuijten and Mr. Rothe disclaims beneficial ownership of such shares. The address of LSP V Coöperatieve U.A. is Johannes Vermeerplein 9, 1071 DV Amsterdam, the Netherlands.</w:t>
      </w:r>
    </w:p>
    <w:p>
      <w:pPr>
        <w:spacing w:after="0" w:line="259" w:lineRule="exact"/>
        <w:rPr>
          <w:rFonts w:ascii="Arial" w:cs="Arial" w:eastAsia="Arial" w:hAnsi="Arial"/>
          <w:sz w:val="16"/>
          <w:szCs w:val="16"/>
          <w:color w:val="auto"/>
        </w:rPr>
      </w:pPr>
    </w:p>
    <w:p>
      <w:pPr>
        <w:ind w:left="580" w:right="40" w:hanging="439"/>
        <w:spacing w:after="0" w:line="248"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5,192,894 ordinary shares held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Fidelity Funds, advised by Fidelity Management &amp; Research Company LLC, or FMR Co. LLC, a wholly owned subsidiary of FMR LLC, which power resides with the Fidelity Funds' Boards of Trustees. FMR Co. LLC carries out the voting of the shares under written guidelines established by the Fidelity Funds' Boards of Trustees. The address of FMR LLC is 245 Summer Street, Boston, MA 02210.</w:t>
      </w:r>
    </w:p>
    <w:p>
      <w:pPr>
        <w:spacing w:after="0" w:line="160" w:lineRule="exact"/>
        <w:rPr>
          <w:rFonts w:ascii="Arial" w:cs="Arial" w:eastAsia="Arial" w:hAnsi="Arial"/>
          <w:sz w:val="16"/>
          <w:szCs w:val="16"/>
          <w:color w:val="auto"/>
        </w:rPr>
      </w:pPr>
    </w:p>
    <w:p>
      <w:pPr>
        <w:ind w:left="580" w:right="80" w:hanging="439"/>
        <w:spacing w:after="0" w:line="254"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4,038,842 ordinary shares held by Foresite Capital Fund IV, L.P. (“FCF IV”). Foresite Capital Management IV, LLC (“FCM IV”), is the general partner of FCF IV and may be deemed to have sole voting and dispositive power over shares held by FCF IV. James Tananbaum is the sole managing member of FCM IV and may be deemed to have sole voting and dispositive power over share held by FCF IV. Each of FCM IV and James Tananbaum disclaims beneficial ownership of shares held by FCF IV except to the extent of any pecuniary interest therein. The address of FCF IV, FCM IV, and James Tananbaum is c/o Foresite Capital Management, 900 Larkspur Landing Circle, Suite 150, Larkspur, CA 94939.</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hanging="439"/>
        <w:spacing w:after="0" w:line="249"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Viking Global Opportunities Illiquid Investments Sub-Master LP (“VGOP”) has the authority to dispose of and vote the ordinary shares directly owned by it, which power may be exercised by its general partner, Viking Global Opportunities Portfolio GP LLC (“Opportunities Portfolio GP”), and by Viking Global Investors LP (“VGI”), which provides managerial services to VGOP. Viking Global Opportunities Parent GP LLC (“Opportunities Parent”) is the general partner of Viking Global Opportunities GP LLC (“Opportunities GP”), which serves as the sole member of Opportunities Portfolio GP and has the authority to dispose of and vote the ordinary shares controlled by Opportunities Portfolio GP, which consists of the ordinary shares directly held by VGOP. O. Andreas Halvorsen, David C. Ott and Rose Shabet, as Executive Committee members of Viking Global Partners LLC (the general partner of VGI and Opportunities GP), have shared authority to direct the voting and disposition of investments beneficially owned by VGI and the Opportunities GP. The business address of VGOP, Opportunities Portfolio GP, Opportunities GP, VGI, O. Andreas Halvorsen, David C. Ott and Rose Shabet is 600 Washington Boulevard, Floor 11, Stamford, CT 06901.</w:t>
      </w:r>
    </w:p>
    <w:p>
      <w:pPr>
        <w:spacing w:after="0" w:line="158" w:lineRule="exact"/>
        <w:rPr>
          <w:rFonts w:ascii="Arial" w:cs="Arial" w:eastAsia="Arial" w:hAnsi="Arial"/>
          <w:sz w:val="16"/>
          <w:szCs w:val="16"/>
          <w:color w:val="auto"/>
        </w:rPr>
      </w:pPr>
    </w:p>
    <w:p>
      <w:pPr>
        <w:ind w:left="580" w:right="60" w:hanging="439"/>
        <w:spacing w:after="0" w:line="247"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7,531,252 ordinary shares held by General Atlantic PH B.V.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General Atlantic Cooperatief, L.P. (“GA Coop LP”), GAP Coinvestments III, LLC (“GAPCO III”), GAP Coinvestments IV, LLC (“GAPCO IV”), GAP Coinvestments V, LLC (“GAPCO V”), and GAP Coinvestments CDA, L.P. (“GAPCO CDA”).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L.P. (“GAP (Bermuda)”), which is controlled by the Management Committee of GASC MGP, LLC which is being renamed as the Partnership Committee (the “GA Partnership Committee”), effective subject to applicable regulatory approvals, is the general partner of GenPar Bermuda and GA Coop LP. GA LP, which is also controlled by the GA Partnership Committee, is the managing member of GAPCO III, GAPCO IV and GAPCO V and the general partner of GAPCO CDA.GAP (Bermuda),GA LP,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1017 JZ, Amsterdam, The Netherlands. The address of GAP Lux, GA GenPar Lux and GA Lux is 412F, Route d’Esch, L-1471 Luxembourg. The address of GA LP, GAPCO III, GAPCO IV, GAPCO V, and GAPCO CDA is c/o General Atlantic Service Company, L.P., 55 East 52nd Street, 33rd Floor, New York, NY 10055. Each of the members of the GA Partnership Committee disclaims ownership of the shares except to the extent that he has a pecuniary interest therein.</w:t>
      </w:r>
    </w:p>
    <w:p>
      <w:pPr>
        <w:spacing w:after="0" w:line="345" w:lineRule="exact"/>
        <w:rPr>
          <w:rFonts w:ascii="Arial" w:cs="Arial" w:eastAsia="Arial" w:hAnsi="Arial"/>
          <w:sz w:val="16"/>
          <w:szCs w:val="16"/>
          <w:color w:val="auto"/>
        </w:rPr>
      </w:pPr>
    </w:p>
    <w:p>
      <w:pPr>
        <w:ind w:left="580" w:right="180" w:hanging="439"/>
        <w:spacing w:after="0" w:line="249"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3,547,504 ordinary shares that are directly held by venBio Global Strategic Fund III, L.P. (“Fund III”) and 835,000 ordinary shares that are directly held venBio Global Strategic Fund IV, L.P. (“Fund IV”). As the sole general partner of Fund III, venBio Global Strategic GP III, L.P. (“General Partner III”), may be deemed to beneficially own the shares held by Fund III. As the sole general partner of General Partner III, venBio Global Strategic GP III, Ltd. (“GP Ltd. III”), may be deemed to beneficially own the share held by Fund III. The general partner of Fund IV is venBio Global Strategic GP IV, LLC (“GP LLC IV”), of which each of the directors serves as a member. As members of GP LLC IV, each of the directors may be deemed to beneficially own the Common Shares held by Fund IV. As directors of GP Ltd. III and members of GP LLC IV, each of the Aaron Royston, Robert Adelman and Corey Goodman may be deemed to beneficially own the shares held by Fund III and Fund IV. The address of Fund III, General Partner III, GP Ltd. III, Fund IV, GP LLC IV, Aaron Royston, Robert Adelman and Corey Goodman is c/o venBio Partners, LLC, 1700 Owens Street Suite 595 San Francisco, CA 94158.</w:t>
      </w:r>
    </w:p>
    <w:p>
      <w:pPr>
        <w:spacing w:after="0" w:line="158" w:lineRule="exact"/>
        <w:rPr>
          <w:rFonts w:ascii="Arial" w:cs="Arial" w:eastAsia="Arial" w:hAnsi="Arial"/>
          <w:sz w:val="16"/>
          <w:szCs w:val="16"/>
          <w:color w:val="auto"/>
        </w:rPr>
      </w:pPr>
    </w:p>
    <w:p>
      <w:pPr>
        <w:ind w:left="580" w:right="180" w:hanging="439"/>
        <w:spacing w:after="0" w:line="255"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Venrock Healthcare Capital Partners III, L.P., VHCP Co-Investment Holdings III, LLC, Venrock Healthcare Capital Partners EG, L.P., VHCP Management III, LLC, VHCP Management EG, LLC, Nimish Shah and Bong Koh are members of a group for the purposes of this filing. Consists of</w:t>
      </w:r>
    </w:p>
    <w:p>
      <w:pPr>
        <w:ind w:left="580" w:right="140" w:hanging="9"/>
        <w:spacing w:after="0" w:line="246" w:lineRule="auto"/>
        <w:tabs>
          <w:tab w:leader="none" w:pos="767" w:val="left"/>
        </w:tabs>
        <w:numPr>
          <w:ilvl w:val="1"/>
          <w:numId w:val="91"/>
        </w:numPr>
        <w:rPr>
          <w:rFonts w:ascii="Arial" w:cs="Arial" w:eastAsia="Arial" w:hAnsi="Arial"/>
          <w:sz w:val="16"/>
          <w:szCs w:val="16"/>
          <w:color w:val="auto"/>
        </w:rPr>
      </w:pPr>
      <w:r>
        <w:rPr>
          <w:rFonts w:ascii="Arial" w:cs="Arial" w:eastAsia="Arial" w:hAnsi="Arial"/>
          <w:sz w:val="16"/>
          <w:szCs w:val="16"/>
          <w:color w:val="auto"/>
        </w:rPr>
        <w:t>564,312 shares held by Venrock Healthcare Capital Partners III, L.P.; (ii) 56,444 shares held by VHCP Co-Investment Holdings III, LLC; and (iii) 2,774,850 shares held by Venrock Healthcare Capital Partners EG, L.P. Based on the Schedule 13G/A filed on February 14, 2024 on behalf of Venrock Healthcare Capital Partners III, L.P., a limited partnership organized under the laws 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III, LLC, a limited liability company organized under the laws of the State of Delaware (“VHCP Management III”), VHCP Management EG, LLC, a limited liability company organized under the laws of the State of Delaware (“VHCP Management EG” and collectively with VHCP III LP, VHCP Co-Investment III, VHCP EG and VHCP Management III, the “Venrock Entities”), Nimish Shah (“Shah”) and Bong Koh (“Koh”) in respect of the ordinary shares of Pharvaris N.V.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w:t>
      </w:r>
    </w:p>
    <w:p>
      <w:pPr>
        <w:spacing w:after="0" w:line="161" w:lineRule="exact"/>
        <w:rPr>
          <w:rFonts w:ascii="Arial" w:cs="Arial" w:eastAsia="Arial" w:hAnsi="Arial"/>
          <w:sz w:val="16"/>
          <w:szCs w:val="16"/>
          <w:color w:val="auto"/>
        </w:rPr>
      </w:pPr>
    </w:p>
    <w:p>
      <w:pPr>
        <w:ind w:left="580" w:right="160" w:hanging="439"/>
        <w:spacing w:after="0" w:line="283"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ordinary shares held by Schoodic Management B.V., an entity controlled by Mr. Modig. Includes 62,292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40" w:right="1800" w:hanging="399"/>
        <w:spacing w:after="0" w:line="283"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29,271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40" w:right="860" w:hanging="399"/>
        <w:spacing w:after="0" w:line="283"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7,875 options that vest within 60 days of April 1, 2024. See “ITEM 6. DIRECTORS, SENIOR MANAGEMENT AND EMPLOYEES —B. Compensation—Equity Incentive Plan.”</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580" w:right="4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27,667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250,000 ordinary shares held by GrayMatters Consulting BVBA, an entity controlled by Dr. Lesage and includes 34,792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4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27,604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52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9,750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52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7,875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62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1,50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52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7,875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52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7,875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4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27,813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4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25,313 options that vest within 60 days of April 1, 2024. See “ITEM 6. DIRECTORS, SENIOR MANAGEMENT AND EMPLOYEES—B. Compensation—Equity Incentive Plan.”</w:t>
      </w:r>
    </w:p>
    <w:p>
      <w:pPr>
        <w:spacing w:after="0" w:line="129" w:lineRule="exact"/>
        <w:rPr>
          <w:rFonts w:ascii="Arial" w:cs="Arial" w:eastAsia="Arial" w:hAnsi="Arial"/>
          <w:sz w:val="16"/>
          <w:szCs w:val="16"/>
          <w:color w:val="auto"/>
        </w:rPr>
      </w:pPr>
    </w:p>
    <w:p>
      <w:pPr>
        <w:ind w:left="580" w:right="440" w:hanging="439"/>
        <w:spacing w:after="0" w:line="283" w:lineRule="auto"/>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18,958 options that vest within 60 days of April 1, 2024. See “ITEM 6. DIRECTORS, SENIOR MANAGEMENT AND EMPLOYEES—B. Compensation—Equity Incentive Plan.”</w:t>
      </w:r>
    </w:p>
    <w:p>
      <w:pPr>
        <w:spacing w:after="0" w:line="317"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As of April 1, 2024, approximately 29.3 million of our outstanding ordinary shares are held by two record holders in the United States, including Cede and Company which is the record holder for 29.2 million ordinary shares. Cede and Company is a specialist United States financial institution that processes transfers of stock certificates on behalf of the Depository Trust Company, or DTC. Cede and Company therefore is the technical shareholder of record for all of our shares that were issued in our initial public offering and are held by DTC participants, as such shareholders do not themselves hold direct property rights in our ordinary shares, but rather have contractual rights in such shares that are part of a chain of contractual rights involving Cede and Company. All ordinary shares carry one voting right. We are not aware of any arrangement that may, at a subsequent date, result in a change of control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Changes in Ownership by Major Shareholders</w:t>
      </w:r>
    </w:p>
    <w:p>
      <w:pPr>
        <w:spacing w:after="0" w:line="178"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Immediately prior to our initial public offering in February 2021, our principal shareholders were LSP V Coöperatieve U.A. (15.31% ownership), KURMA BIOFUND II (5.68% ownership), entities affiliated with Foresite Capital (15.38% ownership), entities affiliated with Bain Capital Life Sciences Investors, LLC (12.43% ownership), venBio Global Strategic Fund III, L.P (8.50% ownership), entities affiliated with Idinvest Partners S.A. (6.17% ownership), Jens Schneider-Mergener (5.09% ownership), Viking Global Opportunities Illiquid Investments Sub-Master LP (6.03% ownership) and General Atlantic PH B.V.</w:t>
      </w:r>
    </w:p>
    <w:p>
      <w:pPr>
        <w:spacing w:after="0"/>
        <w:rPr>
          <w:sz w:val="20"/>
          <w:szCs w:val="20"/>
          <w:color w:val="auto"/>
        </w:rPr>
      </w:pPr>
      <w:r>
        <w:rPr>
          <w:rFonts w:ascii="Arial" w:cs="Arial" w:eastAsia="Arial" w:hAnsi="Arial"/>
          <w:sz w:val="16"/>
          <w:szCs w:val="16"/>
          <w:color w:val="auto"/>
        </w:rPr>
        <w:t>(6.03% ownership).</w:t>
      </w:r>
    </w:p>
    <w:p>
      <w:pPr>
        <w:spacing w:after="0" w:line="162" w:lineRule="exact"/>
        <w:rPr>
          <w:sz w:val="20"/>
          <w:szCs w:val="20"/>
          <w:color w:val="auto"/>
        </w:rPr>
      </w:pPr>
    </w:p>
    <w:p>
      <w:pPr>
        <w:ind w:right="300" w:firstLine="458"/>
        <w:spacing w:after="0" w:line="264" w:lineRule="auto"/>
        <w:rPr>
          <w:sz w:val="20"/>
          <w:szCs w:val="20"/>
          <w:color w:val="auto"/>
        </w:rPr>
      </w:pPr>
      <w:r>
        <w:rPr>
          <w:rFonts w:ascii="Arial" w:cs="Arial" w:eastAsia="Arial" w:hAnsi="Arial"/>
          <w:sz w:val="16"/>
          <w:szCs w:val="16"/>
          <w:color w:val="auto"/>
        </w:rPr>
        <w:t>On February 9, 2021, we completed our initial public offering and listed our ordinary shares on the Nasdaq Global Select Market. In the initial public offering, we sold 9,511,075 ordinary shares, which includes 1,240,575 ordinary shares sold pursuant to the full exercise of the over-allotment option we granted to the underwriters for the offering.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 Related party transactions</w:t>
      </w:r>
    </w:p>
    <w:p>
      <w:pPr>
        <w:spacing w:after="0" w:line="178"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The following is a description of related-party transactions we have entered into since January 1, 2020 with any of the members of the Board, our Senior Management and the holders of more than 5% of our ordinary shares.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Our Principal Shareholders</w:t>
      </w:r>
    </w:p>
    <w:p>
      <w:pPr>
        <w:spacing w:after="0" w:line="191"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In June 2023, the Company entered into a subscription agreement dated June 16, 2023 relating to the offer and sale of an aggregate of 6,951,340 ordinary shares of the Company, in a private placement to a group of institutional investors, led by General Atlantic and venBio Partners with participation from Bain Capital Life Sciences, Foresite Capital, and Venrock Healthcare Capital Partners, at an offering price of $10.07 per share, for gross proceeds of approximately $70 million before deducting any offering-related expenses. Pursuant to the private offering, General Atlantic PH B.V. purchased 1,986,097 ordinary shares, venBio Global Strategic Fund III, L.P. purchased 1,986,097 ordinary shares, entities affiliated with Bain Capital Life Sciences Investors, LLC purchased 1,688,183 ordinary shares, entities affiliated</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with Foresite Capital purchased 496,524 ordinary shares and entities affiliated with Venrock Healthcare Capital Partners purchased 794,439 ordinary shares.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2023, the Company entered into an underwriting agreement, dated December 6, 2023, by and among the Company and Morgan Stanley</w:t>
      </w:r>
    </w:p>
    <w:p>
      <w:pPr>
        <w:spacing w:after="0" w:line="20" w:lineRule="exact"/>
        <w:rPr>
          <w:sz w:val="20"/>
          <w:szCs w:val="20"/>
          <w:color w:val="auto"/>
        </w:rPr>
      </w:pPr>
    </w:p>
    <w:p>
      <w:pPr>
        <w:ind w:right="160" w:firstLine="7"/>
        <w:spacing w:after="0" w:line="262" w:lineRule="auto"/>
        <w:tabs>
          <w:tab w:leader="none" w:pos="1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 LLC and Leerink Partners, LLC as the underwriters. As part of this underwritten offer, in addition to purchases of ordinary shares, General Atlantic PH B.V. purchased pre-funded warrants to purchase up to 1,375,000 ordinary shares.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our Directors</w:t>
      </w:r>
    </w:p>
    <w:p>
      <w:pPr>
        <w:spacing w:after="0" w:line="178" w:lineRule="exact"/>
        <w:rPr>
          <w:sz w:val="20"/>
          <w:szCs w:val="20"/>
          <w:color w:val="auto"/>
        </w:rPr>
      </w:pPr>
    </w:p>
    <w:p>
      <w:pPr>
        <w:ind w:right="40" w:firstLine="503"/>
        <w:spacing w:after="0" w:line="250" w:lineRule="auto"/>
        <w:rPr>
          <w:sz w:val="20"/>
          <w:szCs w:val="20"/>
          <w:color w:val="auto"/>
        </w:rPr>
      </w:pPr>
      <w:r>
        <w:rPr>
          <w:rFonts w:ascii="Arial" w:cs="Arial" w:eastAsia="Arial" w:hAnsi="Arial"/>
          <w:sz w:val="16"/>
          <w:szCs w:val="16"/>
          <w:color w:val="auto"/>
        </w:rPr>
        <w:t>We have entered into services agreements with Dr. Meeker, Mr. Schikan, Dr. Glassman, Ms. Monges and Dr. Björk. The service agreements will be terminated, without prior notice, when the non-executive director ceases to be a non-executive director. The Company can also terminate the service agreements with immediate effect for “urgent cause” as defined in Section 7:678 of the Dutch Civil Code. Additionally, both the non-executive director and the Company may terminate the service agreements at any time, subject to a one-month notice period. Each service agreement provides for compensation, including a base compensation, an increase in the base compensation for membership on a committee of the board of directors, and, if considered appropriate by the board of directors and subject to applicable law and the Company’s compensation policy, eligibility to participate in the Company’s equity incentive plans. The service agreements also provide for the reimbursement of reasonable and necessary expenses incurred by our non-executives in the performance of their duties. The service agreements also contain confidentiality, non-competition and non-solicitation provisions.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Senior Management</w:t>
      </w:r>
    </w:p>
    <w:p>
      <w:pPr>
        <w:spacing w:after="0" w:line="191"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Dr. Knolle, who has served as Chief Scientific Officer and Chief Operating Officer since our inception up to September 30, 2023, was a member of the board of Charité Research Organisation GmbH, or Charité CRO until February 28, 2022. The Company entered into a service contract with Charité CRO according to which Charité CRO provides services supporting research for the Company. In fiscal years 2023, 2022 and 2021, payments to Charité CRO with respect to this service contract amounted to €0.5 million, €0.4 million and €608, respectively.</w:t>
      </w:r>
    </w:p>
    <w:p>
      <w:pPr>
        <w:spacing w:after="0" w:line="137"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The Company engages two management entities for the purpose of providing key management services to the Company. These management entities are considered related parties, as they provide key management services and the key management personnel exercise key management functions within these entities. Certain key management personnel are also shareholders of the Company</w:t>
      </w:r>
      <w:r>
        <w:rPr>
          <w:rFonts w:ascii="Arial" w:cs="Arial" w:eastAsia="Arial" w:hAnsi="Arial"/>
          <w:sz w:val="15"/>
          <w:szCs w:val="15"/>
          <w:color w:val="auto"/>
        </w:rPr>
        <w:t>.</w:t>
      </w:r>
      <w:r>
        <w:rPr>
          <w:rFonts w:ascii="Arial" w:cs="Arial" w:eastAsia="Arial" w:hAnsi="Arial"/>
          <w:sz w:val="16"/>
          <w:szCs w:val="16"/>
          <w:color w:val="auto"/>
        </w:rPr>
        <w:t xml:space="preserve"> In fiscal year 2023, 2022 and 2021 the aggregate amounts payable to these related parties was €1.4 million, €1.2 million and €1.6 million, respectively.</w:t>
      </w:r>
    </w:p>
    <w:p>
      <w:pPr>
        <w:spacing w:after="0" w:line="137"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We have entered into Management Service Agreements with JCK-Consult/Dr. Knolle and GrayMatters Consulting B.V. or the Consulting Agreement(s). The agreement with JCK-Consult, dated August 1, 2020, was amended on September 26, 2023 and extended until September 30, 2024 and provides for a fixed fee for this period. The agreement may be terminated by either party at any time prior to the end date by giving notice of termination of: (i) six months in case of termination notice served by Dr. Knolle to the Company; and (ii) two months in case of termination notice served by the Company to Dr. Knolle.</w:t>
      </w:r>
    </w:p>
    <w:p>
      <w:pPr>
        <w:spacing w:after="0" w:line="150"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In addition, the Company entered into a letter agreement with Jochen Knolle, dated as of September 29, 2023, which states Dr. Knolle’s outstanding and unvested options pursuant to the option award agreements between him and Pharvaris N.V or Pharvaris B.V as applicable, dated January 1, 2020, February 5, 2021, April 1, 2022, and April 6, 2023 will, subject to Mr. Knolle’s continued service through September 30, 2024, (i) continue to vest through December 31, 2024, and (ii) vest in full on a Change in Control that occurs between September 30, 2024 and December 31, 2024. Any options that remain outstanding and unvested following December 31, 2024 will be forfeited for no consideration on January 1, 2025.</w:t>
      </w:r>
    </w:p>
    <w:p>
      <w:pPr>
        <w:spacing w:after="0" w:line="139"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A new agreement was entered into with GrayMatters, effective December 1, 2023 to November 30, 2027. The agreement provides for daily fixed fees up to a maximum amount per annum and an additional discretionary annual fee with a target based on a percentage of the maximum annual fee amount, determined at the discretion of the Company. The agreement is for a term of four years but may be terminated earlier by either party without notice.</w:t>
      </w:r>
    </w:p>
    <w:p>
      <w:pPr>
        <w:spacing w:after="0" w:line="130" w:lineRule="exact"/>
        <w:rPr>
          <w:sz w:val="20"/>
          <w:szCs w:val="20"/>
          <w:color w:val="auto"/>
        </w:rPr>
      </w:pPr>
    </w:p>
    <w:p>
      <w:pPr>
        <w:ind w:right="100" w:firstLine="458"/>
        <w:spacing w:after="0" w:line="257" w:lineRule="auto"/>
        <w:rPr>
          <w:sz w:val="20"/>
          <w:szCs w:val="20"/>
          <w:color w:val="auto"/>
        </w:rPr>
      </w:pPr>
      <w:r>
        <w:rPr>
          <w:rFonts w:ascii="Arial" w:cs="Arial" w:eastAsia="Arial" w:hAnsi="Arial"/>
          <w:sz w:val="16"/>
          <w:szCs w:val="16"/>
          <w:color w:val="auto"/>
        </w:rPr>
        <w:t>Under the terms of the Consulting Agreements, upon a termination of the agreement by the Company without cause, the consultant is entitled to (i) an amount equal to the expected sum of the services fee for the remaining period until the termination date, up to a specified amount, (ii) any unpaid discretionary fee for the prior year, and, under the terms of the GrayMatters agreement, (iii) a pro rata discretionary fee for the then-current year, subject to approval of the Company.</w:t>
      </w:r>
    </w:p>
    <w:p>
      <w:pPr>
        <w:spacing w:after="0" w:line="150"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The Consulting Agreements also contain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37" w:lineRule="exact"/>
        <w:rPr>
          <w:sz w:val="20"/>
          <w:szCs w:val="20"/>
          <w:color w:val="auto"/>
        </w:rPr>
      </w:pPr>
    </w:p>
    <w:p>
      <w:pPr>
        <w:ind w:right="180" w:firstLine="458"/>
        <w:spacing w:after="0" w:line="251" w:lineRule="auto"/>
        <w:rPr>
          <w:sz w:val="20"/>
          <w:szCs w:val="20"/>
          <w:color w:val="auto"/>
        </w:rPr>
      </w:pPr>
      <w:r>
        <w:rPr>
          <w:rFonts w:ascii="Arial" w:cs="Arial" w:eastAsia="Arial" w:hAnsi="Arial"/>
          <w:sz w:val="16"/>
          <w:szCs w:val="16"/>
          <w:color w:val="auto"/>
        </w:rPr>
        <w:t>We have also entered into employment agreements with Mr. Modig (Chief Executive Officer), Dr. Lu (Chief Medical Officer), Ms. Nijdam (Head of Strategic Finance and Principal Accounting Officer), Dr. Conn (Chief Business Officer), Dr. Souverijns (Chief Commercial Officer), Ms. Schmidt (Chief Legal Officer), Ms. Deschoolmeester (Chief Human Resources Officer) and Dr. Abele (Chief Technical Operations Officer), (collectively, the “Employment Agreements”). The Employment Agreements generally provide for base salary, discretionary annual bonuses based on a percentage of base salary and eligibility to receive equity awards and to participate in the Company’s benefits plans. The Employment Agreements for Mr. Modig, Dr. Lu, Dr. Conn, Dr. Souverijns, Ms. Schmidt, Ms. Deschoolmeester and Dr. Abele also provide that upon a termination by the Company without Cause or by the member of senior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management for Good Reason, or as a result of the individual’s death or disability, the member of senior management is entitled to the following (subject to execution of a general release of claims in favor of the Company): (i) 12 months of base salary (ii) with respect to Dr. Lu, Dr. Conn and Ms. Schmidt, for one year after termination, the right to continue health care benefits under COBRA at active employee rates, (iii) any unpaid discretionary bonus for the prior year and (iv) pro rata discretionary bonus for the current year, subject to Board approval. In the case of Mr. Modig, Dr. Souverijns, Ms. Deschoolmeester and Dr.</w:t>
      </w:r>
    </w:p>
    <w:p>
      <w:pPr>
        <w:ind w:right="140"/>
        <w:spacing w:after="0" w:line="262" w:lineRule="auto"/>
        <w:rPr>
          <w:sz w:val="20"/>
          <w:szCs w:val="20"/>
          <w:color w:val="auto"/>
        </w:rPr>
      </w:pPr>
      <w:r>
        <w:rPr>
          <w:rFonts w:ascii="Arial" w:cs="Arial" w:eastAsia="Arial" w:hAnsi="Arial"/>
          <w:sz w:val="16"/>
          <w:szCs w:val="16"/>
          <w:color w:val="auto"/>
        </w:rPr>
        <w:t>Abele, the severance amount is reduced by (i) any base salary paid during a notice period during which the member of senior management is released from an obligation to work, and/or (ii) the amount of any survivor’s or disability annuity payment received for the 12 subsequent months.</w:t>
      </w:r>
    </w:p>
    <w:p>
      <w:pPr>
        <w:spacing w:after="0" w:line="145"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The Employment agreements with Mr. Modig, Dr. Lu, Dr. Conn, Dr. Souverijns, Ms. Schmidt, Ms. Deschoolmeester and Dr. Abele, also provide that in the event that a notice of termination is served by the Company without Cause, or by the Employee for Good Reason, in each case (i) within one month prior to the consummation of a Change of Control or (ii) within 12 months following the consummation of a Change of Control, the member of senior management shall be entitled to receive (subject to execution of a general release of claims in favor of the Company): (i) (x) 1.5 times the sum of base salary and bonus target with respect to Mr. Modig, and (y) the sum of the annual base salary and bonus target with respect to Dr. Lu, Dr. Conn, Dr. Souverijns, Ms. Schmidt, Ms. Deschoolmeester and Dr. Abele; (ii) with respect to Dr. Lu, Dr. Conn and Ms. Schmidt, for one year after termination, the right to continue health care benefits under COBRA at active employee rates, (iii) any unpaid discretionary bonus for the prior year and (iv) a pro rata discretionary bonus for the current year, subject to Board approval. In the case of Mr. Modig, Dr. Souverijns, Ms. Deschoolmeester and Dr. Abele, the severance amount is reduced by any base salary paid during a notice period during which the member of senior management is released from an obligation to work.</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178"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Our Board has adopted a policy relating to recovery of erroneously awarded compensation (a “Clawback Policy”) in accordance with the final clawback rules adopted by the SEC, and the listing standards, as set forth in the Nasdaq Listing Rule 5608, to recoup “excess” incentive compensation, if any, earned by current and former executive officers (or any other senior executives or employees who may from time to time be deemed subject to the Clawback Policy by the compensation committee of our Board) during a three year look back period in the event of a financial restatement due to material noncompliance with any financial reporting requirement under the securities laws. Our Clawback Policy shall be administered by the compensation committee of our Board. Our Clawback Policy is filed as Exhibit 97.1 to this Annual Report on Form 20-F for the year ended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78" w:lineRule="exact"/>
        <w:rPr>
          <w:sz w:val="20"/>
          <w:szCs w:val="20"/>
          <w:color w:val="auto"/>
        </w:rPr>
      </w:pPr>
    </w:p>
    <w:p>
      <w:pPr>
        <w:jc w:val="both"/>
        <w:ind w:right="300" w:firstLine="458"/>
        <w:spacing w:after="0" w:line="264" w:lineRule="auto"/>
        <w:rPr>
          <w:sz w:val="20"/>
          <w:szCs w:val="20"/>
          <w:color w:val="auto"/>
        </w:rPr>
      </w:pPr>
      <w:r>
        <w:rPr>
          <w:rFonts w:ascii="Arial" w:cs="Arial" w:eastAsia="Arial" w:hAnsi="Arial"/>
          <w:sz w:val="16"/>
          <w:szCs w:val="16"/>
          <w:color w:val="auto"/>
        </w:rPr>
        <w:t>We have entered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Directed Share Program</w:t>
      </w:r>
    </w:p>
    <w:p>
      <w:pPr>
        <w:spacing w:after="0" w:line="191" w:lineRule="exact"/>
        <w:rPr>
          <w:sz w:val="20"/>
          <w:szCs w:val="20"/>
          <w:color w:val="auto"/>
        </w:rPr>
      </w:pPr>
    </w:p>
    <w:p>
      <w:pPr>
        <w:ind w:right="420" w:firstLine="458"/>
        <w:spacing w:after="0" w:line="264" w:lineRule="auto"/>
        <w:rPr>
          <w:sz w:val="20"/>
          <w:szCs w:val="20"/>
          <w:color w:val="auto"/>
        </w:rPr>
      </w:pPr>
      <w:r>
        <w:rPr>
          <w:rFonts w:ascii="Arial" w:cs="Arial" w:eastAsia="Arial" w:hAnsi="Arial"/>
          <w:sz w:val="16"/>
          <w:szCs w:val="16"/>
          <w:color w:val="auto"/>
        </w:rPr>
        <w:t>At our request, the underwriters reserved up to 5% of the ordinary shares offered by our prospectus dated February 4, 2021 filed with the SEC on February 8, 2021, for sale at the initial public offering price through a directed share program to certain individuals, including our directors, officers, employees, and certain friends and family members of these persons.</w:t>
      </w:r>
    </w:p>
    <w:p>
      <w:pPr>
        <w:spacing w:after="0" w:line="31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 Interests of Experts and Counsel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8. FINANCIAL INFORMATION</w:t>
      </w:r>
    </w:p>
    <w:p>
      <w:pPr>
        <w:spacing w:after="0" w:line="178" w:lineRule="exact"/>
        <w:rPr>
          <w:sz w:val="20"/>
          <w:szCs w:val="20"/>
          <w:color w:val="auto"/>
        </w:rPr>
      </w:pPr>
    </w:p>
    <w:p>
      <w:pPr>
        <w:ind w:left="920" w:hanging="463"/>
        <w:spacing w:after="0"/>
        <w:tabs>
          <w:tab w:leader="none" w:pos="9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and other financial information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Financial statements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18. Financial statements,” which contains our audited financial statements prepared in accordance with IFRS.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From time to time we are involved in legal proceedings that arise in the ordinary course of business. We believe that the outcome of these proceedings, if determined adversely, will not have a material adverse effect on our financial position. During the period covered by the audited and approved financial statements contained herein, we have not been a party to or paid any damages in connection with litigation that has had a material adverse effect on our financial position. Any future litigation may result in substantial costs and be a distraction to management and our employees. No assurance can be given that future litigation will not have a material adverse effect on our financial position. See “ITEM 3. KEY INFORMATION—D. Risk factors.”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Dividends and dividend policy</w:t>
      </w:r>
    </w:p>
    <w:p>
      <w:pPr>
        <w:spacing w:after="0" w:line="176"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55"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41" w:lineRule="exact"/>
        <w:rPr>
          <w:sz w:val="20"/>
          <w:szCs w:val="20"/>
          <w:color w:val="auto"/>
        </w:rPr>
      </w:pPr>
    </w:p>
    <w:p>
      <w:pPr>
        <w:ind w:left="920" w:hanging="463"/>
        <w:spacing w:after="0"/>
        <w:tabs>
          <w:tab w:leader="none" w:pos="92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changes</w:t>
      </w:r>
    </w:p>
    <w:p>
      <w:pPr>
        <w:spacing w:after="0" w:line="178" w:lineRule="exact"/>
        <w:rPr>
          <w:sz w:val="20"/>
          <w:szCs w:val="20"/>
          <w:color w:val="auto"/>
        </w:rPr>
      </w:pPr>
    </w:p>
    <w:p>
      <w:pPr>
        <w:ind w:right="960" w:firstLine="458"/>
        <w:spacing w:after="0" w:line="283" w:lineRule="auto"/>
        <w:rPr>
          <w:sz w:val="20"/>
          <w:szCs w:val="20"/>
          <w:color w:val="auto"/>
        </w:rPr>
      </w:pPr>
      <w:r>
        <w:rPr>
          <w:rFonts w:ascii="Arial" w:cs="Arial" w:eastAsia="Arial" w:hAnsi="Arial"/>
          <w:sz w:val="16"/>
          <w:szCs w:val="16"/>
          <w:color w:val="auto"/>
        </w:rPr>
        <w:t>A discussion of the significant changes in our business can be found under “ITEM 4. INFORMATION ON THE COMPANY—A. History and development of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9. THE OFFER AND LISTING</w:t>
      </w:r>
    </w:p>
    <w:p>
      <w:pPr>
        <w:spacing w:after="0" w:line="178" w:lineRule="exact"/>
        <w:rPr>
          <w:sz w:val="20"/>
          <w:szCs w:val="20"/>
          <w:color w:val="auto"/>
        </w:rPr>
      </w:pPr>
    </w:p>
    <w:p>
      <w:pPr>
        <w:ind w:left="920" w:hanging="463"/>
        <w:spacing w:after="0"/>
        <w:tabs>
          <w:tab w:leader="none" w:pos="9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Offering and listing details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920" w:hanging="463"/>
        <w:spacing w:after="0"/>
        <w:tabs>
          <w:tab w:leader="none" w:pos="9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Plan of distribution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ordinary shares began trading on the Nasdaq Global Select Market under the symbol “PHVS” since February 5, 2021.</w:t>
      </w:r>
    </w:p>
    <w:p>
      <w:pPr>
        <w:spacing w:after="0" w:line="178" w:lineRule="exact"/>
        <w:rPr>
          <w:sz w:val="20"/>
          <w:szCs w:val="20"/>
          <w:color w:val="auto"/>
        </w:rPr>
      </w:pPr>
    </w:p>
    <w:p>
      <w:pPr>
        <w:ind w:left="920" w:hanging="463"/>
        <w:spacing w:after="0"/>
        <w:tabs>
          <w:tab w:leader="none" w:pos="9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Selling shareholders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920" w:hanging="463"/>
        <w:spacing w:after="0"/>
        <w:tabs>
          <w:tab w:leader="none" w:pos="9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10. ADDITIONAL INFORMATION</w:t>
      </w:r>
    </w:p>
    <w:p>
      <w:pPr>
        <w:spacing w:after="0" w:line="178" w:lineRule="exact"/>
        <w:rPr>
          <w:sz w:val="20"/>
          <w:szCs w:val="20"/>
          <w:color w:val="auto"/>
        </w:rPr>
      </w:pPr>
    </w:p>
    <w:p>
      <w:pPr>
        <w:ind w:left="920" w:hanging="463"/>
        <w:spacing w:after="0"/>
        <w:tabs>
          <w:tab w:leader="none" w:pos="9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920" w:hanging="463"/>
        <w:spacing w:after="0"/>
        <w:tabs>
          <w:tab w:leader="none" w:pos="9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17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We incorporate by reference into this Annual Report the description of our Articles of Association effective upon the closing of our initial public offering contained in our F-1 registration statement (File No. 333-252157) originally filed with the SEC on January 15, 2021, as amended. Such description sets forth a summary of certain provisions of our Articles of Association as currently in effect.</w:t>
      </w:r>
    </w:p>
    <w:p>
      <w:pPr>
        <w:spacing w:after="0" w:line="144" w:lineRule="exact"/>
        <w:rPr>
          <w:sz w:val="20"/>
          <w:szCs w:val="20"/>
          <w:color w:val="auto"/>
        </w:rPr>
      </w:pPr>
    </w:p>
    <w:p>
      <w:pPr>
        <w:ind w:left="920" w:hanging="463"/>
        <w:spacing w:after="0"/>
        <w:tabs>
          <w:tab w:leader="none" w:pos="9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178"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116" w:lineRule="exact"/>
        <w:rPr>
          <w:sz w:val="20"/>
          <w:szCs w:val="20"/>
          <w:color w:val="auto"/>
        </w:rPr>
      </w:pPr>
    </w:p>
    <w:p>
      <w:pPr>
        <w:ind w:left="920" w:hanging="463"/>
        <w:spacing w:after="0"/>
        <w:tabs>
          <w:tab w:leader="none" w:pos="9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191"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Cash dividends payable on our ordinary shares may be remitted from the Netherlands to non-residents without legal restrictions imposed by the laws of the Netherlands, except that (i) such payments must be reported, if requested, to the Dutch Central Bank for statistical purposes only and (ii) the transfer of funds to jurisdictions subject to general economic sanctions adopted in connection with policies of the United Nations, European Commission or similar measures imposed directly by the Government of the Netherlands may be restricted.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left="920" w:hanging="463"/>
        <w:spacing w:after="0"/>
        <w:tabs>
          <w:tab w:leader="none" w:pos="9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MATERIAL UNITED STATES FEDERAL INCOME TAX AND DUTCH TAX CONSIDERATIONS</w:t>
      </w:r>
    </w:p>
    <w:p>
      <w:pPr>
        <w:spacing w:after="0" w:line="178"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30" w:lineRule="exact"/>
        <w:rPr>
          <w:sz w:val="20"/>
          <w:szCs w:val="20"/>
          <w:color w:val="auto"/>
        </w:rPr>
      </w:pPr>
    </w:p>
    <w:p>
      <w:pPr>
        <w:ind w:right="140" w:firstLine="458"/>
        <w:spacing w:after="0" w:line="283" w:lineRule="auto"/>
        <w:rPr>
          <w:sz w:val="20"/>
          <w:szCs w:val="20"/>
          <w:color w:val="auto"/>
        </w:rPr>
      </w:pPr>
      <w:r>
        <w:rPr>
          <w:rFonts w:ascii="Arial" w:cs="Arial" w:eastAsia="Arial" w:hAnsi="Arial"/>
          <w:sz w:val="16"/>
          <w:szCs w:val="16"/>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Material U.S. Federal Income Tax Considerations to U.S. Holders</w:t>
      </w:r>
    </w:p>
    <w:p>
      <w:pPr>
        <w:spacing w:after="0" w:line="17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28" w:lineRule="exact"/>
        <w:rPr>
          <w:sz w:val="20"/>
          <w:szCs w:val="20"/>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certain financial institutions;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corporations that accumulate earnings to avoid U.S. federal income tax, or expatriated entities subject to Section 7874 of the Code;</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177" w:lineRule="exact"/>
        <w:rPr>
          <w:rFonts w:ascii="Times New Roman" w:cs="Times New Roman" w:eastAsia="Times New Roman" w:hAnsi="Times New Roman"/>
          <w:sz w:val="16"/>
          <w:szCs w:val="16"/>
          <w:color w:val="auto"/>
        </w:rPr>
      </w:pPr>
    </w:p>
    <w:p>
      <w:pPr>
        <w:ind w:left="900" w:right="200" w:hanging="443"/>
        <w:spacing w:after="0" w:line="282" w:lineRule="auto"/>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103"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entities or arrangements classified as partnerships for U.S. federal income tax purposes;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tax-exempt entities;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 retirement accounts” or “Roth IRAs” or other tax-deferred accounts;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persons that acquire ordinary shares directly or indirectly in connection with the performance of services;</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 are subject to Section 451(b) of the Code;</w:t>
      </w:r>
    </w:p>
    <w:p>
      <w:pPr>
        <w:spacing w:after="0" w:line="177"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persons that own or are deemed to own ten percent or more of our shares (by vote or value);</w:t>
      </w:r>
    </w:p>
    <w:p>
      <w:pPr>
        <w:spacing w:after="0" w:line="177" w:lineRule="exact"/>
        <w:rPr>
          <w:rFonts w:ascii="Times New Roman" w:cs="Times New Roman" w:eastAsia="Times New Roman" w:hAnsi="Times New Roman"/>
          <w:sz w:val="16"/>
          <w:szCs w:val="16"/>
          <w:color w:val="auto"/>
        </w:rPr>
      </w:pPr>
    </w:p>
    <w:p>
      <w:pPr>
        <w:ind w:left="900" w:right="560" w:hanging="443"/>
        <w:spacing w:after="0" w:line="282" w:lineRule="auto"/>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S corporations and any investors therein, regulated investment companies, real estate investment trusts, real estate mortgage investment conduits; or</w:t>
      </w:r>
    </w:p>
    <w:p>
      <w:pPr>
        <w:spacing w:after="0" w:line="103"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in connection with a trade or business conducted outside of the United States.</w:t>
      </w:r>
    </w:p>
    <w:p>
      <w:pPr>
        <w:spacing w:after="0" w:line="191"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5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Treaty and who is: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45" w:lineRule="exact"/>
        <w:rPr>
          <w:sz w:val="20"/>
          <w:szCs w:val="20"/>
          <w:color w:val="auto"/>
        </w:rPr>
      </w:pPr>
    </w:p>
    <w:p>
      <w:pPr>
        <w:ind w:left="900" w:hanging="443"/>
        <w:spacing w:after="0"/>
        <w:tabs>
          <w:tab w:leader="none" w:pos="90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an individual who is a citizen or resident in the US;</w:t>
      </w:r>
    </w:p>
    <w:p>
      <w:pPr>
        <w:spacing w:after="0" w:line="177" w:lineRule="exact"/>
        <w:rPr>
          <w:rFonts w:ascii="Times New Roman" w:cs="Times New Roman" w:eastAsia="Times New Roman" w:hAnsi="Times New Roman"/>
          <w:sz w:val="16"/>
          <w:szCs w:val="16"/>
          <w:color w:val="auto"/>
        </w:rPr>
      </w:pPr>
    </w:p>
    <w:p>
      <w:pPr>
        <w:ind w:left="900" w:right="500" w:hanging="443"/>
        <w:spacing w:after="0" w:line="282" w:lineRule="auto"/>
        <w:tabs>
          <w:tab w:leader="none" w:pos="90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therein or the District of Columbia;</w:t>
      </w:r>
    </w:p>
    <w:p>
      <w:pPr>
        <w:spacing w:after="0" w:line="103" w:lineRule="exact"/>
        <w:rPr>
          <w:rFonts w:ascii="Times New Roman" w:cs="Times New Roman" w:eastAsia="Times New Roman" w:hAnsi="Times New Roman"/>
          <w:sz w:val="16"/>
          <w:szCs w:val="16"/>
          <w:color w:val="auto"/>
        </w:rPr>
      </w:pPr>
    </w:p>
    <w:p>
      <w:pPr>
        <w:ind w:left="900" w:hanging="443"/>
        <w:spacing w:after="0"/>
        <w:tabs>
          <w:tab w:leader="none" w:pos="90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77" w:lineRule="exact"/>
        <w:rPr>
          <w:rFonts w:ascii="Times New Roman" w:cs="Times New Roman" w:eastAsia="Times New Roman" w:hAnsi="Times New Roman"/>
          <w:sz w:val="16"/>
          <w:szCs w:val="16"/>
          <w:color w:val="auto"/>
        </w:rPr>
      </w:pPr>
    </w:p>
    <w:p>
      <w:pPr>
        <w:ind w:left="900" w:right="80" w:hanging="443"/>
        <w:spacing w:after="0" w:line="263" w:lineRule="auto"/>
        <w:tabs>
          <w:tab w:leader="none" w:pos="90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2"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76"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As discussed above under “Dividends and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United States Internal Revenue Code.</w:t>
      </w:r>
    </w:p>
    <w:p>
      <w:pPr>
        <w:spacing w:after="0" w:line="142"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52"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 or Other Disposition of Ordinary Shares</w:t>
      </w:r>
    </w:p>
    <w:p>
      <w:pPr>
        <w:spacing w:after="0" w:line="17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20" w:lineRule="exact"/>
        <w:rPr>
          <w:sz w:val="20"/>
          <w:szCs w:val="20"/>
          <w:color w:val="auto"/>
        </w:rPr>
      </w:pPr>
    </w:p>
    <w:p>
      <w:pPr>
        <w:ind w:right="40" w:firstLine="7"/>
        <w:spacing w:after="0" w:line="247" w:lineRule="auto"/>
        <w:tabs>
          <w:tab w:leader="none" w:pos="18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2023 and we do not expect to be a PFIC for our current taxable year or in the foreseeable future. In addition, we may, directly or indirectly, hold equity interests in other PFICs, or Lower-tier PFICs. Whether we or any of our subsidiaries will be a PFIC in 2024 or any future year is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2024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56"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37"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45"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 xml:space="preserve">A U.S. Holder can avoid certain of the adverse rules described above by making a mark-to-market election with respect to its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56" w:lineRule="exact"/>
        <w:rPr>
          <w:sz w:val="20"/>
          <w:szCs w:val="20"/>
          <w:color w:val="auto"/>
        </w:rPr>
      </w:pPr>
    </w:p>
    <w:p>
      <w:pPr>
        <w:ind w:firstLine="458"/>
        <w:spacing w:after="0" w:line="246"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57"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44"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With respect to Foreign Financial Assets</w:t>
      </w:r>
    </w:p>
    <w:p>
      <w:pPr>
        <w:spacing w:after="0" w:line="176"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4" w:lineRule="exact"/>
        <w:rPr>
          <w:sz w:val="20"/>
          <w:szCs w:val="20"/>
          <w:color w:val="auto"/>
        </w:rPr>
      </w:pPr>
    </w:p>
    <w:p>
      <w:pPr>
        <w:ind w:right="260" w:firstLine="458"/>
        <w:spacing w:after="0" w:line="283" w:lineRule="auto"/>
        <w:rPr>
          <w:sz w:val="20"/>
          <w:szCs w:val="20"/>
          <w:color w:val="auto"/>
        </w:rPr>
      </w:pPr>
      <w:r>
        <w:rPr>
          <w:rFonts w:ascii="Arial" w:cs="Arial" w:eastAsia="Arial" w:hAnsi="Arial"/>
          <w:sz w:val="16"/>
          <w:szCs w:val="16"/>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76"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Material Dutch Tax Considerations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Scope of Discussion</w:t>
      </w:r>
    </w:p>
    <w:p>
      <w:pPr>
        <w:spacing w:after="0" w:line="17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50"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37"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this section does not describe the Dutch tax consequences for:</w:t>
      </w:r>
    </w:p>
    <w:p>
      <w:pPr>
        <w:spacing w:after="0" w:line="165" w:lineRule="exact"/>
        <w:rPr>
          <w:sz w:val="20"/>
          <w:szCs w:val="20"/>
          <w:color w:val="auto"/>
        </w:rPr>
      </w:pPr>
    </w:p>
    <w:p>
      <w:pPr>
        <w:ind w:left="1020" w:hanging="504"/>
        <w:spacing w:after="0" w:line="249" w:lineRule="auto"/>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holder of our ordinary shares if such holder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w:t>
      </w:r>
      <w:r>
        <w:rPr>
          <w:rFonts w:ascii="Arial" w:cs="Arial" w:eastAsia="Arial" w:hAnsi="Arial"/>
          <w:sz w:val="16"/>
          <w:szCs w:val="16"/>
          <w:color w:val="auto"/>
        </w:rPr>
        <w:t xml:space="preserve"> </w:t>
      </w:r>
      <w:r>
        <w:rPr>
          <w:rFonts w:ascii="Arial" w:cs="Arial" w:eastAsia="Arial" w:hAnsi="Arial"/>
          <w:sz w:val="16"/>
          <w:szCs w:val="16"/>
          <w:i w:val="1"/>
          <w:iCs w:val="1"/>
          <w:color w:val="auto"/>
        </w:rPr>
        <w:t>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a holder of securities in a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31" w:lineRule="exact"/>
        <w:rPr>
          <w:rFonts w:ascii="Arial" w:cs="Arial" w:eastAsia="Arial" w:hAnsi="Arial"/>
          <w:sz w:val="16"/>
          <w:szCs w:val="16"/>
          <w:color w:val="auto"/>
        </w:rPr>
      </w:pPr>
    </w:p>
    <w:p>
      <w:pPr>
        <w:ind w:left="1020" w:right="20" w:hanging="504"/>
        <w:spacing w:after="0" w:line="254" w:lineRule="auto"/>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holder of our ordinary shares, if the ordinary shares held by such holder qualify or qualified as a participation (</w:t>
      </w:r>
      <w:r>
        <w:rPr>
          <w:rFonts w:ascii="Arial" w:cs="Arial" w:eastAsia="Arial" w:hAnsi="Arial"/>
          <w:sz w:val="16"/>
          <w:szCs w:val="16"/>
          <w:i w:val="1"/>
          <w:iCs w:val="1"/>
          <w:color w:val="auto"/>
        </w:rPr>
        <w:t>deelneming</w:t>
      </w:r>
      <w:r>
        <w:rPr>
          <w:rFonts w:ascii="Arial" w:cs="Arial" w:eastAsia="Arial" w:hAnsi="Arial"/>
          <w:sz w:val="16"/>
          <w:szCs w:val="16"/>
          <w:color w:val="auto"/>
        </w:rPr>
        <w:t>) for purposes of the Dutch Corporate Income Tax Act 1969 (</w:t>
      </w:r>
      <w:r>
        <w:rPr>
          <w:rFonts w:ascii="Arial" w:cs="Arial" w:eastAsia="Arial" w:hAnsi="Arial"/>
          <w:sz w:val="16"/>
          <w:szCs w:val="16"/>
          <w:i w:val="1"/>
          <w:iCs w:val="1"/>
          <w:color w:val="auto"/>
        </w:rPr>
        <w:t>Wet op de vennootschapsbelasting 1969</w:t>
      </w:r>
      <w:r>
        <w:rPr>
          <w:rFonts w:ascii="Arial" w:cs="Arial" w:eastAsia="Arial" w:hAnsi="Arial"/>
          <w:sz w:val="16"/>
          <w:szCs w:val="16"/>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125" w:lineRule="exact"/>
        <w:rPr>
          <w:rFonts w:ascii="Arial" w:cs="Arial" w:eastAsia="Arial" w:hAnsi="Arial"/>
          <w:sz w:val="16"/>
          <w:szCs w:val="16"/>
          <w:color w:val="auto"/>
        </w:rPr>
      </w:pPr>
    </w:p>
    <w:p>
      <w:pPr>
        <w:ind w:left="1020" w:right="140" w:hanging="504"/>
        <w:spacing w:after="0" w:line="283" w:lineRule="auto"/>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holder of our ordinary shares which is or who is entitled to the dividend withholding tax exemption (</w:t>
      </w:r>
      <w:r>
        <w:rPr>
          <w:rFonts w:ascii="Arial" w:cs="Arial" w:eastAsia="Arial" w:hAnsi="Arial"/>
          <w:sz w:val="16"/>
          <w:szCs w:val="16"/>
          <w:i w:val="1"/>
          <w:iCs w:val="1"/>
          <w:color w:val="auto"/>
        </w:rPr>
        <w:t>inhoudingsvrijstelling</w:t>
      </w:r>
      <w:r>
        <w:rPr>
          <w:rFonts w:ascii="Arial" w:cs="Arial" w:eastAsia="Arial" w:hAnsi="Arial"/>
          <w:sz w:val="16"/>
          <w:szCs w:val="16"/>
          <w:color w:val="auto"/>
        </w:rPr>
        <w:t>) with respect to any income (</w:t>
      </w:r>
      <w:r>
        <w:rPr>
          <w:rFonts w:ascii="Arial" w:cs="Arial" w:eastAsia="Arial" w:hAnsi="Arial"/>
          <w:sz w:val="16"/>
          <w:szCs w:val="16"/>
          <w:i w:val="1"/>
          <w:iCs w:val="1"/>
          <w:color w:val="auto"/>
        </w:rPr>
        <w:t>opbrengst</w:t>
      </w:r>
      <w:r>
        <w:rPr>
          <w:rFonts w:ascii="Arial" w:cs="Arial" w:eastAsia="Arial" w:hAnsi="Arial"/>
          <w:sz w:val="16"/>
          <w:szCs w:val="16"/>
          <w:color w:val="auto"/>
        </w:rPr>
        <w:t>) derived from the ordinary shares (as defined in Article 4 of the Dutch Dividend Withholding</w:t>
      </w:r>
    </w:p>
    <w:p>
      <w:pPr>
        <w:sectPr>
          <w:pgSz w:w="11900" w:h="16838" w:orient="portrait"/>
          <w:cols w:equalWidth="0" w:num="1">
            <w:col w:w="11240"/>
          </w:cols>
          <w:pgMar w:left="320" w:top="769" w:right="3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45" w:lineRule="exact"/>
        <w:rPr>
          <w:sz w:val="20"/>
          <w:szCs w:val="20"/>
          <w:color w:val="auto"/>
        </w:rPr>
      </w:pPr>
    </w:p>
    <w:p>
      <w:pPr>
        <w:jc w:val="both"/>
        <w:ind w:left="1020" w:right="200"/>
        <w:spacing w:after="0" w:line="264" w:lineRule="auto"/>
        <w:rPr>
          <w:sz w:val="20"/>
          <w:szCs w:val="20"/>
          <w:color w:val="auto"/>
        </w:rPr>
      </w:pPr>
      <w:r>
        <w:rPr>
          <w:rFonts w:ascii="Arial" w:cs="Arial" w:eastAsia="Arial" w:hAnsi="Arial"/>
          <w:sz w:val="16"/>
          <w:szCs w:val="16"/>
          <w:color w:val="auto"/>
        </w:rPr>
        <w:t>Tax Act 1965 (</w:t>
      </w:r>
      <w:r>
        <w:rPr>
          <w:rFonts w:ascii="Arial" w:cs="Arial" w:eastAsia="Arial" w:hAnsi="Arial"/>
          <w:sz w:val="16"/>
          <w:szCs w:val="16"/>
          <w:i w:val="1"/>
          <w:iCs w:val="1"/>
          <w:color w:val="auto"/>
        </w:rPr>
        <w:t>Wet op de dividendbelasting</w:t>
      </w:r>
      <w:r>
        <w:rPr>
          <w:rFonts w:ascii="Arial" w:cs="Arial" w:eastAsia="Arial" w:hAnsi="Arial"/>
          <w:sz w:val="16"/>
          <w:szCs w:val="16"/>
          <w:color w:val="auto"/>
        </w:rPr>
        <w:t>). Generally, a holder of our ordinary shares may be entitled or required to apply, subject to certain other requirements, the dividend withholding tax exemption if it is an entity and holds an interest of 5% or more in our nominal paid-up shares capital;</w:t>
      </w:r>
    </w:p>
    <w:p>
      <w:pPr>
        <w:spacing w:after="0" w:line="117" w:lineRule="exact"/>
        <w:rPr>
          <w:sz w:val="20"/>
          <w:szCs w:val="20"/>
          <w:color w:val="auto"/>
        </w:rPr>
      </w:pPr>
    </w:p>
    <w:p>
      <w:pPr>
        <w:ind w:left="1020" w:hanging="504"/>
        <w:spacing w:after="0" w:line="252" w:lineRule="auto"/>
        <w:tabs>
          <w:tab w:leader="none" w:pos="10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pension funds, investment institutions (</w:t>
      </w:r>
      <w:r>
        <w:rPr>
          <w:rFonts w:ascii="Arial" w:cs="Arial" w:eastAsia="Arial" w:hAnsi="Arial"/>
          <w:sz w:val="16"/>
          <w:szCs w:val="16"/>
          <w:i w:val="1"/>
          <w:iCs w:val="1"/>
          <w:color w:val="auto"/>
        </w:rPr>
        <w:t>fiscale beleggingsinstellingen</w:t>
      </w:r>
      <w:r>
        <w:rPr>
          <w:rFonts w:ascii="Arial" w:cs="Arial" w:eastAsia="Arial" w:hAnsi="Arial"/>
          <w:sz w:val="16"/>
          <w:szCs w:val="16"/>
          <w:color w:val="auto"/>
        </w:rPr>
        <w:t>), tax exempt investment institutions (</w:t>
      </w:r>
      <w:r>
        <w:rPr>
          <w:rFonts w:ascii="Arial" w:cs="Arial" w:eastAsia="Arial" w:hAnsi="Arial"/>
          <w:sz w:val="16"/>
          <w:szCs w:val="16"/>
          <w:i w:val="1"/>
          <w:iCs w:val="1"/>
          <w:color w:val="auto"/>
        </w:rPr>
        <w:t>vrijgestelde beleggingsinstellingen</w:t>
      </w:r>
      <w:r>
        <w:rPr>
          <w:rFonts w:ascii="Arial" w:cs="Arial" w:eastAsia="Arial" w:hAnsi="Arial"/>
          <w:sz w:val="16"/>
          <w:szCs w:val="16"/>
          <w:color w:val="auto"/>
        </w:rPr>
        <w:t>)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27" w:lineRule="exact"/>
        <w:rPr>
          <w:rFonts w:ascii="Arial" w:cs="Arial" w:eastAsia="Arial" w:hAnsi="Arial"/>
          <w:sz w:val="16"/>
          <w:szCs w:val="16"/>
          <w:color w:val="auto"/>
        </w:rPr>
      </w:pPr>
    </w:p>
    <w:p>
      <w:pPr>
        <w:ind w:left="1020" w:right="140" w:hanging="504"/>
        <w:spacing w:after="0" w:line="264" w:lineRule="auto"/>
        <w:tabs>
          <w:tab w:leader="none" w:pos="10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 Withholding Tax</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w:t>
      </w:r>
    </w:p>
    <w:p>
      <w:pPr>
        <w:spacing w:after="0" w:line="176" w:lineRule="exact"/>
        <w:rPr>
          <w:sz w:val="20"/>
          <w:szCs w:val="20"/>
          <w:color w:val="auto"/>
        </w:rPr>
      </w:pPr>
    </w:p>
    <w:p>
      <w:pPr>
        <w:ind w:right="20" w:firstLine="458"/>
        <w:spacing w:after="0" w:line="283"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expression “dividends distributed” includes, among other things:</w:t>
      </w:r>
    </w:p>
    <w:p>
      <w:pPr>
        <w:spacing w:after="0" w:line="165" w:lineRule="exact"/>
        <w:rPr>
          <w:sz w:val="20"/>
          <w:szCs w:val="20"/>
          <w:color w:val="auto"/>
        </w:rPr>
      </w:pPr>
    </w:p>
    <w:p>
      <w:pPr>
        <w:ind w:left="900" w:right="600" w:hanging="443"/>
        <w:spacing w:after="0" w:line="282" w:lineRule="auto"/>
        <w:tabs>
          <w:tab w:leader="none" w:pos="900" w:val="left"/>
        </w:tabs>
        <w:numPr>
          <w:ilvl w:val="0"/>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in cash or in kind, deemed and constructive distributions and repayments of paid-in capital not recognized for Dutch dividend withholding tax purposes;</w:t>
      </w:r>
    </w:p>
    <w:p>
      <w:pPr>
        <w:spacing w:after="0" w:line="103" w:lineRule="exact"/>
        <w:rPr>
          <w:rFonts w:ascii="Times New Roman" w:cs="Times New Roman" w:eastAsia="Times New Roman" w:hAnsi="Times New Roman"/>
          <w:sz w:val="16"/>
          <w:szCs w:val="16"/>
          <w:color w:val="auto"/>
        </w:rPr>
      </w:pPr>
    </w:p>
    <w:p>
      <w:pPr>
        <w:ind w:left="900" w:right="280" w:hanging="443"/>
        <w:spacing w:after="0" w:line="263" w:lineRule="auto"/>
        <w:tabs>
          <w:tab w:leader="none" w:pos="900" w:val="left"/>
        </w:tabs>
        <w:numPr>
          <w:ilvl w:val="0"/>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liquidation proceeds, proceeds from the redemption of our ordinary shares, or proceeds from the repurchase of ordinary shares (other than as temporary portfolio investment; </w:t>
      </w:r>
      <w:r>
        <w:rPr>
          <w:rFonts w:ascii="Arial" w:cs="Arial" w:eastAsia="Arial" w:hAnsi="Arial"/>
          <w:sz w:val="16"/>
          <w:szCs w:val="16"/>
          <w:i w:val="1"/>
          <w:iCs w:val="1"/>
          <w:color w:val="auto"/>
        </w:rPr>
        <w:t>tijdelijke</w:t>
      </w:r>
      <w:r>
        <w:rPr>
          <w:rFonts w:ascii="Arial" w:cs="Arial" w:eastAsia="Arial" w:hAnsi="Arial"/>
          <w:sz w:val="16"/>
          <w:szCs w:val="16"/>
          <w:color w:val="auto"/>
        </w:rPr>
        <w:t xml:space="preserve"> belegging) by us or one of our subsidiaries or other affiliated entities, in each case to the extent such proceeds exceed the average paid-in capital of those ordinary shares as recognized for Dutch dividend withholding tax purposes;</w:t>
      </w:r>
    </w:p>
    <w:p>
      <w:pPr>
        <w:spacing w:after="0" w:line="118" w:lineRule="exact"/>
        <w:rPr>
          <w:rFonts w:ascii="Times New Roman" w:cs="Times New Roman" w:eastAsia="Times New Roman" w:hAnsi="Times New Roman"/>
          <w:sz w:val="16"/>
          <w:szCs w:val="16"/>
          <w:color w:val="auto"/>
        </w:rPr>
      </w:pPr>
    </w:p>
    <w:p>
      <w:pPr>
        <w:ind w:left="900" w:right="260" w:hanging="443"/>
        <w:spacing w:after="0" w:line="282" w:lineRule="auto"/>
        <w:tabs>
          <w:tab w:leader="none" w:pos="900" w:val="left"/>
        </w:tabs>
        <w:numPr>
          <w:ilvl w:val="0"/>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103" w:lineRule="exact"/>
        <w:rPr>
          <w:rFonts w:ascii="Times New Roman" w:cs="Times New Roman" w:eastAsia="Times New Roman" w:hAnsi="Times New Roman"/>
          <w:sz w:val="16"/>
          <w:szCs w:val="16"/>
          <w:color w:val="auto"/>
        </w:rPr>
      </w:pPr>
    </w:p>
    <w:p>
      <w:pPr>
        <w:ind w:left="900" w:right="400" w:hanging="443"/>
        <w:spacing w:after="0" w:line="257" w:lineRule="auto"/>
        <w:tabs>
          <w:tab w:leader="none" w:pos="900" w:val="left"/>
        </w:tabs>
        <w:numPr>
          <w:ilvl w:val="0"/>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partial repayment of the paid-in capital, recognized for Dutch dividend withholding tax purposes, if and to the extent that we have net profits (</w:t>
      </w:r>
      <w:r>
        <w:rPr>
          <w:rFonts w:ascii="Arial" w:cs="Arial" w:eastAsia="Arial" w:hAnsi="Arial"/>
          <w:sz w:val="16"/>
          <w:szCs w:val="16"/>
          <w:i w:val="1"/>
          <w:iCs w:val="1"/>
          <w:color w:val="auto"/>
        </w:rPr>
        <w:t>zuivere winst</w:t>
      </w:r>
      <w:r>
        <w:rPr>
          <w:rFonts w:ascii="Arial" w:cs="Arial" w:eastAsia="Arial" w:hAnsi="Arial"/>
          <w:sz w:val="16"/>
          <w:szCs w:val="16"/>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50"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41"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 stripping</w:t>
      </w:r>
    </w:p>
    <w:p>
      <w:pPr>
        <w:spacing w:after="0" w:line="189"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6"/>
          <w:szCs w:val="16"/>
          <w:i w:val="1"/>
          <w:iCs w:val="1"/>
          <w:color w:val="auto"/>
        </w:rPr>
        <w:t>uiteindelijk gerechtigde</w:t>
      </w:r>
      <w:r>
        <w:rPr>
          <w:rFonts w:ascii="Arial" w:cs="Arial" w:eastAsia="Arial" w:hAnsi="Arial"/>
          <w:sz w:val="16"/>
          <w:szCs w:val="16"/>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As from January 1, 2024, more stringent rules apply to the setoff, exemption from, and reduction or refund of Dutch dividend withholding tax to address situations where a claim for setoff, exemption, reduction or refund may align with the letter of Dutch tax law or a double taxation convention but goes against the underlying intention or spirit of the dividend stripping rules, as perceived by the legislator. The burden of proof with respect to beneficial ownership of dividends distributed by us rests on the Dutch tax authorities. If, however, a shareholder would receive dividends, including dividends on the ordinary shares, in a calendar year in respect of which an aggregate amount of € 1,000 in Dutch dividend withholding tax would otherwise be due based on the rate of 15%, the burden of proof with respect to beneficial ownership of such dividends lies with the shareholder. Furthermore, for shares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traded on a regulated market, including the ordinary shares, it has been codified that the record date is used when determining the person who is entitled to the dividend.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Conditional withholding tax on dividends</w:t>
      </w:r>
    </w:p>
    <w:p>
      <w:pPr>
        <w:spacing w:after="0" w:line="109"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In addition to the regular Dutch dividend withholding tax as described above, a Dutch conditional withholding tax will be imposed on dividends distributed by us to entities related (</w:t>
      </w:r>
      <w:r>
        <w:rPr>
          <w:rFonts w:ascii="Arial" w:cs="Arial" w:eastAsia="Arial" w:hAnsi="Arial"/>
          <w:sz w:val="16"/>
          <w:szCs w:val="16"/>
          <w:i w:val="1"/>
          <w:iCs w:val="1"/>
          <w:color w:val="auto"/>
        </w:rPr>
        <w:t>gelieerd</w:t>
      </w:r>
      <w:r>
        <w:rPr>
          <w:rFonts w:ascii="Arial" w:cs="Arial" w:eastAsia="Arial" w:hAnsi="Arial"/>
          <w:sz w:val="16"/>
          <w:szCs w:val="16"/>
          <w:color w:val="auto"/>
        </w:rPr>
        <w:t xml:space="preserve">) to us (within the meaning of the Dutch Withholding Tax Act 2021; </w:t>
      </w:r>
      <w:r>
        <w:rPr>
          <w:rFonts w:ascii="Arial" w:cs="Arial" w:eastAsia="Arial" w:hAnsi="Arial"/>
          <w:sz w:val="16"/>
          <w:szCs w:val="16"/>
          <w:i w:val="1"/>
          <w:iCs w:val="1"/>
          <w:color w:val="auto"/>
        </w:rPr>
        <w:t>Wet bronbelasting 2021</w:t>
      </w:r>
      <w:r>
        <w:rPr>
          <w:rFonts w:ascii="Arial" w:cs="Arial" w:eastAsia="Arial" w:hAnsi="Arial"/>
          <w:sz w:val="16"/>
          <w:szCs w:val="16"/>
          <w:color w:val="auto"/>
        </w:rPr>
        <w:t>), if such related entity:</w:t>
      </w:r>
    </w:p>
    <w:p>
      <w:pPr>
        <w:spacing w:after="0" w:line="143" w:lineRule="exact"/>
        <w:rPr>
          <w:sz w:val="20"/>
          <w:szCs w:val="20"/>
          <w:color w:val="auto"/>
        </w:rPr>
      </w:pPr>
    </w:p>
    <w:p>
      <w:pPr>
        <w:jc w:val="both"/>
        <w:ind w:left="480" w:right="120" w:hanging="459"/>
        <w:spacing w:after="0" w:line="256" w:lineRule="auto"/>
        <w:tabs>
          <w:tab w:leader="none" w:pos="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is considered to be resident (</w:t>
      </w:r>
      <w:r>
        <w:rPr>
          <w:rFonts w:ascii="Arial" w:cs="Arial" w:eastAsia="Arial" w:hAnsi="Arial"/>
          <w:sz w:val="16"/>
          <w:szCs w:val="16"/>
          <w:i w:val="1"/>
          <w:iCs w:val="1"/>
          <w:color w:val="auto"/>
        </w:rPr>
        <w:t>gevestigd)</w:t>
      </w:r>
      <w:r>
        <w:rPr>
          <w:rFonts w:ascii="Arial" w:cs="Arial" w:eastAsia="Arial" w:hAnsi="Arial"/>
          <w:sz w:val="16"/>
          <w:szCs w:val="16"/>
          <w:color w:val="auto"/>
        </w:rPr>
        <w:t xml:space="preserve"> in a jurisdiction that is listed in the yearly updated Dutch Regulation on low-taxing states and non-cooperative jurisdictions for tax purposes (</w:t>
      </w:r>
      <w:r>
        <w:rPr>
          <w:rFonts w:ascii="Arial" w:cs="Arial" w:eastAsia="Arial" w:hAnsi="Arial"/>
          <w:sz w:val="16"/>
          <w:szCs w:val="16"/>
          <w:i w:val="1"/>
          <w:iCs w:val="1"/>
          <w:color w:val="auto"/>
        </w:rPr>
        <w:t>Regeling laagbelastende staten en niet-coöperatieve rechtsgebieden voor belastingdoeleinden</w:t>
      </w:r>
      <w:r>
        <w:rPr>
          <w:rFonts w:ascii="Arial" w:cs="Arial" w:eastAsia="Arial" w:hAnsi="Arial"/>
          <w:sz w:val="16"/>
          <w:szCs w:val="16"/>
          <w:color w:val="auto"/>
        </w:rPr>
        <w:t>) (a "Listed Jurisdiction"); or</w:t>
      </w:r>
    </w:p>
    <w:p>
      <w:pPr>
        <w:spacing w:after="0" w:line="1" w:lineRule="exact"/>
        <w:rPr>
          <w:rFonts w:ascii="Arial" w:cs="Arial" w:eastAsia="Arial" w:hAnsi="Arial"/>
          <w:sz w:val="16"/>
          <w:szCs w:val="16"/>
          <w:color w:val="auto"/>
        </w:rPr>
      </w:pPr>
    </w:p>
    <w:p>
      <w:pPr>
        <w:ind w:left="480" w:hanging="459"/>
        <w:spacing w:after="0"/>
        <w:tabs>
          <w:tab w:leader="none" w:pos="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has a permanent establishment located in a Listed Jurisdiction to which the ordinary shares are attributable; or</w:t>
      </w:r>
    </w:p>
    <w:p>
      <w:pPr>
        <w:spacing w:after="0" w:line="30" w:lineRule="exact"/>
        <w:rPr>
          <w:rFonts w:ascii="Arial" w:cs="Arial" w:eastAsia="Arial" w:hAnsi="Arial"/>
          <w:sz w:val="16"/>
          <w:szCs w:val="16"/>
          <w:color w:val="auto"/>
        </w:rPr>
      </w:pPr>
    </w:p>
    <w:p>
      <w:pPr>
        <w:ind w:left="480" w:right="180" w:hanging="459"/>
        <w:spacing w:after="0" w:line="262" w:lineRule="auto"/>
        <w:tabs>
          <w:tab w:leader="none" w:pos="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holds the ordinary shares with the main purpose or one of the main purposes of avoiding taxation for another person or entity and there is an artificial arrangement or transaction or a series of artificial arrangements or transactions; or</w:t>
      </w:r>
    </w:p>
    <w:p>
      <w:pPr>
        <w:ind w:left="480" w:right="180" w:hanging="459"/>
        <w:spacing w:after="0" w:line="262" w:lineRule="auto"/>
        <w:tabs>
          <w:tab w:leader="none" w:pos="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is not considered to be the beneficial owner of the ordinary shares in its jurisdiction of residence because such jurisdiction treats another entity as the beneficial owner of the ordinary shares (a hybrid mismatch); or</w:t>
      </w:r>
    </w:p>
    <w:p>
      <w:pPr>
        <w:ind w:left="480" w:hanging="459"/>
        <w:spacing w:after="0"/>
        <w:tabs>
          <w:tab w:leader="none" w:pos="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is not resident in any jurisdiction (also a hybrid mismatch); or</w:t>
      </w:r>
    </w:p>
    <w:p>
      <w:pPr>
        <w:spacing w:after="0" w:line="30" w:lineRule="exact"/>
        <w:rPr>
          <w:rFonts w:ascii="Arial" w:cs="Arial" w:eastAsia="Arial" w:hAnsi="Arial"/>
          <w:sz w:val="16"/>
          <w:szCs w:val="16"/>
          <w:color w:val="auto"/>
        </w:rPr>
      </w:pPr>
    </w:p>
    <w:p>
      <w:pPr>
        <w:ind w:left="480" w:right="60" w:hanging="459"/>
        <w:spacing w:after="0" w:line="257" w:lineRule="auto"/>
        <w:tabs>
          <w:tab w:leader="none" w:pos="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6"/>
          <w:szCs w:val="16"/>
          <w:i w:val="1"/>
          <w:iCs w:val="1"/>
          <w:color w:val="auto"/>
        </w:rPr>
        <w:t>gelieerd</w:t>
      </w:r>
      <w:r>
        <w:rPr>
          <w:rFonts w:ascii="Arial" w:cs="Arial" w:eastAsia="Arial" w:hAnsi="Arial"/>
          <w:sz w:val="16"/>
          <w:szCs w:val="16"/>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within the meaning of the Dutch Withholding Tax Act 2021.</w:t>
      </w:r>
    </w:p>
    <w:p>
      <w:pPr>
        <w:spacing w:after="0" w:line="111"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Taxes on Income and Capital Gains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Entities</w:t>
      </w:r>
    </w:p>
    <w:p>
      <w:pPr>
        <w:spacing w:after="0" w:line="189" w:lineRule="exact"/>
        <w:rPr>
          <w:sz w:val="20"/>
          <w:szCs w:val="20"/>
          <w:color w:val="auto"/>
        </w:rPr>
      </w:pPr>
    </w:p>
    <w:p>
      <w:pPr>
        <w:jc w:val="both"/>
        <w:ind w:right="380" w:firstLine="458"/>
        <w:spacing w:after="0" w:line="264" w:lineRule="auto"/>
        <w:rPr>
          <w:sz w:val="20"/>
          <w:szCs w:val="20"/>
          <w:color w:val="auto"/>
        </w:rPr>
      </w:pPr>
      <w:r>
        <w:rPr>
          <w:rFonts w:ascii="Arial" w:cs="Arial" w:eastAsia="Arial" w:hAnsi="Arial"/>
          <w:sz w:val="16"/>
          <w:szCs w:val="16"/>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Individuals</w:t>
      </w:r>
    </w:p>
    <w:p>
      <w:pPr>
        <w:spacing w:after="0" w:line="176"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6"/>
          <w:szCs w:val="16"/>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2024), if:</w:t>
      </w:r>
    </w:p>
    <w:p>
      <w:pPr>
        <w:spacing w:after="0" w:line="117" w:lineRule="exact"/>
        <w:rPr>
          <w:sz w:val="20"/>
          <w:szCs w:val="20"/>
          <w:color w:val="auto"/>
        </w:rPr>
      </w:pPr>
    </w:p>
    <w:p>
      <w:pPr>
        <w:ind w:left="1020" w:right="340" w:hanging="504"/>
        <w:spacing w:after="0" w:line="264" w:lineRule="auto"/>
        <w:tabs>
          <w:tab w:leader="none" w:pos="10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ordinary shares are attributable to an enterprise from which the holder of ordinary shares derives a share of the profit,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as a person who has a co-entitlement to the net worth (</w:t>
      </w:r>
      <w:r>
        <w:rPr>
          <w:rFonts w:ascii="Arial" w:cs="Arial" w:eastAsia="Arial" w:hAnsi="Arial"/>
          <w:sz w:val="16"/>
          <w:szCs w:val="16"/>
          <w:i w:val="1"/>
          <w:iCs w:val="1"/>
          <w:color w:val="auto"/>
        </w:rPr>
        <w:t>medegerechtigd tot het vermogen</w:t>
      </w:r>
      <w:r>
        <w:rPr>
          <w:rFonts w:ascii="Arial" w:cs="Arial" w:eastAsia="Arial" w:hAnsi="Arial"/>
          <w:sz w:val="16"/>
          <w:szCs w:val="16"/>
          <w:color w:val="auto"/>
        </w:rPr>
        <w:t>) of such enterprise without being a shareholder (as defined in the Dutch Income Tax Act 2001); or</w:t>
      </w:r>
    </w:p>
    <w:p>
      <w:pPr>
        <w:spacing w:after="0" w:line="116" w:lineRule="exact"/>
        <w:rPr>
          <w:rFonts w:ascii="Arial" w:cs="Arial" w:eastAsia="Arial" w:hAnsi="Arial"/>
          <w:sz w:val="16"/>
          <w:szCs w:val="16"/>
          <w:color w:val="auto"/>
        </w:rPr>
      </w:pPr>
    </w:p>
    <w:p>
      <w:pPr>
        <w:ind w:left="1020" w:right="80" w:hanging="504"/>
        <w:spacing w:after="0" w:line="264" w:lineRule="auto"/>
        <w:tabs>
          <w:tab w:leader="none" w:pos="10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holder of ordinary shares is considered to perform activities with respect to the ordinary shares that go beyond ordinary asset management (</w:t>
      </w:r>
      <w:r>
        <w:rPr>
          <w:rFonts w:ascii="Arial" w:cs="Arial" w:eastAsia="Arial" w:hAnsi="Arial"/>
          <w:sz w:val="16"/>
          <w:szCs w:val="16"/>
          <w:i w:val="1"/>
          <w:iCs w:val="1"/>
          <w:color w:val="auto"/>
        </w:rPr>
        <w:t>normaal, actief vermogensbeheer</w:t>
      </w:r>
      <w:r>
        <w:rPr>
          <w:rFonts w:ascii="Arial" w:cs="Arial" w:eastAsia="Arial" w:hAnsi="Arial"/>
          <w:sz w:val="16"/>
          <w:szCs w:val="16"/>
          <w:color w:val="auto"/>
        </w:rPr>
        <w:t>) or otherwise derives benefits from the ordinary shares that are taxable as benefits from miscellaneous activities (</w:t>
      </w:r>
      <w:r>
        <w:rPr>
          <w:rFonts w:ascii="Arial" w:cs="Arial" w:eastAsia="Arial" w:hAnsi="Arial"/>
          <w:sz w:val="16"/>
          <w:szCs w:val="16"/>
          <w:i w:val="1"/>
          <w:iCs w:val="1"/>
          <w:color w:val="auto"/>
        </w:rPr>
        <w:t>resultaat uit overige werkzaamheden</w:t>
      </w:r>
      <w:r>
        <w:rPr>
          <w:rFonts w:ascii="Arial" w:cs="Arial" w:eastAsia="Arial" w:hAnsi="Arial"/>
          <w:sz w:val="16"/>
          <w:szCs w:val="16"/>
          <w:color w:val="auto"/>
        </w:rPr>
        <w: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Taxation of savings and investments</w:t>
      </w:r>
    </w:p>
    <w:p>
      <w:pPr>
        <w:spacing w:after="0" w:line="17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If the above-mentioned conditions (i) and (ii) do not apply to the Dutch Resident Individual, the ordinary shares will be subject to an annual Dutch income tax under the regime for savings and investments (inkomen uit sparen en beleggen). Taxation only occurs insofar the Dutch Resident Individual's net investment assets for the year exceed a statutory threshold (heffingvrij vermogen). The net investment assets for the year are the fair market value of the investment assets less the fair market value of the liabilities on January 1 of the relevant calendar year (reference date; peildatum). Actual income or capital gains realized in respect of the ordinary shares are as such not subject to Dutch income tax.</w:t>
      </w:r>
    </w:p>
    <w:p>
      <w:pPr>
        <w:spacing w:after="0" w:line="139"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Dutch Resident Individual's assets and liabilities taxed under this regime, including the ordinary shares, are allocated over the following three categories: (a) bank savings (banktegoeden), (b) other investments (overige bezittingen), including the ordinary shares, and (c) liabilities (schulden). The taxable benefit for the year (voordeel uit sparen en beleggen) is equal to the product of (a) the total deemed return divided by the sum of bank savings, other investments and liabilities and (b) the sum of bank savings, other investments and liabilities minus the statutory threshold, and is taxed at a flat rate of 36% (rate for 2024).</w:t>
      </w:r>
    </w:p>
    <w:p>
      <w:pPr>
        <w:spacing w:after="0" w:line="152" w:lineRule="exact"/>
        <w:rPr>
          <w:sz w:val="20"/>
          <w:szCs w:val="20"/>
          <w:color w:val="auto"/>
        </w:rPr>
      </w:pPr>
    </w:p>
    <w:p>
      <w:pPr>
        <w:ind w:right="220" w:firstLine="458"/>
        <w:spacing w:after="0" w:line="283" w:lineRule="auto"/>
        <w:rPr>
          <w:sz w:val="20"/>
          <w:szCs w:val="20"/>
          <w:color w:val="auto"/>
        </w:rPr>
      </w:pPr>
      <w:r>
        <w:rPr>
          <w:rFonts w:ascii="Arial" w:cs="Arial" w:eastAsia="Arial" w:hAnsi="Arial"/>
          <w:sz w:val="16"/>
          <w:szCs w:val="16"/>
          <w:color w:val="auto"/>
        </w:rPr>
        <w:t>The deemed return applicable to the other investments (mentioned under (ii) b) above), including the ordinary shares is set at 6.04% for the calendar year 2024. Transactions in the three-month period before and after January 1 of the relevant calendar year implemented to</w:t>
      </w:r>
    </w:p>
    <w:p>
      <w:pPr>
        <w:sectPr>
          <w:pgSz w:w="11900" w:h="16838" w:orient="portrait"/>
          <w:cols w:equalWidth="0" w:num="1">
            <w:col w:w="11240"/>
          </w:cols>
          <w:pgMar w:left="320" w:top="769" w:right="3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spacing w:after="0" w:line="12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current Dutch income tax regime for savings and investments was implemented in Dutch tax law following the decision of the Dutch Supreme Court (Hoge Raad) of December 24,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September 18, 2023 (ECLI:NL:PHR:2023:655) the Attorney General Wattel concluded that the new tax system is not in line with the Decision, except for the taxation of bank savings, as the system is, in short, still based on a deemed return rather than actual returns, and as a result, the regime violates the EC-Human Rights. The decision of the Dutch Supreme Court is expected mid-2024. In addition, on September 8, 2023, the outgoing (demissionair) cabinet published a law proposal for a new tax system for savings and investments on the basis of actual returns according to an asset accumulation system, the 'Actual Return Box 3 Act' (Wet werkelijk rendement box 3). The proposed system is expected to come into effect on January 1, 2027, at the earliest.</w:t>
      </w:r>
    </w:p>
    <w:p>
      <w:pPr>
        <w:spacing w:after="0" w:line="142"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Holders of ordinary shares are advised to consult their own tax advisor to ensure that the tax in respect of the ordinary shares is levied in accordance with the applicable Dutch tax rules at t</w:t>
      </w:r>
      <w:r>
        <w:rPr>
          <w:rFonts w:ascii="Arial" w:cs="Arial" w:eastAsia="Arial" w:hAnsi="Arial"/>
          <w:sz w:val="16"/>
          <w:szCs w:val="16"/>
          <w:i w:val="1"/>
          <w:iCs w:val="1"/>
          <w:color w:val="auto"/>
        </w:rPr>
        <w:t>he relevant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89"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17" w:lineRule="exact"/>
        <w:rPr>
          <w:sz w:val="20"/>
          <w:szCs w:val="20"/>
          <w:color w:val="auto"/>
        </w:rPr>
      </w:pPr>
    </w:p>
    <w:p>
      <w:pPr>
        <w:ind w:left="1020" w:right="100" w:hanging="504"/>
        <w:spacing w:after="0" w:line="257"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23" w:lineRule="exact"/>
        <w:rPr>
          <w:rFonts w:ascii="Arial" w:cs="Arial" w:eastAsia="Arial" w:hAnsi="Arial"/>
          <w:sz w:val="16"/>
          <w:szCs w:val="16"/>
          <w:color w:val="auto"/>
        </w:rPr>
      </w:pPr>
    </w:p>
    <w:p>
      <w:pPr>
        <w:jc w:val="both"/>
        <w:ind w:left="1020" w:right="120" w:hanging="504"/>
        <w:spacing w:after="0" w:line="264"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Gift and Inheritance Taxes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Residents of the Netherlands</w:t>
      </w:r>
    </w:p>
    <w:p>
      <w:pPr>
        <w:spacing w:after="0" w:line="189"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6"/>
          <w:szCs w:val="16"/>
          <w:i w:val="1"/>
          <w:iCs w:val="1"/>
          <w:color w:val="auto"/>
        </w:rPr>
        <w:t>’</w:t>
      </w:r>
      <w:r>
        <w:rPr>
          <w:rFonts w:ascii="Arial" w:cs="Arial" w:eastAsia="Arial" w:hAnsi="Arial"/>
          <w:sz w:val="16"/>
          <w:szCs w:val="16"/>
          <w:color w:val="auto"/>
        </w:rPr>
        <w:t>s death.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76"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102" w:lineRule="exact"/>
        <w:rPr>
          <w:sz w:val="20"/>
          <w:szCs w:val="20"/>
          <w:color w:val="auto"/>
        </w:rPr>
      </w:pPr>
    </w:p>
    <w:p>
      <w:pPr>
        <w:ind w:left="1020" w:right="240" w:hanging="504"/>
        <w:spacing w:after="0" w:line="283" w:lineRule="auto"/>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02" w:lineRule="exact"/>
        <w:rPr>
          <w:rFonts w:ascii="Arial" w:cs="Arial" w:eastAsia="Arial" w:hAnsi="Arial"/>
          <w:sz w:val="16"/>
          <w:szCs w:val="16"/>
          <w:color w:val="auto"/>
        </w:rPr>
      </w:pPr>
    </w:p>
    <w:p>
      <w:pPr>
        <w:ind w:left="1020" w:hanging="504"/>
        <w:spacing w:after="0" w:line="283" w:lineRule="auto"/>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case of a gift of our ordinary shares made under a condition precedent, the holder of ordinary shares is resident or deemed to be resident of the Netherlands at the time the condition is fulfilled; or</w:t>
      </w:r>
    </w:p>
    <w:p>
      <w:pPr>
        <w:spacing w:after="0" w:line="102" w:lineRule="exact"/>
        <w:rPr>
          <w:rFonts w:ascii="Arial" w:cs="Arial" w:eastAsia="Arial" w:hAnsi="Arial"/>
          <w:sz w:val="16"/>
          <w:szCs w:val="16"/>
          <w:color w:val="auto"/>
        </w:rPr>
      </w:pPr>
    </w:p>
    <w:p>
      <w:pPr>
        <w:ind w:left="1020" w:right="540" w:hanging="504"/>
        <w:spacing w:after="0" w:line="283" w:lineRule="auto"/>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transfer is otherwise construed as a gift or inheritance made by, or on behalf of, a person who, at the time of the gift or death, is or is deemed to be resident of the Netherlands.</w:t>
      </w:r>
    </w:p>
    <w:p>
      <w:pPr>
        <w:spacing w:after="0" w:line="12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Value Added Tax (VAT)</w:t>
      </w:r>
    </w:p>
    <w:p>
      <w:pPr>
        <w:spacing w:after="0" w:line="176" w:lineRule="exact"/>
        <w:rPr>
          <w:sz w:val="20"/>
          <w:szCs w:val="20"/>
          <w:color w:val="auto"/>
        </w:rPr>
      </w:pPr>
    </w:p>
    <w:p>
      <w:pPr>
        <w:ind w:right="240" w:firstLine="458"/>
        <w:spacing w:after="0" w:line="283" w:lineRule="auto"/>
        <w:rPr>
          <w:sz w:val="20"/>
          <w:szCs w:val="20"/>
          <w:color w:val="auto"/>
        </w:rPr>
      </w:pPr>
      <w:r>
        <w:rPr>
          <w:rFonts w:ascii="Arial" w:cs="Arial" w:eastAsia="Arial" w:hAnsi="Arial"/>
          <w:sz w:val="16"/>
          <w:szCs w:val="16"/>
          <w:color w:val="auto"/>
        </w:rPr>
        <w:t>No Dutch value added tax will be payable by a holder of our ordinary shares in respect of any payment in consideration for the holding or disposal of our ordinary shares.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Taxes and Duties</w:t>
      </w:r>
    </w:p>
    <w:p>
      <w:pPr>
        <w:spacing w:after="0" w:line="189" w:lineRule="exact"/>
        <w:rPr>
          <w:sz w:val="20"/>
          <w:szCs w:val="20"/>
          <w:color w:val="auto"/>
        </w:rPr>
      </w:pPr>
    </w:p>
    <w:p>
      <w:pPr>
        <w:ind w:firstLine="458"/>
        <w:spacing w:after="0" w:line="283" w:lineRule="auto"/>
        <w:rPr>
          <w:sz w:val="20"/>
          <w:szCs w:val="20"/>
          <w:color w:val="auto"/>
        </w:rPr>
      </w:pPr>
      <w:r>
        <w:rPr>
          <w:rFonts w:ascii="Arial" w:cs="Arial" w:eastAsia="Arial" w:hAnsi="Arial"/>
          <w:sz w:val="16"/>
          <w:szCs w:val="16"/>
          <w:color w:val="auto"/>
        </w:rPr>
        <w:t>No Dutch documentation taxes (commonly referred to as stamp duties) will be payable by a holder of our ordinary shares in respect of any payment in consideration for the holding or disposal of our ordinary shares.</w:t>
      </w:r>
    </w:p>
    <w:p>
      <w:pPr>
        <w:spacing w:after="0" w:line="116" w:lineRule="exact"/>
        <w:rPr>
          <w:sz w:val="20"/>
          <w:szCs w:val="20"/>
          <w:color w:val="auto"/>
        </w:rPr>
      </w:pPr>
    </w:p>
    <w:p>
      <w:pPr>
        <w:ind w:left="1020" w:hanging="549"/>
        <w:spacing w:after="0"/>
        <w:tabs>
          <w:tab w:leader="none" w:pos="102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1020" w:hanging="549"/>
        <w:spacing w:after="0"/>
        <w:tabs>
          <w:tab w:leader="none" w:pos="102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by experts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111"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 xml:space="preserve">We are subject to the informational requirements of the Exchange Act. Accordingly, we are required to file reports and other information with the SEC, including Annual Reports and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44" w:lineRule="exact"/>
        <w:rPr>
          <w:sz w:val="20"/>
          <w:szCs w:val="20"/>
          <w:color w:val="auto"/>
        </w:rPr>
      </w:pPr>
    </w:p>
    <w:p>
      <w:pPr>
        <w:ind w:left="1020" w:hanging="549"/>
        <w:spacing w:after="0"/>
        <w:tabs>
          <w:tab w:leader="none" w:pos="102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color w:val="auto"/>
        </w:rPr>
        <w:t>Annual Report to Security Holders</w:t>
      </w:r>
    </w:p>
    <w:p>
      <w:pPr>
        <w:spacing w:after="0" w:line="111" w:lineRule="exact"/>
        <w:rPr>
          <w:sz w:val="20"/>
          <w:szCs w:val="20"/>
          <w:color w:val="auto"/>
        </w:rPr>
      </w:pPr>
    </w:p>
    <w:p>
      <w:pPr>
        <w:ind w:right="360" w:firstLine="458"/>
        <w:spacing w:after="0" w:line="283" w:lineRule="auto"/>
        <w:rPr>
          <w:sz w:val="20"/>
          <w:szCs w:val="20"/>
          <w:color w:val="auto"/>
        </w:rPr>
      </w:pPr>
      <w:r>
        <w:rPr>
          <w:rFonts w:ascii="Arial" w:cs="Arial" w:eastAsia="Arial" w:hAnsi="Arial"/>
          <w:sz w:val="16"/>
          <w:szCs w:val="16"/>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11"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78" w:lineRule="exact"/>
        <w:rPr>
          <w:sz w:val="20"/>
          <w:szCs w:val="20"/>
          <w:color w:val="auto"/>
        </w:rPr>
      </w:pPr>
    </w:p>
    <w:p>
      <w:pPr>
        <w:ind w:left="1020" w:hanging="549"/>
        <w:spacing w:after="0"/>
        <w:tabs>
          <w:tab w:leader="none" w:pos="102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Debt securities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 rights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1020" w:hanging="549"/>
        <w:spacing w:after="0"/>
        <w:tabs>
          <w:tab w:leader="none" w:pos="102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Other securities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78" w:lineRule="exact"/>
        <w:rPr>
          <w:sz w:val="20"/>
          <w:szCs w:val="20"/>
          <w:color w:val="auto"/>
        </w:rPr>
      </w:pPr>
    </w:p>
    <w:p>
      <w:pPr>
        <w:ind w:left="1020" w:hanging="549"/>
        <w:spacing w:after="0"/>
        <w:tabs>
          <w:tab w:leader="none" w:pos="102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PART II</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Defaults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Arrears and delinquencies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5" w:lineRule="exact"/>
        <w:rPr>
          <w:sz w:val="20"/>
          <w:szCs w:val="20"/>
          <w:color w:val="auto"/>
        </w:rPr>
      </w:pPr>
    </w:p>
    <w:p>
      <w:pPr>
        <w:ind w:left="460" w:right="1460" w:firstLine="1128"/>
        <w:spacing w:after="0" w:line="454" w:lineRule="auto"/>
        <w:rPr>
          <w:sz w:val="20"/>
          <w:szCs w:val="20"/>
          <w:color w:val="auto"/>
        </w:rPr>
      </w:pPr>
      <w:r>
        <w:rPr>
          <w:rFonts w:ascii="Arial" w:cs="Arial" w:eastAsia="Arial" w:hAnsi="Arial"/>
          <w:sz w:val="16"/>
          <w:szCs w:val="16"/>
          <w:b w:val="1"/>
          <w:bCs w:val="1"/>
          <w:color w:val="auto"/>
        </w:rPr>
        <w:t>ITEM 14. MATERIAL MODIFICATIONS TO THE RIGHTS OF SECURITY HOLDERS AND USE OF PROCEEDS A Material modifications to instruments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20"/>
          </w:cols>
          <w:pgMar w:left="320" w:top="769" w:right="4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Material modifications to rights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Withdrawal or substitution of assets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 in trustees or paying agents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Use of Proceeds</w:t>
      </w:r>
    </w:p>
    <w:p>
      <w:pPr>
        <w:spacing w:after="0" w:line="111"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On February 4, 2021, our registration statement on Form F-1 (File No. 333-252157), as amended, was declared effective by the SEC for our initial public offering of our ordinary shares, pursuant to which we offered and sold a total of 9,511,075 of our ordinary shares, par value €0.12 per share, at a public offering price of $20.00 per share. Morgan Stanley, BofA Securities and SVB Leerink acted as joint book-running managers for the offering. The offering began on February 4, 2021 and was completed on February 9, 2021.</w:t>
      </w:r>
    </w:p>
    <w:p>
      <w:pPr>
        <w:spacing w:after="0" w:line="177"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There has been no significant change in the planned use of proceeds from our initial public offering as described in our prospectus dated February 4, 2021 and filed with the SEC on February 8, 2021.</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15. CONTROLS AND PROCEDURES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Disclosure Controls and Procedures</w:t>
      </w:r>
    </w:p>
    <w:p>
      <w:pPr>
        <w:spacing w:after="0" w:line="111" w:lineRule="exact"/>
        <w:rPr>
          <w:sz w:val="20"/>
          <w:szCs w:val="20"/>
          <w:color w:val="auto"/>
        </w:rPr>
      </w:pPr>
    </w:p>
    <w:p>
      <w:pPr>
        <w:ind w:right="380" w:firstLine="458"/>
        <w:spacing w:after="0" w:line="257" w:lineRule="auto"/>
        <w:rPr>
          <w:sz w:val="20"/>
          <w:szCs w:val="20"/>
          <w:color w:val="auto"/>
        </w:rPr>
      </w:pPr>
      <w:r>
        <w:rPr>
          <w:rFonts w:ascii="Arial" w:cs="Arial" w:eastAsia="Arial" w:hAnsi="Arial"/>
          <w:sz w:val="16"/>
          <w:szCs w:val="16"/>
          <w:color w:val="auto"/>
        </w:rPr>
        <w:t>As of December 31, 2023, our management, including our Chief Executive Officer and Principal Accounting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77" w:lineRule="exact"/>
        <w:rPr>
          <w:sz w:val="20"/>
          <w:szCs w:val="20"/>
          <w:color w:val="auto"/>
        </w:rPr>
      </w:pPr>
    </w:p>
    <w:p>
      <w:pPr>
        <w:ind w:right="20" w:firstLine="458"/>
        <w:spacing w:after="0" w:line="283" w:lineRule="auto"/>
        <w:rPr>
          <w:sz w:val="20"/>
          <w:szCs w:val="20"/>
          <w:color w:val="auto"/>
        </w:rPr>
      </w:pPr>
      <w:r>
        <w:rPr>
          <w:rFonts w:ascii="Arial" w:cs="Arial" w:eastAsia="Arial" w:hAnsi="Arial"/>
          <w:sz w:val="16"/>
          <w:szCs w:val="16"/>
          <w:color w:val="auto"/>
        </w:rPr>
        <w:t>Based on such evaluation, our Chief Executive Officer and Principal Accounting Officer concluded that our disclosure controls and procedures were not effective due to material weaknesses in the design of our internal control over financial reporting.</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11" w:lineRule="exact"/>
        <w:rPr>
          <w:sz w:val="20"/>
          <w:szCs w:val="20"/>
          <w:color w:val="auto"/>
        </w:rPr>
      </w:pPr>
    </w:p>
    <w:p>
      <w:pPr>
        <w:ind w:right="140" w:firstLine="458"/>
        <w:spacing w:after="0" w:line="257" w:lineRule="auto"/>
        <w:rPr>
          <w:sz w:val="20"/>
          <w:szCs w:val="20"/>
          <w:color w:val="auto"/>
        </w:rPr>
      </w:pPr>
      <w:r>
        <w:rPr>
          <w:rFonts w:ascii="Arial" w:cs="Arial" w:eastAsia="Arial" w:hAnsi="Arial"/>
          <w:sz w:val="16"/>
          <w:szCs w:val="16"/>
          <w:color w:val="auto"/>
        </w:rPr>
        <w:t>We are relying on certain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We have taken advantage of these reduced reporting requirements in this Annual Report.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218" w:lineRule="exact"/>
        <w:rPr>
          <w:sz w:val="20"/>
          <w:szCs w:val="20"/>
          <w:color w:val="auto"/>
        </w:rPr>
      </w:pPr>
    </w:p>
    <w:p>
      <w:pPr>
        <w:ind w:right="580" w:firstLine="458"/>
        <w:spacing w:after="0" w:line="283" w:lineRule="auto"/>
        <w:rPr>
          <w:sz w:val="20"/>
          <w:szCs w:val="20"/>
          <w:color w:val="auto"/>
        </w:rPr>
      </w:pPr>
      <w:r>
        <w:rPr>
          <w:rFonts w:ascii="Arial" w:cs="Arial" w:eastAsia="Arial" w:hAnsi="Arial"/>
          <w:sz w:val="16"/>
          <w:szCs w:val="16"/>
          <w:color w:val="auto"/>
        </w:rPr>
        <w:t>The remediation actions implemented during fiscal year 2023 mainly address the general setup for an Internal Control Over Financial Reporting system:</w:t>
      </w:r>
    </w:p>
    <w:p>
      <w:pPr>
        <w:spacing w:after="0" w:line="156" w:lineRule="exact"/>
        <w:rPr>
          <w:sz w:val="20"/>
          <w:szCs w:val="20"/>
          <w:color w:val="auto"/>
        </w:rPr>
      </w:pPr>
    </w:p>
    <w:p>
      <w:pPr>
        <w:ind w:left="840" w:hanging="369"/>
        <w:spacing w:after="0"/>
        <w:tabs>
          <w:tab w:leader="none" w:pos="840" w:val="left"/>
        </w:tabs>
        <w:numPr>
          <w:ilvl w:val="0"/>
          <w:numId w:val="125"/>
        </w:numPr>
        <w:rPr>
          <w:rFonts w:ascii="Times New Roman" w:cs="Times New Roman" w:eastAsia="Times New Roman" w:hAnsi="Times New Roman"/>
          <w:sz w:val="16"/>
          <w:szCs w:val="16"/>
          <w:color w:val="auto"/>
        </w:rPr>
      </w:pPr>
      <w:r>
        <w:rPr>
          <w:rFonts w:ascii="Arial" w:cs="Arial" w:eastAsia="Arial" w:hAnsi="Arial"/>
          <w:sz w:val="16"/>
          <w:szCs w:val="16"/>
          <w:color w:val="auto"/>
        </w:rPr>
        <w:t>improving the composition and expertise of accounting and financial reporting personnel;</w:t>
      </w:r>
    </w:p>
    <w:p>
      <w:pPr>
        <w:spacing w:after="0" w:line="230" w:lineRule="exact"/>
        <w:rPr>
          <w:rFonts w:ascii="Times New Roman" w:cs="Times New Roman" w:eastAsia="Times New Roman" w:hAnsi="Times New Roman"/>
          <w:sz w:val="16"/>
          <w:szCs w:val="16"/>
          <w:color w:val="auto"/>
        </w:rPr>
      </w:pPr>
    </w:p>
    <w:p>
      <w:pPr>
        <w:ind w:left="840" w:hanging="369"/>
        <w:spacing w:after="0"/>
        <w:tabs>
          <w:tab w:leader="none" w:pos="840" w:val="left"/>
        </w:tabs>
        <w:numPr>
          <w:ilvl w:val="0"/>
          <w:numId w:val="125"/>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developing and documenting our scoping of key processes and risk and control matrices;</w:t>
      </w:r>
    </w:p>
    <w:p>
      <w:pPr>
        <w:spacing w:after="0" w:line="230" w:lineRule="exact"/>
        <w:rPr>
          <w:rFonts w:ascii="Times New Roman" w:cs="Times New Roman" w:eastAsia="Times New Roman" w:hAnsi="Times New Roman"/>
          <w:sz w:val="16"/>
          <w:szCs w:val="16"/>
          <w:color w:val="auto"/>
        </w:rPr>
      </w:pPr>
    </w:p>
    <w:p>
      <w:pPr>
        <w:ind w:left="840" w:hanging="369"/>
        <w:spacing w:after="0"/>
        <w:tabs>
          <w:tab w:leader="none" w:pos="840" w:val="left"/>
        </w:tabs>
        <w:numPr>
          <w:ilvl w:val="0"/>
          <w:numId w:val="125"/>
        </w:numPr>
        <w:rPr>
          <w:rFonts w:ascii="Times New Roman" w:cs="Times New Roman" w:eastAsia="Times New Roman" w:hAnsi="Times New Roman"/>
          <w:sz w:val="16"/>
          <w:szCs w:val="16"/>
          <w:color w:val="auto"/>
        </w:rPr>
      </w:pPr>
      <w:r>
        <w:rPr>
          <w:rFonts w:ascii="Arial" w:cs="Arial" w:eastAsia="Arial" w:hAnsi="Arial"/>
          <w:sz w:val="16"/>
          <w:szCs w:val="16"/>
          <w:color w:val="auto"/>
        </w:rPr>
        <w:t>finalizing our drafted formal policies on our internal controls system;</w:t>
      </w:r>
    </w:p>
    <w:p>
      <w:pPr>
        <w:spacing w:after="0" w:line="230" w:lineRule="exact"/>
        <w:rPr>
          <w:rFonts w:ascii="Times New Roman" w:cs="Times New Roman" w:eastAsia="Times New Roman" w:hAnsi="Times New Roman"/>
          <w:sz w:val="16"/>
          <w:szCs w:val="16"/>
          <w:color w:val="auto"/>
        </w:rPr>
      </w:pPr>
    </w:p>
    <w:p>
      <w:pPr>
        <w:jc w:val="both"/>
        <w:ind w:left="840" w:right="460" w:hanging="369"/>
        <w:spacing w:after="0" w:line="263" w:lineRule="auto"/>
        <w:tabs>
          <w:tab w:leader="none" w:pos="840" w:val="left"/>
        </w:tabs>
        <w:numPr>
          <w:ilvl w:val="0"/>
          <w:numId w:val="125"/>
        </w:numPr>
        <w:rPr>
          <w:rFonts w:ascii="Times New Roman" w:cs="Times New Roman" w:eastAsia="Times New Roman" w:hAnsi="Times New Roman"/>
          <w:sz w:val="16"/>
          <w:szCs w:val="16"/>
          <w:color w:val="auto"/>
        </w:rPr>
      </w:pPr>
      <w:r>
        <w:rPr>
          <w:rFonts w:ascii="Arial" w:cs="Arial" w:eastAsia="Arial" w:hAnsi="Arial"/>
          <w:sz w:val="16"/>
          <w:szCs w:val="16"/>
          <w:color w:val="auto"/>
        </w:rPr>
        <w:t>implementing a new accounting system throughout fiscal year 2023 being operational since January 2024 which is improving the IT general controls environment, increasing the number of application controls and reducing the manual nature of execution of key controls throughout significant business processes;</w:t>
      </w:r>
    </w:p>
    <w:p>
      <w:pPr>
        <w:spacing w:after="0" w:line="171" w:lineRule="exact"/>
        <w:rPr>
          <w:rFonts w:ascii="Times New Roman" w:cs="Times New Roman" w:eastAsia="Times New Roman" w:hAnsi="Times New Roman"/>
          <w:sz w:val="16"/>
          <w:szCs w:val="16"/>
          <w:color w:val="auto"/>
        </w:rPr>
      </w:pPr>
    </w:p>
    <w:p>
      <w:pPr>
        <w:ind w:left="840" w:right="480" w:hanging="369"/>
        <w:spacing w:after="0" w:line="282" w:lineRule="auto"/>
        <w:tabs>
          <w:tab w:leader="none" w:pos="840" w:val="left"/>
        </w:tabs>
        <w:numPr>
          <w:ilvl w:val="0"/>
          <w:numId w:val="125"/>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 risk management policy to set out the processes, methods, and tools used to manage the risks within the Company and a risk inventory to grade the consequences and likelihood of occurrence of each risk; and</w:t>
      </w:r>
    </w:p>
    <w:p>
      <w:pPr>
        <w:spacing w:after="0" w:line="156" w:lineRule="exact"/>
        <w:rPr>
          <w:rFonts w:ascii="Times New Roman" w:cs="Times New Roman" w:eastAsia="Times New Roman" w:hAnsi="Times New Roman"/>
          <w:sz w:val="16"/>
          <w:szCs w:val="16"/>
          <w:color w:val="auto"/>
        </w:rPr>
      </w:pPr>
    </w:p>
    <w:p>
      <w:pPr>
        <w:ind w:left="840" w:hanging="369"/>
        <w:spacing w:after="0"/>
        <w:tabs>
          <w:tab w:leader="none" w:pos="840" w:val="left"/>
        </w:tabs>
        <w:numPr>
          <w:ilvl w:val="0"/>
          <w:numId w:val="125"/>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awareness and training plans for risk and control owners.</w:t>
      </w:r>
    </w:p>
    <w:p>
      <w:pPr>
        <w:spacing w:after="0" w:line="124" w:lineRule="exact"/>
        <w:rPr>
          <w:sz w:val="20"/>
          <w:szCs w:val="20"/>
          <w:color w:val="auto"/>
        </w:rPr>
      </w:pPr>
    </w:p>
    <w:p>
      <w:pPr>
        <w:ind w:firstLine="374"/>
        <w:spacing w:after="0" w:line="264"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sufficient period of time. We cannot assure you that we will be able to successfully remediate these material weaknesses or that other material weaknesses will not be discovered in the future.</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Management’s Annual Report on Internal Control over Financial Reporting</w:t>
      </w:r>
    </w:p>
    <w:p>
      <w:pPr>
        <w:spacing w:after="0" w:line="111"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Principal Accounting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by the Committee of Sponsoring Organizations of the Treadway Commission. A material weakness is a deficiency, or</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control deficiencies in internal control over financial reporting, such that there is a reasonable possibility that a material misstatement of the company’s annual or interim financial statements will not be prevented or detected in a timely basis. Based on that evaluation, due to the material weaknesses described below, our management concluded that our internal control over financial reporting was not effective as of December 31, 2023.</w:t>
      </w:r>
    </w:p>
    <w:p>
      <w:pPr>
        <w:spacing w:after="0" w:line="181" w:lineRule="exact"/>
        <w:rPr>
          <w:sz w:val="20"/>
          <w:szCs w:val="20"/>
          <w:color w:val="auto"/>
        </w:rPr>
      </w:pPr>
    </w:p>
    <w:p>
      <w:pPr>
        <w:ind w:right="180" w:firstLine="458"/>
        <w:spacing w:after="0" w:line="257" w:lineRule="auto"/>
        <w:rPr>
          <w:sz w:val="20"/>
          <w:szCs w:val="20"/>
          <w:color w:val="auto"/>
        </w:rPr>
      </w:pPr>
      <w:r>
        <w:rPr>
          <w:rFonts w:ascii="Arial" w:cs="Arial" w:eastAsia="Arial" w:hAnsi="Arial"/>
          <w:sz w:val="16"/>
          <w:szCs w:val="16"/>
          <w:color w:val="auto"/>
        </w:rPr>
        <w:t>In connection with the preparation of our consolidated financial statements as of and for the year ended December 31, 2023,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0" w:lineRule="exact"/>
        <w:rPr>
          <w:sz w:val="20"/>
          <w:szCs w:val="20"/>
          <w:color w:val="auto"/>
        </w:rPr>
      </w:pPr>
    </w:p>
    <w:p>
      <w:pPr>
        <w:ind w:left="900" w:right="160" w:hanging="429"/>
        <w:spacing w:after="0" w:line="263" w:lineRule="auto"/>
        <w:tabs>
          <w:tab w:leader="none" w:pos="900" w:val="left"/>
        </w:tabs>
        <w:numPr>
          <w:ilvl w:val="0"/>
          <w:numId w:val="126"/>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4" w:lineRule="exact"/>
        <w:rPr>
          <w:rFonts w:ascii="Times New Roman" w:cs="Times New Roman" w:eastAsia="Times New Roman" w:hAnsi="Times New Roman"/>
          <w:sz w:val="16"/>
          <w:szCs w:val="16"/>
          <w:color w:val="auto"/>
        </w:rPr>
      </w:pPr>
    </w:p>
    <w:p>
      <w:pPr>
        <w:ind w:left="900" w:right="20" w:hanging="429"/>
        <w:spacing w:after="0" w:line="254" w:lineRule="auto"/>
        <w:tabs>
          <w:tab w:leader="none" w:pos="900" w:val="left"/>
        </w:tabs>
        <w:numPr>
          <w:ilvl w:val="0"/>
          <w:numId w:val="126"/>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179"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The material weakness related to formal accounting policies, procedures and controls as well as accounting for complex accounting matters resulted in audit adjustments for the years ended December 31, 2022 and 2021. Additionally, these material weaknesses could result in a material misstatement of substantially all of Pharvaris N.V. consolidated accounts or disclosures that would result in a material misstatement to the annual or interim consolidated financial statements that would not be prevented or detected.</w:t>
      </w:r>
    </w:p>
    <w:p>
      <w:pPr>
        <w:spacing w:after="0" w:line="365"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Pharvaris N.V. did not design and maintain effective controls over certain information technology (“IT”) general controls for information systems that are relevant to the preparation of its consolidated financial statements. Specifically, Pharvaris N.V. did not design and maintain (a) program change management controls to ensure that IT program and data changes affecting financial IT applications and underlying accounting records are identified, tested, authorized and implemented appropriately, (b) user access controls to ensure appropriate segregation of duties and that adequately restrict user and privileged access to its financial applications and data to appropriate company personnel and (c) testing and approval controls for program development to ensure that new software development is aligned with business and IT requirements. The IT deficiencies did not result in any misstatements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Pharvaris N.V. management has determined these deficiencies in the aggregate constitute a material weakness.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111"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This Annual Report does not include an attestation report of our registered public accounting firm due to a transition period established by rules of the SEC for emerging growth companies.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21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Other than the changes to address our material weaknesses described above there have been no changes in internal control over financial reporting that occurred during the period covered by this annual report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16. RESERVED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has determined that Ms. Monges, and Mr. Schikan qualify as “audit committee financial experts,” as such term is defined in the rules of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ITEM 16B. CODE OF ETHICS</w:t>
      </w:r>
    </w:p>
    <w:p>
      <w:pPr>
        <w:spacing w:after="0" w:line="21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We have adopted a code of ethics applicable to the board of directors and all employees. We have posted a copy of our code of business conduct and ethics on our website at: https://ir.pharvaris.com/corporate-governance/governance-documents. The information on our website is not incorporated by reference into this Annual Report, and you should not consider information contained on our website to be a part of this Annual Report.</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Audit Fees</w:t>
      </w:r>
    </w:p>
    <w:p>
      <w:pPr>
        <w:spacing w:after="0" w:line="111" w:lineRule="exact"/>
        <w:rPr>
          <w:sz w:val="20"/>
          <w:szCs w:val="20"/>
          <w:color w:val="auto"/>
        </w:rPr>
      </w:pPr>
    </w:p>
    <w:p>
      <w:pPr>
        <w:jc w:val="both"/>
        <w:ind w:right="240" w:firstLine="458"/>
        <w:spacing w:after="0" w:line="264" w:lineRule="auto"/>
        <w:rPr>
          <w:sz w:val="20"/>
          <w:szCs w:val="20"/>
          <w:color w:val="auto"/>
        </w:rPr>
      </w:pPr>
      <w:r>
        <w:rPr>
          <w:rFonts w:ascii="Arial" w:cs="Arial" w:eastAsia="Arial" w:hAnsi="Arial"/>
          <w:sz w:val="16"/>
          <w:szCs w:val="16"/>
          <w:color w:val="auto"/>
        </w:rPr>
        <w:t>Audit fees in 2023 and 2022 amounted to €884,747 and €811,876, respectively, and relate to audit services provided by our principal accountants in 2023 and 2022, respectively, PricewaterhouseCoopers Accountants N.V., in connection with our annual audit, quarterly reviews and review of registration statements and comfort letters for the Company.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Audit-Related Fees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Tax Fees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All Other Fees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Audit Committee’s Pre-Approval Policies and Procedures</w:t>
      </w:r>
    </w:p>
    <w:p>
      <w:pPr>
        <w:spacing w:after="0" w:line="111"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The Audit Committee is responsible for the appointment, replacement, compensation, evaluation and oversight of the work of the independent auditors. As part of this responsibility, the Audit Committee pre-approves all audit and non-audit services performed by the independent auditors in order to assure that they do not impair the auditor’s independence from the Company in accordance with the Audit Committee’s pre-approval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Audit Work Performed by Other Than Principal Accountant if Greater than 50%</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16G. CORPORATE GOVERNANCE</w:t>
      </w:r>
    </w:p>
    <w:p>
      <w:pPr>
        <w:spacing w:after="0" w:line="218" w:lineRule="exact"/>
        <w:rPr>
          <w:sz w:val="20"/>
          <w:szCs w:val="20"/>
          <w:color w:val="auto"/>
        </w:rPr>
      </w:pPr>
    </w:p>
    <w:p>
      <w:pPr>
        <w:ind w:right="180" w:firstLine="458"/>
        <w:spacing w:after="0" w:line="283" w:lineRule="auto"/>
        <w:rPr>
          <w:sz w:val="20"/>
          <w:szCs w:val="20"/>
          <w:color w:val="auto"/>
        </w:rPr>
      </w:pPr>
      <w:r>
        <w:rPr>
          <w:rFonts w:ascii="Arial" w:cs="Arial" w:eastAsia="Arial" w:hAnsi="Arial"/>
          <w:sz w:val="16"/>
          <w:szCs w:val="16"/>
          <w:color w:val="auto"/>
        </w:rPr>
        <w:t>For a description of the significant ways in which our corporate governance practices differ from those required for U.S. companies listed on Nasdaq, see “ITEM 6. DIRECTORS, SENIOR MANAGEMENT AND EMPLOYEES—C. Board Practices—Corporate Governance Practices.”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16H. MINE SAFETY DISCLOSURE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1589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ITEM 16K. CYBERSECURITY</w:t>
      </w:r>
    </w:p>
    <w:p>
      <w:pPr>
        <w:spacing w:after="0" w:line="21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 xml:space="preserve">We integrate cybersecurity risk management into our overall risk management strategy, reporting to the chief executive officer, executive committee, and board Our cybersecurity risk management strategy includes conducting regular risk assessments to identify potential cybersecurity threats and working with external cybersecurity experts </w:t>
      </w:r>
      <w:r>
        <w:rPr>
          <w:rFonts w:ascii="Times New Roman" w:cs="Times New Roman" w:eastAsia="Times New Roman" w:hAnsi="Times New Roman"/>
          <w:sz w:val="17"/>
          <w:szCs w:val="17"/>
          <w:color w:val="auto"/>
        </w:rPr>
        <w:t>engaged</w:t>
      </w:r>
      <w:r>
        <w:rPr>
          <w:rFonts w:ascii="Arial" w:cs="Arial" w:eastAsia="Arial" w:hAnsi="Arial"/>
          <w:sz w:val="16"/>
          <w:szCs w:val="16"/>
          <w:color w:val="auto"/>
        </w:rPr>
        <w:t xml:space="preserve"> to assist us in assessing, enhancing, implementing, and monitoring our cybersecurity risk management programs and responding to any incidents</w:t>
      </w:r>
    </w:p>
    <w:p>
      <w:pPr>
        <w:spacing w:after="0" w:line="169" w:lineRule="exact"/>
        <w:rPr>
          <w:sz w:val="20"/>
          <w:szCs w:val="20"/>
          <w:color w:val="auto"/>
        </w:rPr>
      </w:pPr>
    </w:p>
    <w:p>
      <w:pPr>
        <w:ind w:right="160" w:firstLine="458"/>
        <w:spacing w:after="0" w:line="283" w:lineRule="auto"/>
        <w:rPr>
          <w:sz w:val="20"/>
          <w:szCs w:val="20"/>
          <w:color w:val="auto"/>
        </w:rPr>
      </w:pPr>
      <w:r>
        <w:rPr>
          <w:rFonts w:ascii="Arial" w:cs="Arial" w:eastAsia="Arial" w:hAnsi="Arial"/>
          <w:sz w:val="16"/>
          <w:szCs w:val="16"/>
          <w:color w:val="auto"/>
        </w:rPr>
        <w:t>We have adopted and maintain an active cybersecurity strategy, including preventative technology solutions, to assess, identify and manage material risks from cybersecurity threats and respond to cybersecurity incidents. These processes include:</w:t>
      </w:r>
    </w:p>
    <w:p>
      <w:pPr>
        <w:spacing w:after="0" w:line="236" w:lineRule="exact"/>
        <w:rPr>
          <w:sz w:val="20"/>
          <w:szCs w:val="20"/>
          <w:color w:val="auto"/>
        </w:rPr>
      </w:pPr>
    </w:p>
    <w:p>
      <w:pPr>
        <w:ind w:left="1020" w:right="40" w:hanging="504"/>
        <w:spacing w:after="0" w:line="263"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selection</w:t>
      </w:r>
      <w:r>
        <w:rPr>
          <w:rFonts w:ascii="Arial" w:cs="Arial" w:eastAsia="Arial" w:hAnsi="Arial"/>
          <w:sz w:val="16"/>
          <w:szCs w:val="16"/>
          <w:color w:val="auto"/>
        </w:rPr>
        <w:t>. We use a hybrid cloud strategy, which is designed to deliver secure and reliable information systems while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compliance, thereby providing operational resilience and agility with critical business processes, systems, and applications available on a continuous basis.</w:t>
      </w:r>
    </w:p>
    <w:p>
      <w:pPr>
        <w:spacing w:after="0" w:line="64" w:lineRule="exact"/>
        <w:rPr>
          <w:rFonts w:ascii="Times New Roman" w:cs="Times New Roman" w:eastAsia="Times New Roman" w:hAnsi="Times New Roman"/>
          <w:sz w:val="16"/>
          <w:szCs w:val="16"/>
          <w:color w:val="auto"/>
        </w:rPr>
      </w:pPr>
    </w:p>
    <w:p>
      <w:pPr>
        <w:ind w:left="1020" w:right="220" w:hanging="504"/>
        <w:spacing w:after="0" w:line="257"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assessment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cybersecurity specialists, apply risk assessment, management and mitigation tools, technologies and processes</w:t>
      </w:r>
      <w:r>
        <w:rPr>
          <w:rFonts w:ascii="Arial" w:cs="Arial" w:eastAsia="Arial" w:hAnsi="Arial"/>
          <w:sz w:val="16"/>
          <w:szCs w:val="16"/>
          <w:b w:val="1"/>
          <w:bCs w:val="1"/>
          <w:color w:val="auto"/>
        </w:rPr>
        <w:t xml:space="preserve"> </w:t>
      </w:r>
      <w:r>
        <w:rPr>
          <w:rFonts w:ascii="Arial" w:cs="Arial" w:eastAsia="Arial" w:hAnsi="Arial"/>
          <w:sz w:val="16"/>
          <w:szCs w:val="16"/>
          <w:color w:val="auto"/>
        </w:rPr>
        <w:t>aligned to ISO/IEC 27001. We regularly evaluate our information technology assets, data, systems, and architectures to identify, assess and remediate areas of vulnerability. These evaluations include performing proactive penetration and vulnerability testing and regular maturity assessments against ISO/IEC 27001 controls. Observations noted are considered as part of our risk assessment procedures.</w:t>
      </w:r>
    </w:p>
    <w:p>
      <w:pPr>
        <w:spacing w:after="0" w:line="69" w:lineRule="exact"/>
        <w:rPr>
          <w:rFonts w:ascii="Times New Roman" w:cs="Times New Roman" w:eastAsia="Times New Roman" w:hAnsi="Times New Roman"/>
          <w:sz w:val="16"/>
          <w:szCs w:val="16"/>
          <w:color w:val="auto"/>
        </w:rPr>
      </w:pPr>
    </w:p>
    <w:p>
      <w:pPr>
        <w:ind w:left="1020" w:right="20" w:hanging="504"/>
        <w:spacing w:after="0" w:line="263"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protection</w:t>
      </w:r>
      <w:r>
        <w:rPr>
          <w:rFonts w:ascii="Arial" w:cs="Arial" w:eastAsia="Arial" w:hAnsi="Arial"/>
          <w:sz w:val="16"/>
          <w:szCs w:val="16"/>
          <w:color w:val="auto"/>
        </w:rPr>
        <w:t>. We deploy a variety of methods of defense such as endpoint security, intrusion detection and prevention, risk-based multi-factor authentication, automatic patch management, email and web filtering, time-of-click URL protection, access management (principle of least privilege) and security monitoring to provide appropriate levels of protection against cybersecurity threats.</w:t>
      </w:r>
    </w:p>
    <w:p>
      <w:pPr>
        <w:spacing w:after="0" w:line="64" w:lineRule="exact"/>
        <w:rPr>
          <w:rFonts w:ascii="Times New Roman" w:cs="Times New Roman" w:eastAsia="Times New Roman" w:hAnsi="Times New Roman"/>
          <w:sz w:val="16"/>
          <w:szCs w:val="16"/>
          <w:color w:val="auto"/>
        </w:rPr>
      </w:pPr>
    </w:p>
    <w:p>
      <w:pPr>
        <w:ind w:left="1020" w:hanging="504"/>
        <w:spacing w:after="0" w:line="257"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Threat monitoring</w:t>
      </w:r>
      <w:r>
        <w:rPr>
          <w:rFonts w:ascii="Arial" w:cs="Arial" w:eastAsia="Arial" w:hAnsi="Arial"/>
          <w:sz w:val="16"/>
          <w:szCs w:val="16"/>
          <w:color w:val="auto"/>
        </w:rPr>
        <w:t>. We actively monitor our systems to prevent and detect any future cybersecurity threats and separately, we monitor</w:t>
      </w:r>
      <w:r>
        <w:rPr>
          <w:rFonts w:ascii="Arial" w:cs="Arial" w:eastAsia="Arial" w:hAnsi="Arial"/>
          <w:sz w:val="16"/>
          <w:szCs w:val="16"/>
          <w:b w:val="1"/>
          <w:bCs w:val="1"/>
          <w:color w:val="auto"/>
        </w:rPr>
        <w:t xml:space="preserve"> </w:t>
      </w:r>
      <w:r>
        <w:rPr>
          <w:rFonts w:ascii="Arial" w:cs="Arial" w:eastAsia="Arial" w:hAnsi="Arial"/>
          <w:sz w:val="16"/>
          <w:szCs w:val="16"/>
          <w:color w:val="auto"/>
        </w:rPr>
        <w:t>cybersecurity threats or incidents committed against other companies as such events become public. We constantly re-evaluate existing risks and vulnerabilities based on their likelihood of being exploited. This allows us to remain current with the latest trends in cybersecurity and make improvements to our strategy to ensure that our defenses consider newly identified and developing areas of cybersecurity threat.</w:t>
      </w:r>
    </w:p>
    <w:p>
      <w:pPr>
        <w:spacing w:after="0" w:line="69" w:lineRule="exact"/>
        <w:rPr>
          <w:rFonts w:ascii="Times New Roman" w:cs="Times New Roman" w:eastAsia="Times New Roman" w:hAnsi="Times New Roman"/>
          <w:sz w:val="16"/>
          <w:szCs w:val="16"/>
          <w:color w:val="auto"/>
        </w:rPr>
      </w:pPr>
    </w:p>
    <w:p>
      <w:pPr>
        <w:ind w:left="1020" w:right="180" w:hanging="504"/>
        <w:spacing w:after="0" w:line="257"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Threat response</w:t>
      </w:r>
      <w:r>
        <w:rPr>
          <w:rFonts w:ascii="Arial" w:cs="Arial" w:eastAsia="Arial" w:hAnsi="Arial"/>
          <w:sz w:val="16"/>
          <w:szCs w:val="16"/>
          <w:color w:val="auto"/>
        </w:rPr>
        <w:t>. We have put in place response procedures for prompt cybersecurity incident identification, reporting and remediation if we</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an information system security breach. These include the preparation of detailed response, recovery and business continuity plans in order to minimize the impact of a potential cybersecurity incident. These plans are tested and reviewed on a regular basis to ensure that they adequately capture the potential impact of newly identified and evolving cybersecurity threats.</w:t>
      </w:r>
    </w:p>
    <w:p>
      <w:pPr>
        <w:spacing w:after="0" w:line="69" w:lineRule="exact"/>
        <w:rPr>
          <w:rFonts w:ascii="Times New Roman" w:cs="Times New Roman" w:eastAsia="Times New Roman" w:hAnsi="Times New Roman"/>
          <w:sz w:val="16"/>
          <w:szCs w:val="16"/>
          <w:color w:val="auto"/>
        </w:rPr>
      </w:pPr>
    </w:p>
    <w:p>
      <w:pPr>
        <w:jc w:val="both"/>
        <w:ind w:left="1020" w:right="100" w:hanging="504"/>
        <w:spacing w:after="0" w:line="263"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Staff training</w:t>
      </w:r>
      <w:r>
        <w:rPr>
          <w:rFonts w:ascii="Arial" w:cs="Arial" w:eastAsia="Arial" w:hAnsi="Arial"/>
          <w:sz w:val="16"/>
          <w:szCs w:val="16"/>
          <w:color w:val="auto"/>
        </w:rPr>
        <w:t>. We provide staff with periodic training on cybersecurity risk areas and undertake regular cybersecurity awareness campaigns.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training covers areas such as personal digital footprint, privacy settings, social media, phishing, information security at home and at work, ransomware, password hygiene and business email compromise.</w:t>
      </w:r>
    </w:p>
    <w:p>
      <w:pPr>
        <w:spacing w:after="0" w:line="64" w:lineRule="exact"/>
        <w:rPr>
          <w:rFonts w:ascii="Times New Roman" w:cs="Times New Roman" w:eastAsia="Times New Roman" w:hAnsi="Times New Roman"/>
          <w:sz w:val="16"/>
          <w:szCs w:val="16"/>
          <w:color w:val="auto"/>
        </w:rPr>
      </w:pPr>
    </w:p>
    <w:p>
      <w:pPr>
        <w:ind w:left="1020" w:right="40" w:hanging="504"/>
        <w:spacing w:after="0" w:line="282"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Compliance with data protection frameworks</w:t>
      </w:r>
      <w:r>
        <w:rPr>
          <w:rFonts w:ascii="Arial" w:cs="Arial" w:eastAsia="Arial" w:hAnsi="Arial"/>
          <w:sz w:val="16"/>
          <w:szCs w:val="16"/>
          <w:color w:val="auto"/>
        </w:rPr>
        <w:t>. We closely monitor changes in data protection rules and guidance. This allows us to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applicable laws and to keep ahead of developments and regulatory shifts.</w:t>
      </w:r>
    </w:p>
    <w:p>
      <w:pPr>
        <w:spacing w:after="0" w:line="49" w:lineRule="exact"/>
        <w:rPr>
          <w:rFonts w:ascii="Times New Roman" w:cs="Times New Roman" w:eastAsia="Times New Roman" w:hAnsi="Times New Roman"/>
          <w:sz w:val="16"/>
          <w:szCs w:val="16"/>
          <w:color w:val="auto"/>
        </w:rPr>
      </w:pPr>
    </w:p>
    <w:p>
      <w:pPr>
        <w:ind w:left="1020" w:right="240" w:hanging="504"/>
        <w:spacing w:after="0" w:line="263" w:lineRule="auto"/>
        <w:tabs>
          <w:tab w:leader="none" w:pos="1020"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Third-party service providers. </w:t>
      </w:r>
      <w:r>
        <w:rPr>
          <w:rFonts w:ascii="Arial" w:cs="Arial" w:eastAsia="Arial" w:hAnsi="Arial"/>
          <w:sz w:val="16"/>
          <w:szCs w:val="16"/>
          <w:color w:val="auto"/>
        </w:rPr>
        <w:t>We also oversee cybersecurity risks associated with our use of third-party service providers,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restricting access to our systems from non-controlled computers or accounts, evaluation of cybersecurity practices by our third-party service providers, and evaluation of all new hardware or software tools for compliance with our security practices.</w:t>
      </w:r>
    </w:p>
    <w:p>
      <w:pPr>
        <w:spacing w:after="0" w:line="36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Pharvaris has established a cyber risk management program to enhance its capabilities of preventing, detecting and responding to information security threats. The program is overseen by the IT-Manager, who leads a team of dedicated cybersecurity experts and analysts. The team is responsible for developing and implementing the enterprise-wide cybersecurity strategy, vulnerability management, policy, standards, architecture, and processes. The IT-Manager has over 25 years of experience in cybersecurity and consults regularly with the Chief Business Officer (“CBO”), who fosters awareness, ownership and alignment among various governance and risk stakeholder groups. The CBO also ensures effective management and reporting of the dynamic digital threat landscape. The IT-Manager reports to the CBO and, with the CBO, provides regular updates to the audit committee of our Board. As of the date of this report, we are not aware of any material risks from cybersecurity threats that have materially affected or are reasonably likely to materially affect the Company, including our business strategy, results of operations, or financial condition.</w:t>
      </w:r>
    </w:p>
    <w:p>
      <w:pPr>
        <w:spacing w:after="0" w:line="156" w:lineRule="exact"/>
        <w:rPr>
          <w:sz w:val="20"/>
          <w:szCs w:val="20"/>
          <w:color w:val="auto"/>
        </w:rPr>
      </w:pPr>
    </w:p>
    <w:p>
      <w:pPr>
        <w:ind w:right="80" w:firstLine="458"/>
        <w:spacing w:after="0" w:line="283" w:lineRule="auto"/>
        <w:rPr>
          <w:sz w:val="20"/>
          <w:szCs w:val="20"/>
          <w:color w:val="auto"/>
        </w:rPr>
      </w:pPr>
      <w:r>
        <w:rPr>
          <w:rFonts w:ascii="Arial" w:cs="Arial" w:eastAsia="Arial" w:hAnsi="Arial"/>
          <w:sz w:val="16"/>
          <w:szCs w:val="16"/>
          <w:color w:val="auto"/>
        </w:rPr>
        <w:t>We describe risks faced by us from identified cybersecurity threats in Item 3D, "Risk Factors—General Risk Factors— Our internal computer systems, or those used by our clinical investigators, contractors or consultants, may fail or suffer security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III</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17.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responded to Item 18 in lieu of this item.</w:t>
      </w:r>
    </w:p>
    <w:p>
      <w:pPr>
        <w:spacing w:after="0" w:line="32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ITEM 18. FINANCIAL STATEMENTS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Statements are filed as part of this Annual Report, see pages F-1 to F-26 to this Annual Report.</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19. EXHIBITS</w:t>
      </w:r>
    </w:p>
    <w:p>
      <w:pPr>
        <w:spacing w:after="0" w:line="218" w:lineRule="exact"/>
        <w:rPr>
          <w:sz w:val="20"/>
          <w:szCs w:val="20"/>
          <w:color w:val="auto"/>
        </w:rPr>
      </w:pPr>
    </w:p>
    <w:p>
      <w:pPr>
        <w:ind w:left="60"/>
        <w:spacing w:after="0"/>
        <w:tabs>
          <w:tab w:leader="none" w:pos="568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19685</wp:posOffset>
            </wp:positionV>
            <wp:extent cx="64522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52235" cy="8255"/>
                    </a:xfrm>
                    <a:prstGeom prst="rect">
                      <a:avLst/>
                    </a:prstGeom>
                    <a:noFill/>
                  </pic:spPr>
                </pic:pic>
              </a:graphicData>
            </a:graphic>
          </wp:anchor>
        </w:drawing>
      </w:r>
    </w:p>
    <w:p>
      <w:pPr>
        <w:spacing w:after="0" w:line="181" w:lineRule="exact"/>
        <w:rPr>
          <w:sz w:val="20"/>
          <w:szCs w:val="20"/>
          <w:color w:val="auto"/>
        </w:rPr>
      </w:pPr>
    </w:p>
    <w:p>
      <w:pPr>
        <w:ind w:left="1060" w:right="160" w:hanging="701"/>
        <w:spacing w:after="0" w:line="279" w:lineRule="auto"/>
        <w:tabs>
          <w:tab w:leader="none" w:pos="1040" w:val="left"/>
        </w:tabs>
        <w:rPr>
          <w:rFonts w:ascii="Times New Roman" w:cs="Times New Roman" w:eastAsia="Times New Roman" w:hAnsi="Times New Roman"/>
          <w:sz w:val="18"/>
          <w:szCs w:val="18"/>
          <w:u w:val="single" w:color="auto"/>
          <w:color w:val="0000FF"/>
        </w:rPr>
      </w:pPr>
      <w:r>
        <w:rPr>
          <w:rFonts w:ascii="Arial" w:cs="Arial" w:eastAsia="Arial" w:hAnsi="Arial"/>
          <w:sz w:val="16"/>
          <w:szCs w:val="16"/>
          <w:color w:val="auto"/>
        </w:rPr>
        <w:t>1.1</w:t>
      </w:r>
      <w:r>
        <w:rPr>
          <w:sz w:val="20"/>
          <w:szCs w:val="20"/>
          <w:color w:val="auto"/>
        </w:rPr>
        <w:tab/>
      </w:r>
      <w:hyperlink r:id="rId291">
        <w:r>
          <w:rPr>
            <w:rFonts w:ascii="Times New Roman" w:cs="Times New Roman" w:eastAsia="Times New Roman" w:hAnsi="Times New Roman"/>
            <w:sz w:val="18"/>
            <w:szCs w:val="18"/>
            <w:u w:val="single" w:color="auto"/>
            <w:color w:val="0000FF"/>
          </w:rPr>
          <w:t>Amended and Restated Articles of Association of Pharvaris N.V. (incorporated herein by reference to Exhibit 3.1 to the Company’s Current</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Report on Form 6-K filed with the SEC on March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-182880</wp:posOffset>
            </wp:positionV>
            <wp:extent cx="63652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36524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-46355</wp:posOffset>
            </wp:positionV>
            <wp:extent cx="27006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1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0000FF"/>
        </w:rPr>
        <w:t>Description of Ordinary Shares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-5080</wp:posOffset>
            </wp:positionV>
            <wp:extent cx="22028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8" w:lineRule="exact"/>
        <w:rPr>
          <w:sz w:val="20"/>
          <w:szCs w:val="20"/>
          <w:color w:val="auto"/>
        </w:rPr>
      </w:pPr>
    </w:p>
    <w:p>
      <w:pPr>
        <w:ind w:left="1060" w:right="220" w:hanging="701"/>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295">
        <w:r>
          <w:rPr>
            <w:rFonts w:ascii="Arial" w:cs="Arial" w:eastAsia="Arial" w:hAnsi="Arial"/>
            <w:sz w:val="16"/>
            <w:szCs w:val="16"/>
            <w:u w:val="single" w:color="auto"/>
            <w:color w:val="0000FF"/>
          </w:rPr>
          <w:t>Form of Indemnification Agreement (incorporated herein by reference to Exhibit 10.1 to the Company’s Registration Statement on Form F-1</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(File No. 333-252157)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316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31698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28505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line="96" w:lineRule="exact"/>
        <w:rPr>
          <w:sz w:val="20"/>
          <w:szCs w:val="20"/>
          <w:color w:val="auto"/>
        </w:rPr>
      </w:pPr>
    </w:p>
    <w:p>
      <w:pPr>
        <w:ind w:left="1060" w:right="80" w:hanging="701"/>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298">
        <w:r>
          <w:rPr>
            <w:rFonts w:ascii="Arial" w:cs="Arial" w:eastAsia="Arial" w:hAnsi="Arial"/>
            <w:sz w:val="16"/>
            <w:szCs w:val="16"/>
            <w:u w:val="single" w:color="auto"/>
            <w:color w:val="0000FF"/>
          </w:rPr>
          <w:t>Share Subscription Agreement, dated July 26, 2019, between Pharvaris B.V. and certain of its shareholders (incorporated herein by reference</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to Exhibit 10.2 to the Company’s Registration Statement on Form F-1 (File No. 333-252157), as amended, initially filed with the SEC on</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6417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641794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1353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613537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8515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80" w:hanging="701"/>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302">
        <w:r>
          <w:rPr>
            <w:rFonts w:ascii="Arial" w:cs="Arial" w:eastAsia="Arial" w:hAnsi="Arial"/>
            <w:sz w:val="16"/>
            <w:szCs w:val="16"/>
            <w:u w:val="single" w:color="auto"/>
            <w:color w:val="0000FF"/>
          </w:rPr>
          <w:t>Amendment Agreement, dated July 29, 2020, between Pharvaris B.V. and certain of its shareholders (incorporated herein by reference to</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Exhibit 10.3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62191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621919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4141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4597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20" w:hanging="701"/>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4.4</w:t>
      </w:r>
      <w:r>
        <w:rPr>
          <w:sz w:val="20"/>
          <w:szCs w:val="20"/>
          <w:color w:val="auto"/>
        </w:rPr>
        <w:tab/>
      </w:r>
      <w:hyperlink r:id="rId306">
        <w:r>
          <w:rPr>
            <w:rFonts w:ascii="Arial" w:cs="Arial" w:eastAsia="Arial" w:hAnsi="Arial"/>
            <w:sz w:val="16"/>
            <w:szCs w:val="16"/>
            <w:u w:val="single" w:color="auto"/>
            <w:color w:val="0000FF"/>
          </w:rPr>
          <w:t>Share Subscription Agreement, dated November 3, 2020, between Pharvaris B.V. and certain of its shareholders (incorporated herein by</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reference to Exhibit 10.4 to the Company’s Registration Statement on Form F-1 (File No. 333-252157), as amended, initially filed with the SEC</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61912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619125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4522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9652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160" w:hanging="701"/>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4.5</w:t>
      </w:r>
      <w:r>
        <w:rPr>
          <w:sz w:val="20"/>
          <w:szCs w:val="20"/>
          <w:color w:val="auto"/>
        </w:rPr>
        <w:tab/>
      </w:r>
      <w:hyperlink r:id="rId310">
        <w:r>
          <w:rPr>
            <w:rFonts w:ascii="Arial" w:cs="Arial" w:eastAsia="Arial" w:hAnsi="Arial"/>
            <w:sz w:val="16"/>
            <w:szCs w:val="16"/>
            <w:u w:val="single" w:color="auto"/>
            <w:color w:val="0000FF"/>
          </w:rPr>
          <w:t>Second Amended and Restated Shareholders Agreement, dated November 5, 2020, between Pharvaris B.V. and its shareholders</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(incorporated herein by reference to Exhibit 10.5 to the Company’s Registration Statement on Form F-1 (File No. 333-252157), as amended,</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58845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588454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362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636270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21634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2163445"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jc w:val="both"/>
        <w:ind w:left="1060" w:right="40" w:hanging="701"/>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314">
        <w:r>
          <w:rPr>
            <w:rFonts w:ascii="Arial" w:cs="Arial" w:eastAsia="Arial" w:hAnsi="Arial"/>
            <w:sz w:val="16"/>
            <w:szCs w:val="16"/>
            <w:u w:val="single" w:color="auto"/>
            <w:color w:val="0000FF"/>
          </w:rPr>
          <w:t>License Agreement between Pharvaris B.V. and AnalytiCon Discovery GmbH dated as of March 31, 2016 (incorporated herein by reference to</w:t>
        </w:r>
      </w:hyperlink>
      <w:r>
        <w:rPr>
          <w:rFonts w:ascii="Arial" w:cs="Arial" w:eastAsia="Arial" w:hAnsi="Arial"/>
          <w:sz w:val="16"/>
          <w:szCs w:val="16"/>
          <w:u w:val="single" w:color="auto"/>
          <w:color w:val="0000FF"/>
        </w:rPr>
        <w:t xml:space="preserve"> </w:t>
      </w:r>
      <w:hyperlink r:id="rId314">
        <w:r>
          <w:rPr>
            <w:rFonts w:ascii="Arial" w:cs="Arial" w:eastAsia="Arial" w:hAnsi="Arial"/>
            <w:sz w:val="16"/>
            <w:szCs w:val="16"/>
            <w:u w:val="single" w:color="auto"/>
            <w:color w:val="0000FF"/>
          </w:rPr>
          <w:t>Exhibit 10.6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314">
        <w:r>
          <w:rPr>
            <w:rFonts w:ascii="Arial" w:cs="Arial" w:eastAsia="Arial" w:hAnsi="Arial"/>
            <w:sz w:val="16"/>
            <w:szCs w:val="16"/>
            <w:u w:val="single" w:color="auto"/>
            <w:color w:val="0000FF"/>
          </w:rPr>
          <w:t>15, 2021) †</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64408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44080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4141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516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jc w:val="both"/>
        <w:ind w:left="1060" w:right="100" w:hanging="701"/>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4.7</w:t>
      </w:r>
      <w:r>
        <w:rPr>
          <w:sz w:val="20"/>
          <w:szCs w:val="20"/>
          <w:color w:val="auto"/>
        </w:rPr>
        <w:tab/>
      </w:r>
      <w:hyperlink r:id="rId318">
        <w:r>
          <w:rPr>
            <w:rFonts w:ascii="Arial" w:cs="Arial" w:eastAsia="Arial" w:hAnsi="Arial"/>
            <w:sz w:val="16"/>
            <w:szCs w:val="16"/>
            <w:u w:val="single" w:color="auto"/>
            <w:color w:val="0000FF"/>
          </w:rPr>
          <w:t>Amendment 1, between Pharvaris Netherlands B.V. and AnalytiCon Discovery GmbH dated as of January 8, 2021, to the License Agreement</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between Pharvaris B.V. and AnalytiCon Discovery GmbH dated as of March 31, 2016 (incorporated herein by reference to Exhibit 10.7 to the</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Company’s Draft Registration Statement on Form F-1 (File No. 333-252157), as amended, 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63950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3779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6334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6334125" cy="8255"/>
                    </a:xfrm>
                    <a:prstGeom prst="rect">
                      <a:avLst/>
                    </a:prstGeom>
                    <a:noFill/>
                  </pic:spPr>
                </pic:pic>
              </a:graphicData>
            </a:graphic>
          </wp:anchor>
        </w:drawing>
      </w:r>
    </w:p>
    <w:p>
      <w:pPr>
        <w:spacing w:after="0" w:line="110" w:lineRule="exact"/>
        <w:rPr>
          <w:rFonts w:ascii="Arial" w:cs="Arial" w:eastAsia="Arial" w:hAnsi="Arial"/>
          <w:sz w:val="16"/>
          <w:szCs w:val="16"/>
          <w:u w:val="single" w:color="auto"/>
          <w:color w:val="0000FF"/>
        </w:rPr>
      </w:pPr>
    </w:p>
    <w:p>
      <w:pPr>
        <w:ind w:left="1060" w:right="60" w:hanging="701"/>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322">
        <w:r>
          <w:rPr>
            <w:rFonts w:ascii="Arial" w:cs="Arial" w:eastAsia="Arial" w:hAnsi="Arial"/>
            <w:sz w:val="16"/>
            <w:szCs w:val="16"/>
            <w:u w:val="single" w:color="auto"/>
            <w:color w:val="0000FF"/>
          </w:rPr>
          <w:t>Pharvaris N.V. 2021 Equity Incentive Plan (incorporated herein by reference to Exhibit 10.1 to the Company’s Registration Statement on Form</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S-8 (File No. 333-252897) filed with the SEC on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42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642747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30264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pacing w:after="0" w:line="96" w:lineRule="exact"/>
        <w:rPr>
          <w:sz w:val="20"/>
          <w:szCs w:val="20"/>
          <w:color w:val="auto"/>
        </w:rPr>
      </w:pPr>
    </w:p>
    <w:p>
      <w:pPr>
        <w:ind w:left="1060" w:right="480" w:hanging="701"/>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4.9</w:t>
      </w:r>
      <w:r>
        <w:rPr>
          <w:sz w:val="20"/>
          <w:szCs w:val="20"/>
          <w:color w:val="auto"/>
        </w:rPr>
        <w:tab/>
      </w:r>
      <w:hyperlink r:id="rId325">
        <w:r>
          <w:rPr>
            <w:rFonts w:ascii="Arial" w:cs="Arial" w:eastAsia="Arial" w:hAnsi="Arial"/>
            <w:sz w:val="16"/>
            <w:szCs w:val="16"/>
            <w:u w:val="single" w:color="auto"/>
            <w:color w:val="0000FF"/>
          </w:rPr>
          <w:t>Amended and Restated 2016 Equity Incentive Plan of Pharvaris B.V. (incorporated herein by reference to Exhibit 10.8 to the Company’s</w:t>
        </w:r>
      </w:hyperlink>
      <w:r>
        <w:rPr>
          <w:rFonts w:ascii="Arial" w:cs="Arial" w:eastAsia="Arial" w:hAnsi="Arial"/>
          <w:sz w:val="16"/>
          <w:szCs w:val="16"/>
          <w:u w:val="single" w:color="auto"/>
          <w:color w:val="0000FF"/>
        </w:rPr>
        <w:t xml:space="preserve"> </w:t>
      </w:r>
      <w:hyperlink r:id="rId325">
        <w:r>
          <w:rPr>
            <w:rFonts w:ascii="Arial" w:cs="Arial" w:eastAsia="Arial" w:hAnsi="Arial"/>
            <w:sz w:val="16"/>
            <w:szCs w:val="16"/>
            <w:u w:val="single" w:color="auto"/>
            <w:color w:val="0000FF"/>
          </w:rPr>
          <w:t>Registration Statement on Form F-1 (Registration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1607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616077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58705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5870575" cy="8255"/>
                    </a:xfrm>
                    <a:prstGeom prst="rect">
                      <a:avLst/>
                    </a:prstGeom>
                    <a:noFill/>
                  </pic:spPr>
                </pic:pic>
              </a:graphicData>
            </a:graphic>
          </wp:anchor>
        </w:drawing>
      </w:r>
    </w:p>
    <w:p>
      <w:pPr>
        <w:spacing w:after="0" w:line="96" w:lineRule="exact"/>
        <w:rPr>
          <w:sz w:val="20"/>
          <w:szCs w:val="20"/>
          <w:color w:val="auto"/>
        </w:rPr>
      </w:pPr>
    </w:p>
    <w:p>
      <w:pPr>
        <w:ind w:left="1060" w:right="200" w:hanging="745"/>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4.10</w:t>
      </w:r>
      <w:r>
        <w:rPr>
          <w:sz w:val="20"/>
          <w:szCs w:val="20"/>
          <w:color w:val="auto"/>
        </w:rPr>
        <w:tab/>
      </w:r>
      <w:hyperlink r:id="rId328">
        <w:r>
          <w:rPr>
            <w:rFonts w:ascii="Arial" w:cs="Arial" w:eastAsia="Arial" w:hAnsi="Arial"/>
            <w:sz w:val="16"/>
            <w:szCs w:val="16"/>
            <w:u w:val="single" w:color="auto"/>
            <w:color w:val="0000FF"/>
          </w:rPr>
          <w:t>Form of Participation Side Letter (incorporated herein by reference to Exhibit 10.10 to the Company’s Registration Statement on Form F-1/A</w:t>
        </w:r>
      </w:hyperlink>
      <w:r>
        <w:rPr>
          <w:rFonts w:ascii="Arial" w:cs="Arial" w:eastAsia="Arial" w:hAnsi="Arial"/>
          <w:sz w:val="16"/>
          <w:szCs w:val="16"/>
          <w:u w:val="single" w:color="auto"/>
          <w:color w:val="0000FF"/>
        </w:rPr>
        <w:t xml:space="preserve"> </w:t>
      </w:r>
      <w:hyperlink r:id="rId328">
        <w:r>
          <w:rPr>
            <w:rFonts w:ascii="Arial" w:cs="Arial" w:eastAsia="Arial" w:hAnsi="Arial"/>
            <w:sz w:val="16"/>
            <w:szCs w:val="16"/>
            <w:u w:val="single" w:color="auto"/>
            <w:color w:val="0000FF"/>
          </w:rPr>
          <w:t>(File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3398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633984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38328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3832860" cy="8255"/>
                    </a:xfrm>
                    <a:prstGeom prst="rect">
                      <a:avLst/>
                    </a:prstGeom>
                    <a:noFill/>
                  </pic:spPr>
                </pic:pic>
              </a:graphicData>
            </a:graphic>
          </wp:anchor>
        </w:drawing>
      </w:r>
    </w:p>
    <w:p>
      <w:pPr>
        <w:spacing w:after="0" w:line="96" w:lineRule="exact"/>
        <w:rPr>
          <w:sz w:val="20"/>
          <w:szCs w:val="20"/>
          <w:color w:val="auto"/>
        </w:rPr>
      </w:pPr>
    </w:p>
    <w:p>
      <w:pPr>
        <w:ind w:left="1060" w:right="340" w:hanging="739"/>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4.11</w:t>
      </w:r>
      <w:r>
        <w:rPr>
          <w:sz w:val="20"/>
          <w:szCs w:val="20"/>
          <w:color w:val="auto"/>
        </w:rPr>
        <w:tab/>
      </w:r>
      <w:hyperlink r:id="rId331">
        <w:r>
          <w:rPr>
            <w:rFonts w:ascii="Arial" w:cs="Arial" w:eastAsia="Arial" w:hAnsi="Arial"/>
            <w:sz w:val="16"/>
            <w:szCs w:val="16"/>
            <w:u w:val="single" w:color="auto"/>
            <w:color w:val="0000FF"/>
          </w:rPr>
          <w:t>Form of Waiver to Participation Side Letter (incorporated herein by reference to Exhibit 10.11 to the Company’s Registration Statement on</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Form F-1/A (File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243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624332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4377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4377690" cy="8255"/>
                    </a:xfrm>
                    <a:prstGeom prst="rect">
                      <a:avLst/>
                    </a:prstGeom>
                    <a:noFill/>
                  </pic:spPr>
                </pic:pic>
              </a:graphicData>
            </a:graphic>
          </wp:anchor>
        </w:drawing>
      </w:r>
    </w:p>
    <w:p>
      <w:pPr>
        <w:spacing w:after="0" w:line="163" w:lineRule="exact"/>
        <w:rPr>
          <w:sz w:val="20"/>
          <w:szCs w:val="20"/>
          <w:color w:val="auto"/>
        </w:rPr>
      </w:pPr>
    </w:p>
    <w:p>
      <w:pPr>
        <w:ind w:left="1060" w:right="60" w:hanging="745"/>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4.12</w:t>
      </w:r>
      <w:r>
        <w:rPr>
          <w:sz w:val="20"/>
          <w:szCs w:val="20"/>
          <w:color w:val="auto"/>
        </w:rPr>
        <w:tab/>
      </w:r>
      <w:hyperlink r:id="rId334">
        <w:r>
          <w:rPr>
            <w:rFonts w:ascii="Arial" w:cs="Arial" w:eastAsia="Arial" w:hAnsi="Arial"/>
            <w:sz w:val="16"/>
            <w:szCs w:val="16"/>
            <w:u w:val="single" w:color="auto"/>
            <w:color w:val="0000FF"/>
          </w:rPr>
          <w:t>Form of Subscription Agreement (incorporated herein by reference to Exhibit 99.1 to the Company’s Current Report on Form 6-K filed with the</w:t>
        </w:r>
      </w:hyperlink>
      <w:r>
        <w:rPr>
          <w:rFonts w:ascii="Arial" w:cs="Arial" w:eastAsia="Arial" w:hAnsi="Arial"/>
          <w:sz w:val="16"/>
          <w:szCs w:val="16"/>
          <w:u w:val="single" w:color="auto"/>
          <w:color w:val="0000FF"/>
        </w:rPr>
        <w:t xml:space="preserve"> </w:t>
      </w:r>
      <w:hyperlink r:id="rId334">
        <w:r>
          <w:rPr>
            <w:rFonts w:ascii="Arial" w:cs="Arial" w:eastAsia="Arial" w:hAnsi="Arial"/>
            <w:sz w:val="16"/>
            <w:szCs w:val="16"/>
            <w:u w:val="single" w:color="auto"/>
            <w:color w:val="0000FF"/>
          </w:rPr>
          <w:t>SEC on June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4306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643064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10902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63" w:lineRule="exact"/>
        <w:rPr>
          <w:sz w:val="20"/>
          <w:szCs w:val="20"/>
          <w:color w:val="auto"/>
        </w:rPr>
      </w:pPr>
    </w:p>
    <w:p>
      <w:pPr>
        <w:ind w:left="1060" w:hanging="745"/>
        <w:spacing w:after="0" w:line="26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4.13</w:t>
      </w:r>
      <w:r>
        <w:rPr>
          <w:sz w:val="20"/>
          <w:szCs w:val="20"/>
          <w:color w:val="auto"/>
        </w:rPr>
        <w:tab/>
      </w:r>
      <w:hyperlink r:id="rId337">
        <w:r>
          <w:rPr>
            <w:rFonts w:ascii="Arial" w:cs="Arial" w:eastAsia="Arial" w:hAnsi="Arial"/>
            <w:sz w:val="16"/>
            <w:szCs w:val="16"/>
            <w:u w:val="single" w:color="auto"/>
            <w:color w:val="0000FF"/>
          </w:rPr>
          <w:t>Underwriting Agreement, dated December 6, 2023, among Pharvaris N.V. and Morgan Stanley &amp; Co. LLC and Leerink Partners, LLC as</w:t>
        </w:r>
      </w:hyperlink>
      <w:r>
        <w:rPr>
          <w:rFonts w:ascii="Arial" w:cs="Arial" w:eastAsia="Arial" w:hAnsi="Arial"/>
          <w:sz w:val="16"/>
          <w:szCs w:val="16"/>
          <w:u w:val="single" w:color="auto"/>
          <w:color w:val="0000FF"/>
        </w:rPr>
        <w:t xml:space="preserve"> </w:t>
      </w:r>
      <w:hyperlink r:id="rId337">
        <w:r>
          <w:rPr>
            <w:rFonts w:ascii="Arial" w:cs="Arial" w:eastAsia="Arial" w:hAnsi="Arial"/>
            <w:sz w:val="16"/>
            <w:szCs w:val="16"/>
            <w:u w:val="single" w:color="auto"/>
            <w:color w:val="0000FF"/>
          </w:rPr>
          <w:t>underwriters (incorporated herein by reference to Exhibit 1.1 to the Company’s Current Report on Form 6-K filed with the SEC on December 8,</w:t>
        </w:r>
      </w:hyperlink>
      <w:r>
        <w:rPr>
          <w:rFonts w:ascii="Arial" w:cs="Arial" w:eastAsia="Arial" w:hAnsi="Arial"/>
          <w:sz w:val="16"/>
          <w:szCs w:val="16"/>
          <w:u w:val="single" w:color="auto"/>
          <w:color w:val="0000FF"/>
        </w:rPr>
        <w:t xml:space="preserve"> </w:t>
      </w:r>
      <w:hyperlink r:id="rId337">
        <w:r>
          <w:rPr>
            <w:rFonts w:ascii="Arial" w:cs="Arial" w:eastAsia="Arial" w:hAnsi="Arial"/>
            <w:sz w:val="16"/>
            <w:szCs w:val="16"/>
            <w:u w:val="single" w:color="auto"/>
            <w:color w:val="0000FF"/>
          </w:rPr>
          <w:t>2023).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676910</wp:posOffset>
            </wp:positionH>
            <wp:positionV relativeFrom="paragraph">
              <wp:posOffset>-273685</wp:posOffset>
            </wp:positionV>
            <wp:extent cx="6156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615632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-154305</wp:posOffset>
            </wp:positionV>
            <wp:extent cx="64522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-35560</wp:posOffset>
            </wp:positionV>
            <wp:extent cx="3181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177" w:lineRule="exact"/>
        <w:rPr>
          <w:rFonts w:ascii="Arial" w:cs="Arial" w:eastAsia="Arial" w:hAnsi="Arial"/>
          <w:sz w:val="16"/>
          <w:szCs w:val="16"/>
          <w:u w:val="single" w:color="auto"/>
          <w:color w:val="0000FF"/>
        </w:rPr>
      </w:pPr>
    </w:p>
    <w:p>
      <w:pPr>
        <w:ind w:left="1060" w:right="60" w:hanging="745"/>
        <w:spacing w:after="0" w:line="283"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4.14</w:t>
      </w:r>
      <w:r>
        <w:rPr>
          <w:sz w:val="20"/>
          <w:szCs w:val="20"/>
          <w:color w:val="auto"/>
        </w:rPr>
        <w:tab/>
      </w:r>
      <w:hyperlink r:id="rId341">
        <w:r>
          <w:rPr>
            <w:rFonts w:ascii="Arial" w:cs="Arial" w:eastAsia="Arial" w:hAnsi="Arial"/>
            <w:sz w:val="16"/>
            <w:szCs w:val="16"/>
            <w:u w:val="single" w:color="auto"/>
            <w:color w:val="0000FF"/>
          </w:rPr>
          <w:t>Registration Rights Agreement, dated February 5, 2024 (incorporated herein by reference to Exhibit 99.1 to the Company’s Current Report on</w:t>
        </w:r>
      </w:hyperlink>
      <w:r>
        <w:rPr>
          <w:rFonts w:ascii="Arial" w:cs="Arial" w:eastAsia="Arial" w:hAnsi="Arial"/>
          <w:sz w:val="16"/>
          <w:szCs w:val="16"/>
          <w:u w:val="single" w:color="auto"/>
          <w:color w:val="0000FF"/>
        </w:rPr>
        <w:t xml:space="preserve"> </w:t>
      </w:r>
      <w:hyperlink r:id="rId341">
        <w:r>
          <w:rPr>
            <w:rFonts w:ascii="Arial" w:cs="Arial" w:eastAsia="Arial" w:hAnsi="Arial"/>
            <w:sz w:val="16"/>
            <w:szCs w:val="16"/>
            <w:u w:val="single" w:color="auto"/>
            <w:color w:val="0000FF"/>
          </w:rPr>
          <w:t>Form 6-K filed with the SEC on February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-163830</wp:posOffset>
            </wp:positionV>
            <wp:extent cx="64198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-44450</wp:posOffset>
            </wp:positionV>
            <wp:extent cx="22707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2270760" cy="8255"/>
                    </a:xfrm>
                    <a:prstGeom prst="rect">
                      <a:avLst/>
                    </a:prstGeom>
                    <a:noFill/>
                  </pic:spPr>
                </pic:pic>
              </a:graphicData>
            </a:graphic>
          </wp:anchor>
        </w:drawing>
      </w:r>
    </w:p>
    <w:p>
      <w:pPr>
        <w:spacing w:after="0" w:line="9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u w:val="single" w:color="auto"/>
          <w:color w:val="0000FF"/>
        </w:rPr>
        <w:t>List of Subsidiaries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-5080</wp:posOffset>
            </wp:positionV>
            <wp:extent cx="8572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1589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12.1*</w:t>
            </w:r>
          </w:p>
        </w:tc>
        <w:tc>
          <w:tcPr>
            <w:tcW w:w="10100" w:type="dxa"/>
            <w:vAlign w:val="bottom"/>
            <w:gridSpan w:val="5"/>
          </w:tcPr>
          <w:p>
            <w:pPr>
              <w:spacing w:after="0"/>
              <w:rPr>
                <w:sz w:val="20"/>
                <w:szCs w:val="20"/>
                <w:color w:val="auto"/>
              </w:rPr>
            </w:pPr>
            <w:r>
              <w:rPr>
                <w:rFonts w:ascii="Arial" w:cs="Arial" w:eastAsia="Arial" w:hAnsi="Arial"/>
                <w:sz w:val="16"/>
                <w:szCs w:val="16"/>
                <w:color w:val="0000FF"/>
              </w:rPr>
              <w:t>Certification pursuant to section 302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42"/>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12.2*</w:t>
            </w:r>
          </w:p>
        </w:tc>
        <w:tc>
          <w:tcPr>
            <w:tcW w:w="10100" w:type="dxa"/>
            <w:vAlign w:val="bottom"/>
            <w:gridSpan w:val="5"/>
          </w:tcPr>
          <w:p>
            <w:pPr>
              <w:spacing w:after="0"/>
              <w:rPr>
                <w:sz w:val="20"/>
                <w:szCs w:val="20"/>
                <w:color w:val="auto"/>
              </w:rPr>
            </w:pPr>
            <w:r>
              <w:rPr>
                <w:rFonts w:ascii="Arial" w:cs="Arial" w:eastAsia="Arial" w:hAnsi="Arial"/>
                <w:sz w:val="16"/>
                <w:szCs w:val="16"/>
                <w:color w:val="0000FF"/>
              </w:rPr>
              <w:t>Certification pursuant to section 302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42"/>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13.1*</w:t>
            </w:r>
          </w:p>
        </w:tc>
        <w:tc>
          <w:tcPr>
            <w:tcW w:w="10100" w:type="dxa"/>
            <w:vAlign w:val="bottom"/>
            <w:gridSpan w:val="5"/>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42"/>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13.2*</w:t>
            </w:r>
          </w:p>
        </w:tc>
        <w:tc>
          <w:tcPr>
            <w:tcW w:w="10100" w:type="dxa"/>
            <w:vAlign w:val="bottom"/>
            <w:gridSpan w:val="5"/>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42"/>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15.1*</w:t>
            </w:r>
          </w:p>
        </w:tc>
        <w:tc>
          <w:tcPr>
            <w:tcW w:w="10100" w:type="dxa"/>
            <w:vAlign w:val="bottom"/>
            <w:gridSpan w:val="5"/>
          </w:tcPr>
          <w:p>
            <w:pPr>
              <w:spacing w:after="0"/>
              <w:rPr>
                <w:sz w:val="20"/>
                <w:szCs w:val="20"/>
                <w:color w:val="auto"/>
              </w:rPr>
            </w:pPr>
            <w:r>
              <w:rPr>
                <w:rFonts w:ascii="Arial" w:cs="Arial" w:eastAsia="Arial" w:hAnsi="Arial"/>
                <w:sz w:val="16"/>
                <w:szCs w:val="16"/>
                <w:color w:val="0000FF"/>
              </w:rPr>
              <w:t>Consent of PricewaterhouseCoopers Accountants N.V.</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r>
      <w:tr>
        <w:trPr>
          <w:trHeight w:val="342"/>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97.1*</w:t>
            </w:r>
          </w:p>
        </w:tc>
        <w:tc>
          <w:tcPr>
            <w:tcW w:w="10100" w:type="dxa"/>
            <w:vAlign w:val="bottom"/>
            <w:gridSpan w:val="5"/>
          </w:tcPr>
          <w:p>
            <w:pPr>
              <w:spacing w:after="0"/>
              <w:rPr>
                <w:sz w:val="20"/>
                <w:szCs w:val="20"/>
                <w:color w:val="auto"/>
              </w:rPr>
            </w:pPr>
            <w:r>
              <w:rPr>
                <w:rFonts w:ascii="Arial" w:cs="Arial" w:eastAsia="Arial" w:hAnsi="Arial"/>
                <w:sz w:val="16"/>
                <w:szCs w:val="16"/>
                <w:color w:val="0000FF"/>
              </w:rPr>
              <w:t>Pharvaris Clawback Policy, adopted on June 7, 2023.</w:t>
            </w: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r>
      <w:tr>
        <w:trPr>
          <w:trHeight w:val="355"/>
        </w:trPr>
        <w:tc>
          <w:tcPr>
            <w:tcW w:w="920" w:type="dxa"/>
            <w:vAlign w:val="bottom"/>
          </w:tcPr>
          <w:p>
            <w:pPr>
              <w:jc w:val="center"/>
              <w:ind w:right="220"/>
              <w:spacing w:after="0"/>
              <w:rPr>
                <w:sz w:val="20"/>
                <w:szCs w:val="20"/>
                <w:color w:val="auto"/>
              </w:rPr>
            </w:pPr>
            <w:r>
              <w:rPr>
                <w:rFonts w:ascii="Arial" w:cs="Arial" w:eastAsia="Arial" w:hAnsi="Arial"/>
                <w:sz w:val="16"/>
                <w:szCs w:val="16"/>
                <w:color w:val="auto"/>
              </w:rPr>
              <w:t>101.INS</w:t>
            </w:r>
          </w:p>
        </w:tc>
        <w:tc>
          <w:tcPr>
            <w:tcW w:w="10100" w:type="dxa"/>
            <w:vAlign w:val="bottom"/>
            <w:gridSpan w:val="5"/>
          </w:tcPr>
          <w:p>
            <w:pPr>
              <w:spacing w:after="0"/>
              <w:rPr>
                <w:sz w:val="20"/>
                <w:szCs w:val="20"/>
                <w:color w:val="auto"/>
              </w:rPr>
            </w:pPr>
            <w:r>
              <w:rPr>
                <w:rFonts w:ascii="Arial" w:cs="Arial" w:eastAsia="Arial" w:hAnsi="Arial"/>
                <w:sz w:val="16"/>
                <w:szCs w:val="16"/>
                <w:color w:val="auto"/>
              </w:rPr>
              <w:t>Inline XBRL Instance Document-the instance document does not appear in the Interactive Data File as its XBRL tags are embedded within the</w:t>
            </w:r>
          </w:p>
        </w:tc>
      </w:tr>
      <w:tr>
        <w:trPr>
          <w:trHeight w:val="214"/>
        </w:trPr>
        <w:tc>
          <w:tcPr>
            <w:tcW w:w="9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6"/>
                <w:szCs w:val="16"/>
                <w:color w:val="auto"/>
              </w:rPr>
              <w:t>Inline XBRL document.</w:t>
            </w:r>
          </w:p>
        </w:tc>
      </w:tr>
      <w:tr>
        <w:trPr>
          <w:trHeight w:val="362"/>
        </w:trPr>
        <w:tc>
          <w:tcPr>
            <w:tcW w:w="920" w:type="dxa"/>
            <w:vAlign w:val="bottom"/>
          </w:tcPr>
          <w:p>
            <w:pPr>
              <w:jc w:val="center"/>
              <w:ind w:right="200"/>
              <w:spacing w:after="0"/>
              <w:rPr>
                <w:sz w:val="20"/>
                <w:szCs w:val="20"/>
                <w:color w:val="auto"/>
              </w:rPr>
            </w:pPr>
            <w:r>
              <w:rPr>
                <w:rFonts w:ascii="Arial" w:cs="Arial" w:eastAsia="Arial" w:hAnsi="Arial"/>
                <w:sz w:val="16"/>
                <w:szCs w:val="16"/>
                <w:color w:val="auto"/>
                <w:w w:val="98"/>
              </w:rPr>
              <w:t>101.SCH</w:t>
            </w:r>
          </w:p>
        </w:tc>
        <w:tc>
          <w:tcPr>
            <w:tcW w:w="1010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r>
    </w:tbl>
    <w:p>
      <w:pPr>
        <w:spacing w:after="0" w:line="148" w:lineRule="exact"/>
        <w:rPr>
          <w:sz w:val="20"/>
          <w:szCs w:val="20"/>
          <w:color w:val="auto"/>
        </w:rPr>
      </w:pPr>
    </w:p>
    <w:p>
      <w:pPr>
        <w:ind w:right="5340" w:firstLine="342"/>
        <w:spacing w:after="0" w:line="386" w:lineRule="auto"/>
        <w:tabs>
          <w:tab w:leader="none" w:pos="105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15830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1583055" cy="8255"/>
                    </a:xfrm>
                    <a:prstGeom prst="rect">
                      <a:avLst/>
                    </a:prstGeom>
                    <a:noFill/>
                  </pic:spPr>
                </pic:pic>
              </a:graphicData>
            </a:graphic>
          </wp:anchor>
        </w:drawing>
      </w:r>
    </w:p>
    <w:p>
      <w:pPr>
        <w:ind w:right="320" w:firstLine="7"/>
        <w:spacing w:after="0" w:line="262" w:lineRule="auto"/>
        <w:tabs>
          <w:tab w:leader="none" w:pos="13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Certain information has been excluded from the exhibit because it both (i) is not material and (ii) would likely cause competitive harm to the Company if publicly disclosed.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SIGNATURES</w:t>
      </w:r>
    </w:p>
    <w:p>
      <w:pPr>
        <w:spacing w:after="0" w:line="218" w:lineRule="exact"/>
        <w:rPr>
          <w:sz w:val="20"/>
          <w:szCs w:val="20"/>
          <w:color w:val="auto"/>
        </w:rPr>
      </w:pPr>
    </w:p>
    <w:p>
      <w:pPr>
        <w:ind w:right="120" w:firstLine="458"/>
        <w:spacing w:after="0" w:line="283"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Form 20-F on its behalf.</w:t>
      </w:r>
    </w:p>
    <w:p>
      <w:pPr>
        <w:spacing w:after="0" w:line="15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Pharvaris N.V.</w:t>
      </w:r>
    </w:p>
    <w:p>
      <w:pPr>
        <w:spacing w:after="0" w:line="218"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By: /s/ Berndt Modig</w:t>
      </w:r>
    </w:p>
    <w:p>
      <w:pPr>
        <w:spacing w:after="0" w:line="212" w:lineRule="exact"/>
        <w:rPr>
          <w:sz w:val="20"/>
          <w:szCs w:val="20"/>
          <w:color w:val="auto"/>
        </w:rPr>
      </w:pPr>
    </w:p>
    <w:tbl>
      <w:tblPr>
        <w:tblLayout w:type="fixed"/>
        <w:tblInd w:w="7400" w:type="dxa"/>
        <w:tblCellMar>
          <w:top w:w="0" w:type="dxa"/>
          <w:left w:w="0" w:type="dxa"/>
          <w:bottom w:w="0" w:type="dxa"/>
          <w:right w:w="0" w:type="dxa"/>
        </w:tblCellMar>
      </w:tblPr>
      <w:tr>
        <w:trPr>
          <w:trHeight w:val="227"/>
        </w:trPr>
        <w:tc>
          <w:tcPr>
            <w:tcW w:w="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Berndt Modig</w:t>
            </w:r>
          </w:p>
        </w:tc>
      </w:tr>
      <w:tr>
        <w:trPr>
          <w:trHeight w:val="214"/>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3360" w:type="dxa"/>
            <w:vAlign w:val="bottom"/>
          </w:tcPr>
          <w:p>
            <w:pPr>
              <w:ind w:left="120"/>
              <w:spacing w:after="0"/>
              <w:rPr>
                <w:sz w:val="20"/>
                <w:szCs w:val="20"/>
                <w:color w:val="auto"/>
              </w:rPr>
            </w:pPr>
            <w:r>
              <w:rPr>
                <w:rFonts w:ascii="Arial" w:cs="Arial" w:eastAsia="Arial" w:hAnsi="Arial"/>
                <w:sz w:val="16"/>
                <w:szCs w:val="16"/>
                <w:color w:val="auto"/>
              </w:rPr>
              <w:t>Chief Executive Officer</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Date: April 10, 2024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540" w:type="dxa"/>
            <w:vAlign w:val="bottom"/>
            <w:gridSpan w:val="6"/>
          </w:tcPr>
          <w:p>
            <w:pPr>
              <w:ind w:left="160"/>
              <w:spacing w:after="0"/>
              <w:rPr>
                <w:sz w:val="20"/>
                <w:szCs w:val="20"/>
                <w:color w:val="auto"/>
              </w:rPr>
            </w:pPr>
            <w:r>
              <w:rPr>
                <w:rFonts w:ascii="Arial" w:cs="Arial" w:eastAsia="Arial" w:hAnsi="Arial"/>
                <w:sz w:val="16"/>
                <w:szCs w:val="16"/>
                <w:b w:val="1"/>
                <w:bCs w:val="1"/>
                <w:color w:val="auto"/>
              </w:rPr>
              <w:t>INDEX TO CONSOLIDATED FINANCIAL STATEMENTS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96"/>
        </w:trPr>
        <w:tc>
          <w:tcPr>
            <w:tcW w:w="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Audited Annual Consolidated Financial Statements</w:t>
            </w:r>
          </w:p>
        </w:tc>
        <w:tc>
          <w:tcPr>
            <w:tcW w:w="200" w:type="dxa"/>
            <w:vAlign w:val="bottom"/>
          </w:tcPr>
          <w:p>
            <w:pPr>
              <w:spacing w:after="0"/>
              <w:rPr>
                <w:sz w:val="24"/>
                <w:szCs w:val="24"/>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Page</w:t>
            </w:r>
          </w:p>
        </w:tc>
      </w:tr>
      <w:tr>
        <w:trPr>
          <w:trHeight w:val="154"/>
        </w:trPr>
        <w:tc>
          <w:tcPr>
            <w:tcW w:w="20" w:type="dxa"/>
            <w:vAlign w:val="bottom"/>
          </w:tcPr>
          <w:p>
            <w:pPr>
              <w:spacing w:after="0"/>
              <w:rPr>
                <w:sz w:val="13"/>
                <w:szCs w:val="13"/>
                <w:color w:val="auto"/>
              </w:rPr>
            </w:pPr>
          </w:p>
        </w:tc>
        <w:tc>
          <w:tcPr>
            <w:tcW w:w="9940" w:type="dxa"/>
            <w:vAlign w:val="bottom"/>
            <w:gridSpan w:val="7"/>
          </w:tcPr>
          <w:p>
            <w:pPr>
              <w:spacing w:after="0" w:line="155" w:lineRule="exact"/>
              <w:rPr>
                <w:sz w:val="20"/>
                <w:szCs w:val="20"/>
                <w:color w:val="auto"/>
              </w:rPr>
            </w:pPr>
            <w:r>
              <w:rPr>
                <w:rFonts w:ascii="Arial" w:cs="Arial" w:eastAsia="Arial" w:hAnsi="Arial"/>
                <w:sz w:val="16"/>
                <w:szCs w:val="16"/>
                <w:color w:val="0000FF"/>
              </w:rPr>
              <w:t>Report of Independent Registered Public Accounting Firm (PCAOB ID: 1395)</w:t>
            </w:r>
          </w:p>
        </w:tc>
        <w:tc>
          <w:tcPr>
            <w:tcW w:w="200" w:type="dxa"/>
            <w:vAlign w:val="bottom"/>
          </w:tcPr>
          <w:p>
            <w:pPr>
              <w:spacing w:after="0"/>
              <w:rPr>
                <w:sz w:val="13"/>
                <w:szCs w:val="13"/>
                <w:color w:val="auto"/>
              </w:rPr>
            </w:pPr>
          </w:p>
        </w:tc>
        <w:tc>
          <w:tcPr>
            <w:tcW w:w="1080" w:type="dxa"/>
            <w:vAlign w:val="bottom"/>
          </w:tcPr>
          <w:p>
            <w:pPr>
              <w:ind w:left="780"/>
              <w:spacing w:after="0" w:line="155" w:lineRule="exact"/>
              <w:rPr>
                <w:sz w:val="20"/>
                <w:szCs w:val="20"/>
                <w:color w:val="auto"/>
              </w:rPr>
            </w:pPr>
            <w:r>
              <w:rPr>
                <w:rFonts w:ascii="Arial" w:cs="Arial" w:eastAsia="Arial" w:hAnsi="Arial"/>
                <w:sz w:val="16"/>
                <w:szCs w:val="16"/>
                <w:color w:val="auto"/>
                <w:w w:val="98"/>
              </w:rPr>
              <w:t>F- 2</w:t>
            </w: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1"/>
        </w:trPr>
        <w:tc>
          <w:tcPr>
            <w:tcW w:w="20" w:type="dxa"/>
            <w:vAlign w:val="bottom"/>
            <w:tcBorders>
              <w:bottom w:val="single" w:sz="8" w:color="0000EE"/>
            </w:tcBorders>
          </w:tcPr>
          <w:p>
            <w:pPr>
              <w:spacing w:after="0"/>
              <w:rPr>
                <w:sz w:val="15"/>
                <w:szCs w:val="15"/>
                <w:color w:val="auto"/>
              </w:rPr>
            </w:pPr>
          </w:p>
        </w:tc>
        <w:tc>
          <w:tcPr>
            <w:tcW w:w="8240" w:type="dxa"/>
            <w:vAlign w:val="bottom"/>
            <w:tcBorders>
              <w:bottom w:val="single" w:sz="8" w:color="0000FF"/>
            </w:tcBorders>
            <w:gridSpan w:val="5"/>
          </w:tcPr>
          <w:p>
            <w:pPr>
              <w:spacing w:after="0" w:line="181" w:lineRule="exact"/>
              <w:rPr>
                <w:sz w:val="20"/>
                <w:szCs w:val="20"/>
                <w:color w:val="auto"/>
              </w:rPr>
            </w:pPr>
            <w:r>
              <w:rPr>
                <w:rFonts w:ascii="Arial" w:cs="Arial" w:eastAsia="Arial" w:hAnsi="Arial"/>
                <w:sz w:val="16"/>
                <w:szCs w:val="16"/>
                <w:color w:val="0000FF"/>
              </w:rPr>
              <w:t>Consolidated Statement of Loss and Comprehensive Loss for the Years Ended December 31, 2023, 2022 and 2021</w:t>
            </w:r>
          </w:p>
        </w:tc>
        <w:tc>
          <w:tcPr>
            <w:tcW w:w="17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F- 3</w:t>
            </w:r>
          </w:p>
        </w:tc>
      </w:tr>
      <w:tr>
        <w:trPr>
          <w:trHeight w:val="181"/>
        </w:trPr>
        <w:tc>
          <w:tcPr>
            <w:tcW w:w="20" w:type="dxa"/>
            <w:vAlign w:val="bottom"/>
          </w:tcPr>
          <w:p>
            <w:pPr>
              <w:spacing w:after="0"/>
              <w:rPr>
                <w:sz w:val="15"/>
                <w:szCs w:val="15"/>
                <w:color w:val="auto"/>
              </w:rPr>
            </w:pPr>
          </w:p>
        </w:tc>
        <w:tc>
          <w:tcPr>
            <w:tcW w:w="9940" w:type="dxa"/>
            <w:vAlign w:val="bottom"/>
            <w:gridSpan w:val="7"/>
          </w:tcPr>
          <w:p>
            <w:pPr>
              <w:spacing w:after="0" w:line="181" w:lineRule="exact"/>
              <w:rPr>
                <w:sz w:val="20"/>
                <w:szCs w:val="20"/>
                <w:color w:val="auto"/>
              </w:rPr>
            </w:pPr>
            <w:r>
              <w:rPr>
                <w:rFonts w:ascii="Arial" w:cs="Arial" w:eastAsia="Arial" w:hAnsi="Arial"/>
                <w:sz w:val="16"/>
                <w:szCs w:val="16"/>
                <w:color w:val="0000FF"/>
              </w:rPr>
              <w:t>Consolidated Statement of Financial Position as of December 31, 2023 and 2022</w:t>
            </w: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F- 4</w:t>
            </w:r>
          </w:p>
        </w:tc>
      </w:tr>
      <w:tr>
        <w:trPr>
          <w:trHeight w:val="20"/>
        </w:trPr>
        <w:tc>
          <w:tcPr>
            <w:tcW w:w="20" w:type="dxa"/>
            <w:vAlign w:val="bottom"/>
            <w:shd w:val="clear" w:color="auto" w:fill="0000EE"/>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940" w:type="dxa"/>
            <w:vAlign w:val="bottom"/>
            <w:gridSpan w:val="7"/>
          </w:tcPr>
          <w:p>
            <w:pPr>
              <w:spacing w:after="0" w:line="181" w:lineRule="exact"/>
              <w:rPr>
                <w:sz w:val="20"/>
                <w:szCs w:val="20"/>
                <w:color w:val="auto"/>
              </w:rPr>
            </w:pPr>
            <w:r>
              <w:rPr>
                <w:rFonts w:ascii="Arial" w:cs="Arial" w:eastAsia="Arial" w:hAnsi="Arial"/>
                <w:sz w:val="16"/>
                <w:szCs w:val="16"/>
                <w:color w:val="0000FF"/>
              </w:rPr>
              <w:t>Consolidated Statement of Changes in Shareholders’ Equity for the Years Ended December 31, 2023, 2022 and 2021</w:t>
            </w: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F- 5</w:t>
            </w:r>
          </w:p>
        </w:tc>
      </w:tr>
      <w:tr>
        <w:trPr>
          <w:trHeight w:val="181"/>
        </w:trPr>
        <w:tc>
          <w:tcPr>
            <w:tcW w:w="20" w:type="dxa"/>
            <w:vAlign w:val="bottom"/>
            <w:tcBorders>
              <w:top w:val="single" w:sz="8" w:color="0000EE"/>
            </w:tcBorders>
          </w:tcPr>
          <w:p>
            <w:pPr>
              <w:spacing w:after="0"/>
              <w:rPr>
                <w:sz w:val="15"/>
                <w:szCs w:val="15"/>
                <w:color w:val="auto"/>
              </w:rPr>
            </w:pPr>
          </w:p>
        </w:tc>
        <w:tc>
          <w:tcPr>
            <w:tcW w:w="8400" w:type="dxa"/>
            <w:vAlign w:val="bottom"/>
            <w:tcBorders>
              <w:top w:val="single" w:sz="8" w:color="0000FF"/>
            </w:tcBorders>
            <w:gridSpan w:val="6"/>
          </w:tcPr>
          <w:p>
            <w:pPr>
              <w:spacing w:after="0" w:line="181" w:lineRule="exact"/>
              <w:rPr>
                <w:sz w:val="20"/>
                <w:szCs w:val="20"/>
                <w:color w:val="auto"/>
              </w:rPr>
            </w:pPr>
            <w:r>
              <w:rPr>
                <w:rFonts w:ascii="Arial" w:cs="Arial" w:eastAsia="Arial" w:hAnsi="Arial"/>
                <w:sz w:val="16"/>
                <w:szCs w:val="16"/>
                <w:color w:val="0000FF"/>
              </w:rPr>
              <w:t>Consolidated Statement of Cash Flows for the Years ended December 31, 2023, 2022 and 2021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F- 6</w:t>
            </w:r>
          </w:p>
        </w:tc>
      </w:tr>
      <w:tr>
        <w:trPr>
          <w:trHeight w:val="181"/>
        </w:trPr>
        <w:tc>
          <w:tcPr>
            <w:tcW w:w="20" w:type="dxa"/>
            <w:vAlign w:val="bottom"/>
            <w:tcBorders>
              <w:top w:val="single" w:sz="8" w:color="0000EE"/>
              <w:bottom w:val="single" w:sz="8" w:color="0000EE"/>
            </w:tcBorders>
          </w:tcPr>
          <w:p>
            <w:pPr>
              <w:spacing w:after="0"/>
              <w:rPr>
                <w:sz w:val="15"/>
                <w:szCs w:val="15"/>
                <w:color w:val="auto"/>
              </w:rPr>
            </w:pPr>
          </w:p>
        </w:tc>
        <w:tc>
          <w:tcPr>
            <w:tcW w:w="3400" w:type="dxa"/>
            <w:vAlign w:val="bottom"/>
            <w:tcBorders>
              <w:top w:val="single" w:sz="8" w:color="0000FF"/>
              <w:bottom w:val="single" w:sz="8" w:color="0000FF"/>
            </w:tcBorders>
          </w:tcPr>
          <w:p>
            <w:pPr>
              <w:spacing w:after="0" w:line="181" w:lineRule="exact"/>
              <w:rPr>
                <w:sz w:val="20"/>
                <w:szCs w:val="20"/>
                <w:color w:val="auto"/>
              </w:rPr>
            </w:pPr>
            <w:r>
              <w:rPr>
                <w:rFonts w:ascii="Arial" w:cs="Arial" w:eastAsia="Arial" w:hAnsi="Arial"/>
                <w:sz w:val="16"/>
                <w:szCs w:val="16"/>
                <w:color w:val="0000FF"/>
              </w:rPr>
              <w:t>Notes to the Consolidated Financial Statements</w:t>
            </w:r>
          </w:p>
        </w:tc>
        <w:tc>
          <w:tcPr>
            <w:tcW w:w="3440" w:type="dxa"/>
            <w:vAlign w:val="bottom"/>
            <w:tcBorders>
              <w:top w:val="single" w:sz="8" w:color="0000FF"/>
            </w:tcBorders>
            <w:gridSpan w:val="3"/>
          </w:tcPr>
          <w:p>
            <w:pPr>
              <w:spacing w:after="0"/>
              <w:rPr>
                <w:sz w:val="15"/>
                <w:szCs w:val="15"/>
                <w:color w:val="auto"/>
              </w:rPr>
            </w:pPr>
          </w:p>
        </w:tc>
        <w:tc>
          <w:tcPr>
            <w:tcW w:w="31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780"/>
              <w:spacing w:after="0" w:line="181" w:lineRule="exact"/>
              <w:rPr>
                <w:sz w:val="20"/>
                <w:szCs w:val="20"/>
                <w:color w:val="auto"/>
              </w:rPr>
            </w:pPr>
            <w:r>
              <w:rPr>
                <w:rFonts w:ascii="Arial" w:cs="Arial" w:eastAsia="Arial" w:hAnsi="Arial"/>
                <w:sz w:val="16"/>
                <w:szCs w:val="16"/>
                <w:color w:val="auto"/>
                <w:w w:val="98"/>
              </w:rPr>
              <w:t>F- 7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Pharvaris N.V.</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audited the accompanying consolidated statement of financial position of Pharvaris N.V. and its subsidiaries (the ‘Company’) as of December 31, 2023 and 2022, and the related consolidated statements of loss and comprehensive loss, of changes in shareholders’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IFRS Accounting Standards as issued by the International Accounting Standards Board.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16"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jc w:val="both"/>
        <w:ind w:right="220"/>
        <w:spacing w:after="0" w:line="254"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Accountants N.V.</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Amsterdam, The Netherlands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April 10, 2024</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Loss and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Years ended December 31,</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3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4"/>
        </w:trPr>
        <w:tc>
          <w:tcPr>
            <w:tcW w:w="5400" w:type="dxa"/>
            <w:vAlign w:val="bottom"/>
          </w:tcPr>
          <w:p>
            <w:pPr>
              <w:spacing w:after="0"/>
              <w:rPr>
                <w:sz w:val="13"/>
                <w:szCs w:val="13"/>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Note</w:t>
            </w: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(65,575,030 )</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(57,375,574 )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(35,789,166 )</w:t>
            </w:r>
          </w:p>
        </w:tc>
      </w:tr>
      <w:tr>
        <w:trPr>
          <w:trHeight w:val="214"/>
        </w:trPr>
        <w:tc>
          <w:tcPr>
            <w:tcW w:w="54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(31,338,590 )</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(29,339,034 )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(18,349,460 )</w:t>
            </w:r>
          </w:p>
        </w:tc>
      </w:tr>
      <w:tr>
        <w:trPr>
          <w:trHeight w:val="20"/>
        </w:trPr>
        <w:tc>
          <w:tcPr>
            <w:tcW w:w="5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(96,913,620 )</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(86,714,608 )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(54,138,626 )</w:t>
            </w:r>
          </w:p>
        </w:tc>
      </w:tr>
      <w:tr>
        <w:trPr>
          <w:trHeight w:val="20"/>
        </w:trPr>
        <w:tc>
          <w:tcPr>
            <w:tcW w:w="5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5400" w:type="dxa"/>
            <w:vAlign w:val="bottom"/>
          </w:tcPr>
          <w:p>
            <w:pPr>
              <w:ind w:left="20"/>
              <w:spacing w:after="0"/>
              <w:rPr>
                <w:sz w:val="20"/>
                <w:szCs w:val="20"/>
                <w:color w:val="auto"/>
              </w:rPr>
            </w:pPr>
            <w:r>
              <w:rPr>
                <w:rFonts w:ascii="Arial" w:cs="Arial" w:eastAsia="Arial" w:hAnsi="Arial"/>
                <w:sz w:val="16"/>
                <w:szCs w:val="16"/>
                <w:color w:val="auto"/>
              </w:rPr>
              <w:t>Finance (expenses) income</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(2,912,643 )</w:t>
            </w:r>
          </w:p>
        </w:tc>
        <w:tc>
          <w:tcPr>
            <w:tcW w:w="134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11,477,964</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(99,826,263 )</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(75,653,470 )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(42,660,662 )</w:t>
            </w:r>
          </w:p>
        </w:tc>
      </w:tr>
      <w:tr>
        <w:trPr>
          <w:trHeight w:val="20"/>
        </w:trPr>
        <w:tc>
          <w:tcPr>
            <w:tcW w:w="5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54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(1,048,805 )</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(679,087 )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(70,117 )</w:t>
            </w:r>
          </w:p>
        </w:tc>
      </w:tr>
      <w:tr>
        <w:trPr>
          <w:trHeight w:val="20"/>
        </w:trPr>
        <w:tc>
          <w:tcPr>
            <w:tcW w:w="5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(100,875,068 )</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(76,332,557 )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(42,730,779 )</w:t>
            </w:r>
          </w:p>
        </w:tc>
      </w:tr>
      <w:tr>
        <w:trPr>
          <w:trHeight w:val="208"/>
        </w:trPr>
        <w:tc>
          <w:tcPr>
            <w:tcW w:w="54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Other comprehensive (loss) / income</w:t>
            </w:r>
          </w:p>
        </w:tc>
        <w:tc>
          <w:tcPr>
            <w:tcW w:w="10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4"/>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Items that may be reclassified to profit or loss: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6"/>
                <w:szCs w:val="16"/>
                <w:color w:val="auto"/>
              </w:rPr>
              <w:t>Exchange gain (loss) arising on translation of foreign operations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(57,874 )</w:t>
            </w:r>
          </w:p>
        </w:tc>
        <w:tc>
          <w:tcPr>
            <w:tcW w:w="1340" w:type="dxa"/>
            <w:vAlign w:val="bottom"/>
          </w:tcPr>
          <w:p>
            <w:pPr>
              <w:jc w:val="right"/>
              <w:spacing w:after="0"/>
              <w:rPr>
                <w:sz w:val="20"/>
                <w:szCs w:val="20"/>
                <w:color w:val="auto"/>
              </w:rPr>
            </w:pPr>
            <w:r>
              <w:rPr>
                <w:rFonts w:ascii="Arial" w:cs="Arial" w:eastAsia="Arial" w:hAnsi="Arial"/>
                <w:sz w:val="16"/>
                <w:szCs w:val="16"/>
                <w:color w:val="auto"/>
              </w:rPr>
              <w:t>17,362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30,293</w:t>
            </w:r>
          </w:p>
        </w:tc>
        <w:tc>
          <w:tcPr>
            <w:tcW w:w="100" w:type="dxa"/>
            <w:vAlign w:val="bottom"/>
          </w:tcPr>
          <w:p>
            <w:pPr>
              <w:spacing w:after="0"/>
              <w:rPr>
                <w:sz w:val="18"/>
                <w:szCs w:val="18"/>
                <w:color w:val="auto"/>
              </w:rPr>
            </w:pPr>
          </w:p>
        </w:tc>
      </w:tr>
      <w:tr>
        <w:trPr>
          <w:trHeight w:val="208"/>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comprehensive loss attributable to:</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6"/>
                <w:szCs w:val="16"/>
                <w:color w:val="auto"/>
              </w:rPr>
              <w:t>Equity holders of the Company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(100,932,942 )</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(76,315,195 )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(42,700,486 )</w:t>
            </w:r>
          </w:p>
        </w:tc>
      </w:tr>
      <w:tr>
        <w:trPr>
          <w:trHeight w:val="20"/>
        </w:trPr>
        <w:tc>
          <w:tcPr>
            <w:tcW w:w="5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6"/>
                <w:szCs w:val="16"/>
                <w:color w:val="auto"/>
              </w:rPr>
            </w:pP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(2.63 )</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(2.27 )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-1437640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-1437640</wp:posOffset>
            </wp:positionV>
            <wp:extent cx="679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-1437640</wp:posOffset>
            </wp:positionV>
            <wp:extent cx="679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-1148715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-1148715</wp:posOffset>
            </wp:positionV>
            <wp:extent cx="679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-1148715</wp:posOffset>
            </wp:positionV>
            <wp:extent cx="679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-859155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-859155</wp:posOffset>
            </wp:positionV>
            <wp:extent cx="679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-859155</wp:posOffset>
            </wp:positionV>
            <wp:extent cx="679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As at</w:t>
            </w:r>
          </w:p>
        </w:tc>
        <w:tc>
          <w:tcPr>
            <w:tcW w:w="15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at</w:t>
            </w:r>
          </w:p>
        </w:tc>
      </w:tr>
      <w:tr>
        <w:trPr>
          <w:trHeight w:val="161"/>
        </w:trPr>
        <w:tc>
          <w:tcPr>
            <w:tcW w:w="6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5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6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4"/>
        </w:trPr>
        <w:tc>
          <w:tcPr>
            <w:tcW w:w="6960" w:type="dxa"/>
            <w:vAlign w:val="bottom"/>
          </w:tcPr>
          <w:p>
            <w:pPr>
              <w:spacing w:after="0"/>
              <w:rPr>
                <w:sz w:val="13"/>
                <w:szCs w:val="13"/>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Notes</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223,678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100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231,893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432,965</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387,529</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259,803</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receivable</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615,538</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100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423,486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assets</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5,580,704</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8"/>
                <w:szCs w:val="18"/>
                <w:color w:val="auto"/>
              </w:rPr>
            </w:pPr>
          </w:p>
        </w:tc>
      </w:tr>
      <w:tr>
        <w:trPr>
          <w:trHeight w:val="248"/>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398,694,465</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167,732,983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5"/>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6,274,833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4,057,976</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premium</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615,811,986</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289,177,197</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27,894,796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20,169,459</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(14,584 )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43,290</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Accumulated loss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(265,918,628 )</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(164,188,892 )</w:t>
            </w:r>
          </w:p>
        </w:tc>
      </w:tr>
      <w:tr>
        <w:trPr>
          <w:trHeight w:val="248"/>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equity</w:t>
            </w: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384,048,403</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149,259,030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5"/>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Long term liabilities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Non-current lease liability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43,564</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249,418</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11,067,510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Pr>
          <w:p>
            <w:pPr>
              <w:spacing w:after="0"/>
              <w:rPr>
                <w:sz w:val="18"/>
                <w:szCs w:val="18"/>
                <w:color w:val="auto"/>
              </w:rPr>
            </w:pPr>
          </w:p>
        </w:tc>
      </w:tr>
      <w:tr>
        <w:trPr>
          <w:trHeight w:val="215"/>
        </w:trPr>
        <w:tc>
          <w:tcPr>
            <w:tcW w:w="6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lease liability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195,341</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shd w:val="clear" w:color="auto" w:fill="CFF0FC"/>
          </w:tcPr>
          <w:p>
            <w:pPr>
              <w:spacing w:after="0"/>
              <w:rPr>
                <w:sz w:val="18"/>
                <w:szCs w:val="18"/>
                <w:color w:val="auto"/>
              </w:rPr>
            </w:pPr>
          </w:p>
        </w:tc>
      </w:tr>
      <w:tr>
        <w:trPr>
          <w:trHeight w:val="214"/>
        </w:trPr>
        <w:tc>
          <w:tcPr>
            <w:tcW w:w="6960" w:type="dxa"/>
            <w:vAlign w:val="bottom"/>
          </w:tcPr>
          <w:p>
            <w:pPr>
              <w:ind w:left="20"/>
              <w:spacing w:after="0"/>
              <w:rPr>
                <w:sz w:val="20"/>
                <w:szCs w:val="20"/>
                <w:color w:val="auto"/>
              </w:rPr>
            </w:pPr>
            <w:r>
              <w:rPr>
                <w:rFonts w:ascii="Arial" w:cs="Arial" w:eastAsia="Arial" w:hAnsi="Arial"/>
                <w:sz w:val="16"/>
                <w:szCs w:val="16"/>
                <w:color w:val="auto"/>
              </w:rPr>
              <w:t>Current tax payable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429,922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461,302</w:t>
            </w:r>
          </w:p>
        </w:tc>
        <w:tc>
          <w:tcPr>
            <w:tcW w:w="100" w:type="dxa"/>
            <w:vAlign w:val="bottom"/>
          </w:tcPr>
          <w:p>
            <w:pPr>
              <w:spacing w:after="0"/>
              <w:rPr>
                <w:sz w:val="18"/>
                <w:szCs w:val="18"/>
                <w:color w:val="auto"/>
              </w:rPr>
            </w:pPr>
          </w:p>
        </w:tc>
      </w:tr>
      <w:tr>
        <w:trPr>
          <w:trHeight w:val="215"/>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14,646,062</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18,473,953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398,694,465</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167,732,983</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-2408555</wp:posOffset>
            </wp:positionV>
            <wp:extent cx="679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-2391410</wp:posOffset>
            </wp:positionV>
            <wp:extent cx="679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-2408555</wp:posOffset>
            </wp:positionV>
            <wp:extent cx="679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-2391410</wp:posOffset>
            </wp:positionV>
            <wp:extent cx="679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-1284605</wp:posOffset>
            </wp:positionV>
            <wp:extent cx="679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-1267460</wp:posOffset>
            </wp:positionV>
            <wp:extent cx="6794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-1284605</wp:posOffset>
            </wp:positionV>
            <wp:extent cx="6794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-1267460</wp:posOffset>
            </wp:positionV>
            <wp:extent cx="679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-169545</wp:posOffset>
            </wp:positionV>
            <wp:extent cx="679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Shareholders' Equity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2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3"/>
                <w:szCs w:val="1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Share</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Other</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translation</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65"/>
        </w:trPr>
        <w:tc>
          <w:tcPr>
            <w:tcW w:w="28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9"/>
              </w:rPr>
              <w:t>Notes</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premium</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reserve</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losses</w:t>
            </w:r>
          </w:p>
        </w:tc>
        <w:tc>
          <w:tcPr>
            <w:tcW w:w="1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154"/>
        </w:trPr>
        <w:tc>
          <w:tcPr>
            <w:tcW w:w="28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ind w:left="29"/>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center"/>
              <w:ind w:left="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81"/>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5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235,693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138,034,580</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1,979,875</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(4,365 )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(44,459,954 )</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95,785,829</w:t>
            </w:r>
          </w:p>
        </w:tc>
        <w:tc>
          <w:tcPr>
            <w:tcW w:w="100" w:type="dxa"/>
            <w:vAlign w:val="bottom"/>
            <w:shd w:val="clear" w:color="auto" w:fill="CFF0FC"/>
          </w:tcPr>
          <w:p>
            <w:pPr>
              <w:spacing w:after="0"/>
              <w:rPr>
                <w:sz w:val="15"/>
                <w:szCs w:val="15"/>
                <w:color w:val="auto"/>
              </w:rPr>
            </w:pP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(42,730,779 )</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(42,730,779 )</w:t>
            </w: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5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2,592,621</w:t>
            </w: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(2,592,621 )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tcPr>
          <w:p>
            <w:pPr>
              <w:jc w:val="center"/>
              <w:spacing w:after="0"/>
              <w:rPr>
                <w:sz w:val="20"/>
                <w:szCs w:val="20"/>
                <w:color w:val="auto"/>
              </w:rPr>
            </w:pPr>
            <w:r>
              <w:rPr>
                <w:rFonts w:ascii="Arial" w:cs="Arial" w:eastAsia="Arial" w:hAnsi="Arial"/>
                <w:sz w:val="14"/>
                <w:szCs w:val="14"/>
                <w:color w:val="auto"/>
              </w:rPr>
              <w:t>13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1,141,329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156,014,570</w:t>
            </w:r>
          </w:p>
        </w:tc>
        <w:tc>
          <w:tcPr>
            <w:tcW w:w="1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157,155,899</w:t>
            </w:r>
          </w:p>
        </w:tc>
        <w:tc>
          <w:tcPr>
            <w:tcW w:w="100" w:type="dxa"/>
            <w:vAlign w:val="bottom"/>
          </w:tcPr>
          <w:p>
            <w:pPr>
              <w:spacing w:after="0"/>
              <w:rPr>
                <w:sz w:val="16"/>
                <w:szCs w:val="16"/>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(13,154,360 )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(13,154,360 )</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30,293</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30,293</w:t>
            </w:r>
          </w:p>
        </w:tc>
        <w:tc>
          <w:tcPr>
            <w:tcW w:w="100" w:type="dxa"/>
            <w:vAlign w:val="bottom"/>
          </w:tcPr>
          <w:p>
            <w:pPr>
              <w:spacing w:after="0"/>
              <w:rPr>
                <w:sz w:val="16"/>
                <w:szCs w:val="16"/>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8,584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440,731</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(401,846 )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(377,668 )</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(330,199 )</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8,196,387</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8,196,387</w:t>
            </w:r>
          </w:p>
        </w:tc>
        <w:tc>
          <w:tcPr>
            <w:tcW w:w="100" w:type="dxa"/>
            <w:vAlign w:val="bottom"/>
          </w:tcPr>
          <w:p>
            <w:pPr>
              <w:spacing w:after="0"/>
              <w:rPr>
                <w:sz w:val="16"/>
                <w:szCs w:val="16"/>
                <w:color w:val="auto"/>
              </w:rPr>
            </w:pPr>
          </w:p>
        </w:tc>
      </w:tr>
      <w:tr>
        <w:trPr>
          <w:trHeight w:val="181"/>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3,978,227</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9,774,416</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(87,568,401 )</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shd w:val="clear" w:color="auto" w:fill="CFF0FC"/>
          </w:tcPr>
          <w:p>
            <w:pPr>
              <w:spacing w:after="0"/>
              <w:rPr>
                <w:sz w:val="15"/>
                <w:szCs w:val="15"/>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1"/>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3,978,227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9,774,416</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(87,568,401 )</w:t>
            </w:r>
          </w:p>
        </w:tc>
        <w:tc>
          <w:tcPr>
            <w:tcW w:w="1700" w:type="dxa"/>
            <w:vAlign w:val="bottom"/>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tcPr>
          <w:p>
            <w:pPr>
              <w:spacing w:after="0"/>
              <w:rPr>
                <w:sz w:val="15"/>
                <w:szCs w:val="15"/>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(76,332,557 )</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(76,332,557 )</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tcPr>
          <w:p>
            <w:pPr>
              <w:jc w:val="center"/>
              <w:spacing w:after="0"/>
              <w:rPr>
                <w:sz w:val="20"/>
                <w:szCs w:val="20"/>
                <w:color w:val="auto"/>
              </w:rPr>
            </w:pPr>
            <w:r>
              <w:rPr>
                <w:rFonts w:ascii="Arial" w:cs="Arial" w:eastAsia="Arial" w:hAnsi="Arial"/>
                <w:sz w:val="14"/>
                <w:szCs w:val="14"/>
                <w:color w:val="auto"/>
              </w:rPr>
              <w:t>13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70,572</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9,464,901</w:t>
            </w:r>
          </w:p>
        </w:tc>
        <w:tc>
          <w:tcPr>
            <w:tcW w:w="1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9,535,473</w:t>
            </w:r>
          </w:p>
        </w:tc>
        <w:tc>
          <w:tcPr>
            <w:tcW w:w="100" w:type="dxa"/>
            <w:vAlign w:val="bottom"/>
          </w:tcPr>
          <w:p>
            <w:pPr>
              <w:spacing w:after="0"/>
              <w:rPr>
                <w:sz w:val="16"/>
                <w:szCs w:val="16"/>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(307,710 )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(307,710 )</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257,734</w:t>
            </w:r>
          </w:p>
        </w:tc>
        <w:tc>
          <w:tcPr>
            <w:tcW w:w="100" w:type="dxa"/>
            <w:vAlign w:val="bottom"/>
          </w:tcPr>
          <w:p>
            <w:pPr>
              <w:spacing w:after="0"/>
              <w:rPr>
                <w:sz w:val="16"/>
                <w:szCs w:val="16"/>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w:t>
            </w: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shd w:val="clear" w:color="auto" w:fill="CFF0FC"/>
          </w:tcPr>
          <w:p>
            <w:pPr>
              <w:spacing w:after="0"/>
              <w:rPr>
                <w:sz w:val="16"/>
                <w:szCs w:val="16"/>
                <w:color w:val="auto"/>
              </w:rPr>
            </w:pP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9,177</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1,019,372</w:t>
            </w:r>
          </w:p>
        </w:tc>
        <w:tc>
          <w:tcPr>
            <w:tcW w:w="12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(954,157 )</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(287,934 )</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(213,542 )</w:t>
            </w: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shd w:val="clear" w:color="auto" w:fill="CFF0FC"/>
          </w:tcPr>
          <w:p>
            <w:pPr>
              <w:spacing w:after="0"/>
              <w:rPr>
                <w:sz w:val="16"/>
                <w:szCs w:val="16"/>
                <w:color w:val="auto"/>
              </w:rPr>
            </w:pPr>
          </w:p>
        </w:tc>
      </w:tr>
      <w:tr>
        <w:trPr>
          <w:trHeight w:val="158"/>
        </w:trPr>
        <w:tc>
          <w:tcPr>
            <w:tcW w:w="2880" w:type="dxa"/>
            <w:vAlign w:val="bottom"/>
            <w:tcBorders>
              <w:top w:val="single" w:sz="8" w:color="CFF0FC"/>
            </w:tcBorders>
          </w:tcPr>
          <w:p>
            <w:pPr>
              <w:ind w:left="20"/>
              <w:spacing w:after="0" w:line="159" w:lineRule="exact"/>
              <w:rPr>
                <w:sz w:val="20"/>
                <w:szCs w:val="20"/>
                <w:color w:val="auto"/>
              </w:rPr>
            </w:pPr>
            <w:r>
              <w:rPr>
                <w:rFonts w:ascii="Arial" w:cs="Arial" w:eastAsia="Arial" w:hAnsi="Arial"/>
                <w:sz w:val="14"/>
                <w:szCs w:val="14"/>
                <w:b w:val="1"/>
                <w:bCs w:val="1"/>
                <w:color w:val="auto"/>
              </w:rPr>
              <w:t>Balance at December 31, 2022</w:t>
            </w:r>
          </w:p>
        </w:tc>
        <w:tc>
          <w:tcPr>
            <w:tcW w:w="5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(164,188,89</w:t>
            </w:r>
          </w:p>
        </w:tc>
        <w:tc>
          <w:tcPr>
            <w:tcW w:w="100" w:type="dxa"/>
            <w:vAlign w:val="bottom"/>
            <w:tcBorders>
              <w:top w:val="single" w:sz="8" w:color="CFF0FC"/>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4"/>
        </w:trPr>
        <w:tc>
          <w:tcPr>
            <w:tcW w:w="2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4,057,976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289,177,197</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20,169,459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43,290</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2 )</w:t>
            </w:r>
          </w:p>
        </w:tc>
        <w:tc>
          <w:tcPr>
            <w:tcW w:w="1700" w:type="dxa"/>
            <w:vAlign w:val="bottom"/>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tcPr>
          <w:p>
            <w:pPr>
              <w:spacing w:after="0"/>
              <w:rPr>
                <w:sz w:val="15"/>
                <w:szCs w:val="15"/>
                <w:color w:val="auto"/>
              </w:rPr>
            </w:pPr>
          </w:p>
        </w:tc>
      </w:tr>
      <w:tr>
        <w:trPr>
          <w:trHeight w:val="20"/>
        </w:trPr>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2880" w:type="dxa"/>
            <w:vAlign w:val="bottom"/>
            <w:shd w:val="clear" w:color="auto" w:fill="CFF0FC"/>
          </w:tcPr>
          <w:p>
            <w:pPr>
              <w:ind w:left="20"/>
              <w:spacing w:after="0" w:line="145" w:lineRule="exact"/>
              <w:rPr>
                <w:sz w:val="20"/>
                <w:szCs w:val="20"/>
                <w:color w:val="auto"/>
              </w:rPr>
            </w:pPr>
            <w:r>
              <w:rPr>
                <w:rFonts w:ascii="Arial" w:cs="Arial" w:eastAsia="Arial" w:hAnsi="Arial"/>
                <w:sz w:val="14"/>
                <w:szCs w:val="14"/>
                <w:b w:val="1"/>
                <w:bCs w:val="1"/>
                <w:color w:val="auto"/>
              </w:rPr>
              <w:t>Balance at January 1, 2023</w:t>
            </w: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5" w:lineRule="exact"/>
              <w:rPr>
                <w:sz w:val="20"/>
                <w:szCs w:val="20"/>
                <w:color w:val="auto"/>
              </w:rPr>
            </w:pPr>
            <w:r>
              <w:rPr>
                <w:rFonts w:ascii="Arial" w:cs="Arial" w:eastAsia="Arial" w:hAnsi="Arial"/>
                <w:sz w:val="14"/>
                <w:szCs w:val="14"/>
                <w:color w:val="auto"/>
              </w:rPr>
              <w:t>(164,188,89</w:t>
            </w:r>
          </w:p>
        </w:tc>
        <w:tc>
          <w:tcPr>
            <w:tcW w:w="1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4"/>
        </w:trPr>
        <w:tc>
          <w:tcPr>
            <w:tcW w:w="2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5"/>
                <w:szCs w:val="15"/>
                <w:color w:val="auto"/>
              </w:rPr>
            </w:pPr>
          </w:p>
        </w:tc>
      </w:tr>
      <w:tr>
        <w:trPr>
          <w:trHeight w:val="165"/>
        </w:trPr>
        <w:tc>
          <w:tcPr>
            <w:tcW w:w="2880" w:type="dxa"/>
            <w:vAlign w:val="bottom"/>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(100,875,06</w:t>
            </w: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2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(100,875,068 )</w:t>
            </w: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tcPr>
          <w:p>
            <w:pPr>
              <w:jc w:val="center"/>
              <w:spacing w:after="0"/>
              <w:rPr>
                <w:sz w:val="20"/>
                <w:szCs w:val="20"/>
                <w:color w:val="auto"/>
              </w:rPr>
            </w:pPr>
            <w:r>
              <w:rPr>
                <w:rFonts w:ascii="Arial" w:cs="Arial" w:eastAsia="Arial" w:hAnsi="Arial"/>
                <w:sz w:val="14"/>
                <w:szCs w:val="14"/>
                <w:color w:val="auto"/>
              </w:rPr>
              <w:t>13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2,169,859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340,388,989</w:t>
            </w:r>
          </w:p>
        </w:tc>
        <w:tc>
          <w:tcPr>
            <w:tcW w:w="1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342,558,848</w:t>
            </w:r>
          </w:p>
        </w:tc>
        <w:tc>
          <w:tcPr>
            <w:tcW w:w="100" w:type="dxa"/>
            <w:vAlign w:val="bottom"/>
          </w:tcPr>
          <w:p>
            <w:pPr>
              <w:spacing w:after="0"/>
              <w:rPr>
                <w:sz w:val="16"/>
                <w:szCs w:val="16"/>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(17,712,292 )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(17,712,292 )</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tcPr>
          <w:p>
            <w:pPr>
              <w:spacing w:after="0"/>
              <w:rPr>
                <w:sz w:val="16"/>
                <w:szCs w:val="16"/>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(57,874 )</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(57,874 )</w:t>
            </w: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46,998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3,243,359</w:t>
            </w:r>
          </w:p>
        </w:tc>
        <w:tc>
          <w:tcPr>
            <w:tcW w:w="12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(2,937,889 )</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(854,668 )</w:t>
            </w:r>
          </w:p>
        </w:tc>
        <w:tc>
          <w:tcPr>
            <w:tcW w:w="1800" w:type="dxa"/>
            <w:vAlign w:val="bottom"/>
            <w:gridSpan w:val="2"/>
          </w:tcPr>
          <w:p>
            <w:pPr>
              <w:jc w:val="right"/>
              <w:ind w:right="40"/>
              <w:spacing w:after="0"/>
              <w:rPr>
                <w:sz w:val="20"/>
                <w:szCs w:val="20"/>
                <w:color w:val="auto"/>
              </w:rPr>
            </w:pPr>
            <w:r>
              <w:rPr>
                <w:rFonts w:ascii="Arial" w:cs="Arial" w:eastAsia="Arial" w:hAnsi="Arial"/>
                <w:sz w:val="14"/>
                <w:szCs w:val="14"/>
                <w:color w:val="auto"/>
              </w:rPr>
              <w:t>(502,200 )</w:t>
            </w:r>
          </w:p>
        </w:tc>
      </w:tr>
      <w:tr>
        <w:trPr>
          <w:trHeight w:val="188"/>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shd w:val="clear" w:color="auto" w:fill="CFF0FC"/>
          </w:tcPr>
          <w:p>
            <w:pPr>
              <w:spacing w:after="0"/>
              <w:rPr>
                <w:sz w:val="16"/>
                <w:szCs w:val="16"/>
                <w:color w:val="auto"/>
              </w:rPr>
            </w:pPr>
          </w:p>
        </w:tc>
      </w:tr>
      <w:tr>
        <w:trPr>
          <w:trHeight w:val="158"/>
        </w:trPr>
        <w:tc>
          <w:tcPr>
            <w:tcW w:w="2880" w:type="dxa"/>
            <w:vAlign w:val="bottom"/>
            <w:tcBorders>
              <w:top w:val="single" w:sz="8" w:color="CFF0FC"/>
            </w:tcBorders>
          </w:tcPr>
          <w:p>
            <w:pPr>
              <w:ind w:left="20"/>
              <w:spacing w:after="0" w:line="159" w:lineRule="exact"/>
              <w:rPr>
                <w:sz w:val="20"/>
                <w:szCs w:val="20"/>
                <w:color w:val="auto"/>
              </w:rPr>
            </w:pPr>
            <w:r>
              <w:rPr>
                <w:rFonts w:ascii="Arial" w:cs="Arial" w:eastAsia="Arial" w:hAnsi="Arial"/>
                <w:sz w:val="14"/>
                <w:szCs w:val="14"/>
                <w:b w:val="1"/>
                <w:bCs w:val="1"/>
                <w:color w:val="auto"/>
              </w:rPr>
              <w:t>Balance at December 31, 2023</w:t>
            </w:r>
          </w:p>
        </w:tc>
        <w:tc>
          <w:tcPr>
            <w:tcW w:w="5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(265,918,62</w:t>
            </w:r>
          </w:p>
        </w:tc>
        <w:tc>
          <w:tcPr>
            <w:tcW w:w="100" w:type="dxa"/>
            <w:vAlign w:val="bottom"/>
            <w:tcBorders>
              <w:top w:val="single" w:sz="8" w:color="CFF0FC"/>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4"/>
        </w:trPr>
        <w:tc>
          <w:tcPr>
            <w:tcW w:w="2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6,274,833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615,811,986</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27,894,796</w:t>
            </w: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(14,584 )</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c>
          <w:tcPr>
            <w:tcW w:w="1700" w:type="dxa"/>
            <w:vAlign w:val="bottom"/>
          </w:tcPr>
          <w:p>
            <w:pPr>
              <w:jc w:val="right"/>
              <w:spacing w:after="0"/>
              <w:rPr>
                <w:sz w:val="20"/>
                <w:szCs w:val="20"/>
                <w:color w:val="auto"/>
              </w:rPr>
            </w:pPr>
            <w:r>
              <w:rPr>
                <w:rFonts w:ascii="Arial" w:cs="Arial" w:eastAsia="Arial" w:hAnsi="Arial"/>
                <w:sz w:val="14"/>
                <w:szCs w:val="14"/>
                <w:color w:val="auto"/>
              </w:rPr>
              <w:t>384,048,403</w:t>
            </w:r>
          </w:p>
        </w:tc>
        <w:tc>
          <w:tcPr>
            <w:tcW w:w="100" w:type="dxa"/>
            <w:vAlign w:val="bottom"/>
          </w:tcPr>
          <w:p>
            <w:pPr>
              <w:spacing w:after="0"/>
              <w:rPr>
                <w:sz w:val="15"/>
                <w:szCs w:val="15"/>
                <w:color w:val="auto"/>
              </w:rPr>
            </w:pPr>
          </w:p>
        </w:tc>
      </w:tr>
      <w:tr>
        <w:trPr>
          <w:trHeight w:val="20"/>
        </w:trPr>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-2748915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-2748915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-2748915</wp:posOffset>
            </wp:positionV>
            <wp:extent cx="6794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-2748915</wp:posOffset>
            </wp:positionV>
            <wp:extent cx="6794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-2748915</wp:posOffset>
            </wp:positionV>
            <wp:extent cx="679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-2748915</wp:posOffset>
            </wp:positionV>
            <wp:extent cx="679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-1786890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-1786890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-1786890</wp:posOffset>
            </wp:positionV>
            <wp:extent cx="679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-1786890</wp:posOffset>
            </wp:positionV>
            <wp:extent cx="679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-1786890</wp:posOffset>
            </wp:positionV>
            <wp:extent cx="679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-1786890</wp:posOffset>
            </wp:positionV>
            <wp:extent cx="6794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-254635</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-254635</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-254635</wp:posOffset>
            </wp:positionV>
            <wp:extent cx="679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-254635</wp:posOffset>
            </wp:positionV>
            <wp:extent cx="679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-254635</wp:posOffset>
            </wp:positionV>
            <wp:extent cx="679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-254635</wp:posOffset>
            </wp:positionV>
            <wp:extent cx="679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Years ended 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54"/>
        </w:trPr>
        <w:tc>
          <w:tcPr>
            <w:tcW w:w="6160" w:type="dxa"/>
            <w:vAlign w:val="bottom"/>
          </w:tcPr>
          <w:p>
            <w:pPr>
              <w:spacing w:after="0"/>
              <w:rPr>
                <w:sz w:val="13"/>
                <w:szCs w:val="13"/>
                <w:color w:val="auto"/>
              </w:rPr>
            </w:pP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Notes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Loss before tax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(99,826,263 )</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(75,653,470 )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(42,660,662 )</w:t>
            </w:r>
          </w:p>
        </w:tc>
      </w:tr>
      <w:tr>
        <w:trPr>
          <w:trHeight w:val="189"/>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adjustments to reconcile loss before tax to net cash flows / used in</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3"/>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operations: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Share-based payment expense</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10,663,226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11,349,200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8,196,387</w:t>
            </w: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 &amp; 9</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257,551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152,941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77,370</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Net foreign exchange (gain) loss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2,794,435</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(11,100,392 )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(11,760,469 )</w:t>
            </w: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(income) costs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(204,019 )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39,254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267,700</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i w:val="1"/>
                <w:iCs w:val="1"/>
                <w:color w:val="auto"/>
              </w:rPr>
              <w:t>Changes in working capital: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receivables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(41,051 )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317,612</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(130,501 )</w:t>
            </w: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Decrease (increase) in other current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(953,861 )</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(2,511,076 )</w:t>
            </w:r>
          </w:p>
        </w:tc>
        <w:tc>
          <w:tcPr>
            <w:tcW w:w="1140" w:type="dxa"/>
            <w:vAlign w:val="bottom"/>
          </w:tcPr>
          <w:p>
            <w:pPr>
              <w:jc w:val="right"/>
              <w:spacing w:after="0"/>
              <w:rPr>
                <w:sz w:val="20"/>
                <w:szCs w:val="20"/>
                <w:color w:val="auto"/>
              </w:rPr>
            </w:pPr>
            <w:r>
              <w:rPr>
                <w:rFonts w:ascii="Arial" w:cs="Arial" w:eastAsia="Arial" w:hAnsi="Arial"/>
                <w:sz w:val="16"/>
                <w:szCs w:val="16"/>
                <w:color w:val="auto"/>
              </w:rPr>
              <w:t>239,875</w:t>
            </w:r>
          </w:p>
        </w:tc>
        <w:tc>
          <w:tcPr>
            <w:tcW w:w="100" w:type="dxa"/>
            <w:vAlign w:val="bottom"/>
          </w:tcPr>
          <w:p>
            <w:pPr>
              <w:spacing w:after="0"/>
              <w:rPr>
                <w:sz w:val="18"/>
                <w:szCs w:val="18"/>
                <w:color w:val="auto"/>
              </w:rPr>
            </w:pP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trade and other payables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(4,171,990 )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3,905,486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1,662,686</w:t>
            </w:r>
          </w:p>
        </w:tc>
        <w:tc>
          <w:tcPr>
            <w:tcW w:w="100" w:type="dxa"/>
            <w:vAlign w:val="bottom"/>
            <w:shd w:val="clear" w:color="auto" w:fill="CFF0FC"/>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Increase (decrease) in accrued liabilities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(695,753 )</w:t>
            </w:r>
          </w:p>
        </w:tc>
        <w:tc>
          <w:tcPr>
            <w:tcW w:w="1160" w:type="dxa"/>
            <w:vAlign w:val="bottom"/>
          </w:tcPr>
          <w:p>
            <w:pPr>
              <w:jc w:val="right"/>
              <w:spacing w:after="0"/>
              <w:rPr>
                <w:sz w:val="20"/>
                <w:szCs w:val="20"/>
                <w:color w:val="auto"/>
              </w:rPr>
            </w:pPr>
            <w:r>
              <w:rPr>
                <w:rFonts w:ascii="Arial" w:cs="Arial" w:eastAsia="Arial" w:hAnsi="Arial"/>
                <w:sz w:val="16"/>
                <w:szCs w:val="16"/>
                <w:color w:val="auto"/>
              </w:rPr>
              <w:t>6,664,878</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(196,755 )</w:t>
            </w:r>
          </w:p>
        </w:tc>
      </w:tr>
      <w:tr>
        <w:trPr>
          <w:trHeight w:val="215"/>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paid</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(1,108,410 )</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(182,824 )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(27,615 )</w:t>
            </w: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Received (paid) interest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237,042</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(144,243 )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(267,700 )</w:t>
            </w:r>
          </w:p>
        </w:tc>
      </w:tr>
      <w:tr>
        <w:trPr>
          <w:trHeight w:val="20"/>
        </w:trPr>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operating activities</w:t>
            </w: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(93,049,093 )</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(67,162,634 )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(44,599,684 )</w:t>
            </w:r>
          </w:p>
        </w:tc>
      </w:tr>
      <w:tr>
        <w:trPr>
          <w:trHeight w:val="195"/>
        </w:trPr>
        <w:tc>
          <w:tcPr>
            <w:tcW w:w="61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4"/>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(89,984 )</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(124,296 )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(130,032 )</w:t>
            </w:r>
          </w:p>
        </w:tc>
      </w:tr>
      <w:tr>
        <w:trPr>
          <w:trHeight w:val="20"/>
        </w:trPr>
        <w:tc>
          <w:tcPr>
            <w:tcW w:w="61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-2719070</wp:posOffset>
            </wp:positionV>
            <wp:extent cx="102235" cy="1447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102235" cy="144780"/>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-2719070</wp:posOffset>
            </wp:positionV>
            <wp:extent cx="93345" cy="1447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93345" cy="14478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-2719070</wp:posOffset>
            </wp:positionV>
            <wp:extent cx="93345" cy="1447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93345" cy="14478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-306070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-288925</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-306070</wp:posOffset>
            </wp:positionV>
            <wp:extent cx="679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-288925</wp:posOffset>
            </wp:positionV>
            <wp:extent cx="6794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-306070</wp:posOffset>
            </wp:positionV>
            <wp:extent cx="6794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-288925</wp:posOffset>
            </wp:positionV>
            <wp:extent cx="679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-7620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-7620</wp:posOffset>
            </wp:positionV>
            <wp:extent cx="679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Net cash flows used in investing activities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Financing activities</w:t>
      </w:r>
    </w:p>
    <w:p>
      <w:pPr>
        <w:spacing w:after="0" w:line="30" w:lineRule="exact"/>
        <w:rPr>
          <w:sz w:val="20"/>
          <w:szCs w:val="20"/>
          <w:color w:val="auto"/>
        </w:rPr>
      </w:pPr>
    </w:p>
    <w:p>
      <w:pPr>
        <w:ind w:left="20" w:right="1780"/>
        <w:spacing w:after="0" w:line="275" w:lineRule="auto"/>
        <w:rPr>
          <w:sz w:val="20"/>
          <w:szCs w:val="20"/>
          <w:color w:val="auto"/>
        </w:rPr>
      </w:pPr>
      <w:r>
        <w:rPr>
          <w:rFonts w:ascii="Arial" w:cs="Arial" w:eastAsia="Arial" w:hAnsi="Arial"/>
          <w:sz w:val="16"/>
          <w:szCs w:val="16"/>
          <w:color w:val="auto"/>
        </w:rPr>
        <w:t>Proceeds from issue of shares and pre-funded warrants Transaction costs</w:t>
      </w:r>
    </w:p>
    <w:p>
      <w:pPr>
        <w:ind w:left="20" w:right="2180"/>
        <w:spacing w:after="0" w:line="314" w:lineRule="auto"/>
        <w:rPr>
          <w:sz w:val="20"/>
          <w:szCs w:val="20"/>
          <w:color w:val="auto"/>
        </w:rPr>
      </w:pPr>
      <w:r>
        <w:rPr>
          <w:rFonts w:ascii="Arial" w:cs="Arial" w:eastAsia="Arial" w:hAnsi="Arial"/>
          <w:sz w:val="16"/>
          <w:szCs w:val="16"/>
          <w:color w:val="auto"/>
        </w:rPr>
        <w:t xml:space="preserve">Payment of principal portion of lease liabilities </w:t>
      </w:r>
      <w:r>
        <w:rPr>
          <w:rFonts w:ascii="Arial" w:cs="Arial" w:eastAsia="Arial" w:hAnsi="Arial"/>
          <w:sz w:val="16"/>
          <w:szCs w:val="16"/>
          <w:b w:val="1"/>
          <w:bCs w:val="1"/>
          <w:color w:val="auto"/>
        </w:rPr>
        <w:t>Net cash flows provided by financing activities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(decrease) increase in cash and cash equivalents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the beginning of the year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(89,984 )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(124,296 )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(130,032 )</w:t>
            </w:r>
          </w:p>
        </w:tc>
      </w:tr>
      <w:tr>
        <w:trPr>
          <w:trHeight w:val="428"/>
        </w:trPr>
        <w:tc>
          <w:tcPr>
            <w:tcW w:w="660" w:type="dxa"/>
            <w:vAlign w:val="bottom"/>
          </w:tcPr>
          <w:p>
            <w:pPr>
              <w:jc w:val="right"/>
              <w:ind w:right="400"/>
              <w:spacing w:after="0"/>
              <w:rPr>
                <w:sz w:val="20"/>
                <w:szCs w:val="20"/>
                <w:color w:val="auto"/>
              </w:rPr>
            </w:pPr>
            <w:r>
              <w:rPr>
                <w:rFonts w:ascii="Arial" w:cs="Arial" w:eastAsia="Arial" w:hAnsi="Arial"/>
                <w:sz w:val="16"/>
                <w:szCs w:val="16"/>
                <w:color w:val="auto"/>
                <w:w w:val="89"/>
              </w:rPr>
              <w:t>13</w:t>
            </w:r>
          </w:p>
        </w:tc>
        <w:tc>
          <w:tcPr>
            <w:tcW w:w="1240" w:type="dxa"/>
            <w:vAlign w:val="bottom"/>
          </w:tcPr>
          <w:p>
            <w:pPr>
              <w:jc w:val="right"/>
              <w:spacing w:after="0"/>
              <w:rPr>
                <w:sz w:val="20"/>
                <w:szCs w:val="20"/>
                <w:color w:val="auto"/>
              </w:rPr>
            </w:pPr>
            <w:r>
              <w:rPr>
                <w:rFonts w:ascii="Arial" w:cs="Arial" w:eastAsia="Arial" w:hAnsi="Arial"/>
                <w:sz w:val="16"/>
                <w:szCs w:val="16"/>
                <w:color w:val="auto"/>
              </w:rPr>
              <w:t>342,911,317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9,609,865</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156,825,699</w:t>
            </w:r>
          </w:p>
        </w:tc>
        <w:tc>
          <w:tcPr>
            <w:tcW w:w="60" w:type="dxa"/>
            <w:vAlign w:val="bottom"/>
          </w:tcPr>
          <w:p>
            <w:pPr>
              <w:spacing w:after="0"/>
              <w:rPr>
                <w:sz w:val="24"/>
                <w:szCs w:val="24"/>
                <w:color w:val="auto"/>
              </w:rPr>
            </w:pPr>
          </w:p>
        </w:tc>
      </w:tr>
      <w:tr>
        <w:trPr>
          <w:trHeight w:val="214"/>
        </w:trPr>
        <w:tc>
          <w:tcPr>
            <w:tcW w:w="6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(17,297,810 )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(839,970 )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(13,154,360 )</w:t>
            </w:r>
          </w:p>
        </w:tc>
      </w:tr>
      <w:tr>
        <w:trPr>
          <w:trHeight w:val="215"/>
        </w:trPr>
        <w:tc>
          <w:tcPr>
            <w:tcW w:w="6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(220,507 )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(119,527 )</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8"/>
        </w:trPr>
        <w:tc>
          <w:tcPr>
            <w:tcW w:w="6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325,393,000</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8,650,368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143,671,339</w:t>
            </w:r>
          </w:p>
        </w:tc>
        <w:tc>
          <w:tcPr>
            <w:tcW w:w="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66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232,253,923</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(58,636,562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98,941,623</w:t>
            </w:r>
          </w:p>
        </w:tc>
        <w:tc>
          <w:tcPr>
            <w:tcW w:w="60" w:type="dxa"/>
            <w:vAlign w:val="bottom"/>
          </w:tcPr>
          <w:p>
            <w:pPr>
              <w:spacing w:after="0"/>
              <w:rPr>
                <w:sz w:val="16"/>
                <w:szCs w:val="16"/>
                <w:color w:val="auto"/>
              </w:rPr>
            </w:pPr>
          </w:p>
        </w:tc>
      </w:tr>
      <w:tr>
        <w:trPr>
          <w:trHeight w:val="214"/>
        </w:trPr>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98,628,871</w:t>
            </w:r>
          </w:p>
        </w:tc>
        <w:tc>
          <w:tcPr>
            <w:tcW w:w="6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(2,859,715 )</w:t>
            </w:r>
          </w:p>
        </w:tc>
        <w:tc>
          <w:tcPr>
            <w:tcW w:w="1160" w:type="dxa"/>
            <w:vAlign w:val="bottom"/>
          </w:tcPr>
          <w:p>
            <w:pPr>
              <w:jc w:val="right"/>
              <w:spacing w:after="0"/>
              <w:rPr>
                <w:sz w:val="20"/>
                <w:szCs w:val="20"/>
                <w:color w:val="auto"/>
              </w:rPr>
            </w:pPr>
            <w:r>
              <w:rPr>
                <w:rFonts w:ascii="Arial" w:cs="Arial" w:eastAsia="Arial" w:hAnsi="Arial"/>
                <w:sz w:val="16"/>
                <w:szCs w:val="16"/>
                <w:color w:val="auto"/>
              </w:rPr>
              <w:t>11,120,859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11,782,638</w:t>
            </w:r>
          </w:p>
        </w:tc>
        <w:tc>
          <w:tcPr>
            <w:tcW w:w="60" w:type="dxa"/>
            <w:vAlign w:val="bottom"/>
          </w:tcPr>
          <w:p>
            <w:pPr>
              <w:spacing w:after="0"/>
              <w:rPr>
                <w:sz w:val="18"/>
                <w:szCs w:val="18"/>
                <w:color w:val="auto"/>
              </w:rPr>
            </w:pPr>
          </w:p>
        </w:tc>
      </w:tr>
      <w:tr>
        <w:trPr>
          <w:trHeight w:val="209"/>
        </w:trPr>
        <w:tc>
          <w:tcPr>
            <w:tcW w:w="660" w:type="dxa"/>
            <w:vAlign w:val="bottom"/>
          </w:tcPr>
          <w:p>
            <w:pPr>
              <w:jc w:val="right"/>
              <w:ind w:right="400"/>
              <w:spacing w:after="0"/>
              <w:rPr>
                <w:sz w:val="20"/>
                <w:szCs w:val="20"/>
                <w:color w:val="auto"/>
              </w:rPr>
            </w:pPr>
            <w:r>
              <w:rPr>
                <w:rFonts w:ascii="Arial" w:cs="Arial" w:eastAsia="Arial" w:hAnsi="Arial"/>
                <w:sz w:val="16"/>
                <w:szCs w:val="16"/>
                <w:color w:val="auto"/>
                <w:w w:val="89"/>
              </w:rPr>
              <w:t>12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209,353,132</w:t>
            </w:r>
          </w:p>
        </w:tc>
        <w:tc>
          <w:tcPr>
            <w:tcW w:w="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-1293495</wp:posOffset>
            </wp:positionV>
            <wp:extent cx="7133590" cy="135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-1021080</wp:posOffset>
            </wp:positionV>
            <wp:extent cx="7133590" cy="135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-441960</wp:posOffset>
            </wp:positionV>
            <wp:extent cx="7133590" cy="135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-739775</wp:posOffset>
            </wp:positionV>
            <wp:extent cx="7133590" cy="1619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133590" cy="16192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-161290</wp:posOffset>
            </wp:positionV>
            <wp:extent cx="7133590" cy="161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40"/>
          </w:cols>
          <w:pgMar w:left="320" w:top="769" w:right="339" w:bottom="1440" w:gutter="0" w:footer="0" w:header="0"/>
          <w:type w:val="continuous"/>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1"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2023 were authorized for issue in accordance with a resolution of the directors on April 10, 2024.</w:t>
      </w:r>
    </w:p>
    <w:p>
      <w:pPr>
        <w:spacing w:after="0" w:line="156" w:lineRule="exact"/>
        <w:rPr>
          <w:sz w:val="20"/>
          <w:szCs w:val="20"/>
          <w:color w:val="auto"/>
        </w:rPr>
      </w:pPr>
    </w:p>
    <w:p>
      <w:pPr>
        <w:ind w:right="600"/>
        <w:spacing w:after="0" w:line="283"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880"/>
              <w:spacing w:after="0"/>
              <w:rPr>
                <w:sz w:val="20"/>
                <w:szCs w:val="20"/>
                <w:color w:val="auto"/>
              </w:rPr>
            </w:pPr>
            <w:r>
              <w:rPr>
                <w:rFonts w:ascii="Arial" w:cs="Arial" w:eastAsia="Arial" w:hAnsi="Arial"/>
                <w:sz w:val="13"/>
                <w:szCs w:val="13"/>
                <w:b w:val="1"/>
                <w:bCs w:val="1"/>
                <w:color w:val="auto"/>
              </w:rPr>
              <w:t>% of equity interest</w:t>
            </w:r>
          </w:p>
        </w:tc>
      </w:tr>
      <w:tr>
        <w:trPr>
          <w:trHeight w:val="154"/>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Legal seat</w:t>
            </w:r>
          </w:p>
        </w:tc>
        <w:tc>
          <w:tcPr>
            <w:tcW w:w="140" w:type="dxa"/>
            <w:vAlign w:val="bottom"/>
          </w:tcPr>
          <w:p>
            <w:pPr>
              <w:spacing w:after="0"/>
              <w:rPr>
                <w:sz w:val="13"/>
                <w:szCs w:val="13"/>
                <w:color w:val="auto"/>
              </w:rPr>
            </w:pPr>
          </w:p>
        </w:tc>
        <w:tc>
          <w:tcPr>
            <w:tcW w:w="254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2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Pharvaris Holdings B.V.</w:t>
            </w:r>
          </w:p>
        </w:tc>
        <w:tc>
          <w:tcPr>
            <w:tcW w:w="1560" w:type="dxa"/>
            <w:vAlign w:val="bottom"/>
          </w:tcPr>
          <w:p>
            <w:pPr>
              <w:spacing w:after="0"/>
              <w:rPr>
                <w:sz w:val="20"/>
                <w:szCs w:val="20"/>
                <w:color w:val="auto"/>
              </w:rPr>
            </w:pPr>
            <w:r>
              <w:rPr>
                <w:rFonts w:ascii="Arial" w:cs="Arial" w:eastAsia="Arial" w:hAnsi="Arial"/>
                <w:sz w:val="16"/>
                <w:szCs w:val="16"/>
                <w:color w:val="auto"/>
              </w:rPr>
              <w:t>Leiden</w:t>
            </w:r>
          </w:p>
        </w:tc>
        <w:tc>
          <w:tcPr>
            <w:tcW w:w="1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The Netherlands</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418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1560" w:type="dxa"/>
            <w:vAlign w:val="bottom"/>
          </w:tcPr>
          <w:p>
            <w:pPr>
              <w:spacing w:after="0"/>
              <w:rPr>
                <w:sz w:val="20"/>
                <w:szCs w:val="20"/>
                <w:color w:val="auto"/>
              </w:rPr>
            </w:pPr>
            <w:r>
              <w:rPr>
                <w:rFonts w:ascii="Arial" w:cs="Arial" w:eastAsia="Arial" w:hAnsi="Arial"/>
                <w:sz w:val="16"/>
                <w:szCs w:val="16"/>
                <w:color w:val="auto"/>
              </w:rPr>
              <w:t>Leiden</w:t>
            </w:r>
          </w:p>
        </w:tc>
        <w:tc>
          <w:tcPr>
            <w:tcW w:w="1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The Netherlands</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418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1560" w:type="dxa"/>
            <w:vAlign w:val="bottom"/>
          </w:tcPr>
          <w:p>
            <w:pPr>
              <w:spacing w:after="0"/>
              <w:rPr>
                <w:sz w:val="20"/>
                <w:szCs w:val="20"/>
                <w:color w:val="auto"/>
              </w:rPr>
            </w:pPr>
            <w:r>
              <w:rPr>
                <w:rFonts w:ascii="Arial" w:cs="Arial" w:eastAsia="Arial" w:hAnsi="Arial"/>
                <w:sz w:val="16"/>
                <w:szCs w:val="16"/>
                <w:color w:val="auto"/>
              </w:rPr>
              <w:t>Delaware</w:t>
            </w:r>
          </w:p>
        </w:tc>
        <w:tc>
          <w:tcPr>
            <w:tcW w:w="1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United States of America</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418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1560" w:type="dxa"/>
            <w:vAlign w:val="bottom"/>
          </w:tcPr>
          <w:p>
            <w:pPr>
              <w:spacing w:after="0"/>
              <w:rPr>
                <w:sz w:val="20"/>
                <w:szCs w:val="20"/>
                <w:color w:val="auto"/>
              </w:rPr>
            </w:pPr>
            <w:r>
              <w:rPr>
                <w:rFonts w:ascii="Arial" w:cs="Arial" w:eastAsia="Arial" w:hAnsi="Arial"/>
                <w:sz w:val="16"/>
                <w:szCs w:val="16"/>
                <w:color w:val="auto"/>
              </w:rPr>
              <w:t>Zug</w:t>
            </w:r>
          </w:p>
        </w:tc>
        <w:tc>
          <w:tcPr>
            <w:tcW w:w="1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135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-675005</wp:posOffset>
            </wp:positionV>
            <wp:extent cx="7146290" cy="2679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146290" cy="267970"/>
                    </a:xfrm>
                    <a:prstGeom prst="rect">
                      <a:avLst/>
                    </a:prstGeom>
                    <a:noFill/>
                  </pic:spPr>
                </pic:pic>
              </a:graphicData>
            </a:graphic>
          </wp:anchor>
        </w:drawing>
      </w:r>
    </w:p>
    <w:p>
      <w:pPr>
        <w:spacing w:after="0" w:line="20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78" w:lineRule="exact"/>
        <w:rPr>
          <w:sz w:val="20"/>
          <w:szCs w:val="20"/>
          <w:color w:val="auto"/>
        </w:rPr>
      </w:pPr>
    </w:p>
    <w:p>
      <w:pPr>
        <w:ind w:left="180" w:hanging="173"/>
        <w:spacing w:after="0"/>
        <w:tabs>
          <w:tab w:leader="none" w:pos="18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9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7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consolidated financial statements of the Group have been prepared in accordance with IFRS Accounting Standards (IFRS) as issued by the International Accounting Standards Board (IASB).</w:t>
      </w:r>
    </w:p>
    <w:p>
      <w:pPr>
        <w:spacing w:after="0" w:line="116" w:lineRule="exact"/>
        <w:rPr>
          <w:sz w:val="20"/>
          <w:szCs w:val="20"/>
          <w:color w:val="auto"/>
        </w:rPr>
      </w:pPr>
    </w:p>
    <w:p>
      <w:pPr>
        <w:ind w:right="520"/>
        <w:spacing w:after="0" w:line="283"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91" w:lineRule="exact"/>
        <w:rPr>
          <w:sz w:val="20"/>
          <w:szCs w:val="20"/>
          <w:color w:val="auto"/>
        </w:rPr>
      </w:pPr>
    </w:p>
    <w:p>
      <w:pPr>
        <w:ind w:right="440"/>
        <w:spacing w:after="0" w:line="257"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or CODM. By these criteria, the activities of Pharvaris are considered to be one segment which comprises the discovery, development and commercialization of oral bradykinin-B2-receptor antagonists and the segmental analysis is the same as the analysis for Pharvaris as a</w:t>
      </w:r>
    </w:p>
    <w:p>
      <w:pPr>
        <w:sectPr>
          <w:pgSz w:w="11900" w:h="16838" w:orient="portrait"/>
          <w:cols w:equalWidth="0" w:num="1">
            <w:col w:w="11300"/>
          </w:cols>
          <w:pgMar w:left="320" w:top="769" w:right="2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1589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whole. The Executive Committee is identified as the CODM and reviews the consolidated operating results regularly to make decisions about the resources and to assess overall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7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91"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16"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91"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78" w:lineRule="exact"/>
        <w:rPr>
          <w:sz w:val="20"/>
          <w:szCs w:val="20"/>
          <w:color w:val="auto"/>
        </w:rPr>
      </w:pPr>
    </w:p>
    <w:p>
      <w:pPr>
        <w:ind w:left="1140" w:hanging="444"/>
        <w:spacing w:after="0"/>
        <w:tabs>
          <w:tab w:leader="none" w:pos="114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29"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6"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Financial assets are initially measured at fair value plus or minus, for an item not at fair value through profit or loss ("FVTPL") transaction costs that are directly attributable to its acquisition or issue. After the initial measurement, the gains and losses are either recognized in profit and loss, or recognized in other comprehensive income.</w:t>
      </w:r>
    </w:p>
    <w:p>
      <w:pPr>
        <w:spacing w:after="0" w:line="130" w:lineRule="exact"/>
        <w:rPr>
          <w:sz w:val="20"/>
          <w:szCs w:val="20"/>
          <w:color w:val="auto"/>
        </w:rPr>
      </w:pPr>
    </w:p>
    <w:p>
      <w:pPr>
        <w:jc w:val="both"/>
        <w:ind w:right="420"/>
        <w:spacing w:after="0" w:line="264"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458470</wp:posOffset>
            </wp:positionV>
            <wp:extent cx="71589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89" w:lineRule="exact"/>
        <w:rPr>
          <w:sz w:val="20"/>
          <w:szCs w:val="20"/>
          <w:color w:val="auto"/>
        </w:rPr>
      </w:pPr>
    </w:p>
    <w:p>
      <w:pPr>
        <w:jc w:val="both"/>
        <w:ind w:right="280"/>
        <w:spacing w:after="0" w:line="264"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2023, the Group had the following financial assets to be measured at amortized cost:</w:t>
      </w:r>
    </w:p>
    <w:p>
      <w:pPr>
        <w:spacing w:after="0" w:line="178" w:lineRule="exact"/>
        <w:rPr>
          <w:sz w:val="20"/>
          <w:szCs w:val="20"/>
          <w:color w:val="auto"/>
        </w:rPr>
      </w:pPr>
    </w:p>
    <w:p>
      <w:pPr>
        <w:ind w:left="1140" w:hanging="444"/>
        <w:spacing w:after="0"/>
        <w:tabs>
          <w:tab w:leader="none" w:pos="1140" w:val="left"/>
        </w:tabs>
        <w:numPr>
          <w:ilvl w:val="0"/>
          <w:numId w:val="132"/>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pacing w:after="0" w:line="204"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32"/>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76"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78" w:lineRule="exact"/>
        <w:rPr>
          <w:sz w:val="20"/>
          <w:szCs w:val="20"/>
          <w:color w:val="auto"/>
        </w:rPr>
      </w:pPr>
    </w:p>
    <w:p>
      <w:pPr>
        <w:ind w:right="740"/>
        <w:spacing w:after="0" w:line="283"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91" w:lineRule="exact"/>
        <w:rPr>
          <w:sz w:val="20"/>
          <w:szCs w:val="20"/>
          <w:color w:val="auto"/>
        </w:rPr>
      </w:pPr>
    </w:p>
    <w:p>
      <w:pPr>
        <w:ind w:right="700"/>
        <w:spacing w:after="0" w:line="283"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Pre-funded warrants are classified as equity and are largely paid upfront. The pre-funded warrants can be converted into ordinary shares upon exercise of the warrant, which requires payment of a nominal exercise price to the Company at the time of exercise.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1589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1" w:lineRule="exact"/>
        <w:rPr>
          <w:sz w:val="20"/>
          <w:szCs w:val="20"/>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4" w:lineRule="exact"/>
        <w:rPr>
          <w:sz w:val="20"/>
          <w:szCs w:val="20"/>
          <w:color w:val="auto"/>
        </w:rPr>
      </w:pPr>
    </w:p>
    <w:p>
      <w:pPr>
        <w:ind w:right="740"/>
        <w:spacing w:after="0" w:line="283"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1" w:lineRule="exact"/>
        <w:rPr>
          <w:sz w:val="20"/>
          <w:szCs w:val="20"/>
          <w:color w:val="auto"/>
        </w:rPr>
      </w:pPr>
    </w:p>
    <w:p>
      <w:pPr>
        <w:ind w:left="1020" w:hanging="504"/>
        <w:spacing w:after="0"/>
        <w:tabs>
          <w:tab w:leader="none" w:pos="1020" w:val="left"/>
        </w:tabs>
        <w:numPr>
          <w:ilvl w:val="0"/>
          <w:numId w:val="134"/>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1" w:lineRule="exact"/>
        <w:rPr>
          <w:sz w:val="20"/>
          <w:szCs w:val="20"/>
          <w:color w:val="auto"/>
        </w:rPr>
      </w:pPr>
    </w:p>
    <w:p>
      <w:pPr>
        <w:ind w:left="1020" w:hanging="504"/>
        <w:spacing w:after="0"/>
        <w:tabs>
          <w:tab w:leader="none" w:pos="102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3"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6"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78"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or tax planning opportunities are available to the Company that will create taxable profit in appropriate periods against which the temporary differences and/or tax losses carried forward can be utilized. IAS 12 states that it is ‘probable’ that there will be sufficient taxable profit if a deductible temporary difference can be offset against a taxable temporary difference (deferred tax liability) relating to the same tax authority and the same taxable entity which will reverse in the same period as the asset, or in a period into which a loss arising from the asset may be carried back or forward.</w:t>
      </w:r>
    </w:p>
    <w:p>
      <w:pPr>
        <w:spacing w:after="0" w:line="15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allocating the recognition and derecognition of DTAs on losses carried forward within a jurisdiction between equity and profit or loss (considering backward tracing), it is the Company’s accounting policy to use a so-called vertical approach instead of a horizontal one to offset results of the current year with carry forward losses of previous years. That means the carry forward losses initially accounted for in profit or loss (equity) are used to offset current year gains accounted for in profit or loss (equity) first insofar available. Any remaining gains accounted for in profit or loss (equity) are offset with losses accounted for in equity (profit or loss) of the same year, and carry forward losses initially accounted for in equity (profit or loss).</w:t>
      </w:r>
    </w:p>
    <w:p>
      <w:pPr>
        <w:spacing w:after="0" w:line="13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458470</wp:posOffset>
            </wp:positionV>
            <wp:extent cx="71589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9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Service vesting condition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 The tax effect of issued restricted stock units is debited to accumulated losses.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2023 or 2022. See Note 3 for information relating to research and development expenses incurred in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Group’s consolidated statements of loss and comprehensive loss as expenses when incurred.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89"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consolidated statements of loss and comprehensive loss in the period in which they are incurred, and outstanding contributions are included in other payables.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17 Insurance Contracts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May 2017, the IASB issued IFRS 17 Insurance Contracts, a comprehensive new accounting standard for insurance contracts covering recognition and measurement, presentation and disclosure. Once effective, IFRS 17 will replace IFRS 4 Insurance Contracts. In June 2020, the IASB issued amendments to IFRS 17. These amendments included changing the effective date to 2023. Effective for annual periods beginning on or after January 1, 2023. The amendments do not have a material impact on the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of Accounting Estimates - Amendments to IAS 8</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February 2021, the Board issued amendments to IAS 8, in which it introduces a new definition of ‘accounting estimates’. The amendments clarify the distinction between changes in accounting estimates and changes in accounting policies and the correction of errors. Also, they clarify how entities use measurement techniques and inputs to develop accounting estimates. Effective for annual periods beginning on or after January 1, 2023. The amendments do not have a material impact on the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 of Accounting Policies (Amendments to IAS 1 and IFRS Practice Statement 2)</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amendments require that an entity discloses its material accounting policies, instead of its significant accounting policies. Further amendments explain how an entity can identify a material accounting policy. Examples of when an accounting policy is likely to be material are added. To support the amendment, the Board has also developed guidance and examples to explain and demonstrate the application of the ‘four-step materiality process’ described in IFRS Practice Statement 2.</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are effective for annual reporting periods beginning on or after January 1,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related to Assets and Liabilities arising from a single transaction</w:t>
      </w:r>
    </w:p>
    <w:p>
      <w:pPr>
        <w:spacing w:after="0" w:line="176"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On May 7, 2021 the IASB issued Deferred Tax related to Assets and Liabilities arising from a Single Transaction (Amendments to IAS 12), which specifies how companies should account for deferred tax on transactions such as leases and decommissioning obligations as</w:t>
      </w:r>
    </w:p>
    <w:p>
      <w:pPr>
        <w:sectPr>
          <w:pgSz w:w="11900" w:h="16838" w:orient="portrait"/>
          <w:cols w:equalWidth="0" w:num="1">
            <w:col w:w="11200"/>
          </w:cols>
          <w:pgMar w:left="320" w:top="769" w:right="37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1589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of initial recognition. The amendments clarify that the initial recognition exemption does not apply to transactions in which equal amounts of deductible and taxable temporary differences arise on initial recognition. Therefore, companies are required to recognize the deferred tax effects thereon to the extent that the related assets or liabilities provide for offsetting temporary differences upon recognition date. The amendments are effective for annual reporting periods beginning on or after January 1, 2023, with early application permitted. The amendments do not have a material impact on the Group.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Amendments to IAS 1: Classification of Liabilities as Current or Non-current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2" w:lineRule="exact"/>
        <w:rPr>
          <w:sz w:val="20"/>
          <w:szCs w:val="20"/>
          <w:color w:val="auto"/>
        </w:rPr>
      </w:pPr>
    </w:p>
    <w:p>
      <w:pPr>
        <w:ind w:left="1140" w:hanging="444"/>
        <w:spacing w:after="0"/>
        <w:tabs>
          <w:tab w:leader="none" w:pos="114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What is meant by a right to defer settlement</w:t>
      </w:r>
    </w:p>
    <w:p>
      <w:pPr>
        <w:spacing w:after="0" w:line="204"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That a right to defer must exist at the end of the reporting period</w:t>
      </w:r>
    </w:p>
    <w:p>
      <w:pPr>
        <w:spacing w:after="0" w:line="190"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190" w:lineRule="exact"/>
        <w:rPr>
          <w:rFonts w:ascii="Times New Roman" w:cs="Times New Roman" w:eastAsia="Times New Roman" w:hAnsi="Times New Roman"/>
          <w:sz w:val="16"/>
          <w:szCs w:val="16"/>
          <w:color w:val="auto"/>
        </w:rPr>
      </w:pPr>
    </w:p>
    <w:p>
      <w:pPr>
        <w:ind w:left="1140" w:right="800" w:hanging="444"/>
        <w:spacing w:after="0" w:line="282" w:lineRule="auto"/>
        <w:tabs>
          <w:tab w:leader="none" w:pos="114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30"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amendments are effective for annual reporting periods beginning on or after January 1, 2023 and must be applied retrospectively. The amendments do not have a material impact on the Group.</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 Tax Reform — Pillar Two Model Rules (Amendments to IAS 12)</w:t>
      </w:r>
    </w:p>
    <w:p>
      <w:pPr>
        <w:spacing w:after="0" w:line="176"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May 2023, the International Accounting Standards Board (the IASB or Board) issued International Tax Reform—Pillar Two Model Rules – Amendments to IAS 12 (the Amendments) to clarify the application of IAS 12 Income Taxes to income taxes arising from tax law enacted or substantively enacted to implement the Organisation for Economic Co-operation and Development (OECD)/G20 Inclusive Framework on Base Erosion and Profit Shifting (BEPS) Pillar Two model rules (Pillar Two) income taxes. The application of the exception to recognize deferred tax balances with regard to Pillar Two rules and disclosure of that fact is effective immediately, the other disclosure requirements are effective for annual reporting periods beginning on or after 1 January 2023, but not required in any interim financial statements for 2023. The amendments do not have a material impact on the Group.</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Non-current Liabilities with Covenants (Amendments to IAS 1)</w:t>
      </w:r>
    </w:p>
    <w:p>
      <w:pPr>
        <w:spacing w:after="0" w:line="17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On October 31, 2022, the IASB issued amendments to IAS 1 - Non-current Liabilities with Covenants. The amendment clarifies how conditions with which an entity must comply within twelve months after the reporting period affect the classification of a liability. The amendment is effective for reporting periods beginning on or after January 1, 2024. The amendments are not expected to have a material impact on the Group.</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are not expected to have a material impact on the Group.</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458470</wp:posOffset>
            </wp:positionV>
            <wp:extent cx="71589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changes or circumstances arising that are beyond the control of the Group. Such changes are reflected in the assumptions when they occur.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3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165"/>
        </w:trPr>
        <w:tc>
          <w:tcPr>
            <w:tcW w:w="3800" w:type="dxa"/>
            <w:vAlign w:val="bottom"/>
          </w:tcPr>
          <w:p>
            <w:pPr>
              <w:spacing w:after="0"/>
              <w:rPr>
                <w:sz w:val="14"/>
                <w:szCs w:val="14"/>
                <w:color w:val="auto"/>
              </w:rPr>
            </w:pPr>
          </w:p>
        </w:tc>
        <w:tc>
          <w:tcPr>
            <w:tcW w:w="17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r>
      <w:tr>
        <w:trPr>
          <w:trHeight w:val="154"/>
        </w:trPr>
        <w:tc>
          <w:tcPr>
            <w:tcW w:w="380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08"/>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(19,132,307 )</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(13,334,350 )</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(7,988,096 )</w:t>
            </w:r>
          </w:p>
        </w:tc>
      </w:tr>
      <w:tr>
        <w:trPr>
          <w:trHeight w:val="214"/>
        </w:trPr>
        <w:tc>
          <w:tcPr>
            <w:tcW w:w="3800" w:type="dxa"/>
            <w:vAlign w:val="bottom"/>
          </w:tcPr>
          <w:p>
            <w:pPr>
              <w:spacing w:after="0"/>
              <w:rPr>
                <w:sz w:val="20"/>
                <w:szCs w:val="20"/>
                <w:color w:val="auto"/>
              </w:rPr>
            </w:pPr>
            <w:r>
              <w:rPr>
                <w:rFonts w:ascii="Arial" w:cs="Arial" w:eastAsia="Arial" w:hAnsi="Arial"/>
                <w:sz w:val="16"/>
                <w:szCs w:val="16"/>
                <w:color w:val="auto"/>
              </w:rPr>
              <w:t>Clinical expenses</w:t>
            </w: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(30,690,293 )</w:t>
            </w: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(27,653,658 )</w:t>
            </w: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(16,944,557 )</w:t>
            </w: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Nonclinical expenses</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(8,977,187 )</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(4,853,822 )</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(3,891,479 )</w:t>
            </w:r>
          </w:p>
        </w:tc>
      </w:tr>
      <w:tr>
        <w:trPr>
          <w:trHeight w:val="214"/>
        </w:trPr>
        <w:tc>
          <w:tcPr>
            <w:tcW w:w="3800" w:type="dxa"/>
            <w:vAlign w:val="bottom"/>
          </w:tcPr>
          <w:p>
            <w:pPr>
              <w:spacing w:after="0"/>
              <w:rPr>
                <w:sz w:val="20"/>
                <w:szCs w:val="20"/>
                <w:color w:val="auto"/>
              </w:rPr>
            </w:pPr>
            <w:r>
              <w:rPr>
                <w:rFonts w:ascii="Arial" w:cs="Arial" w:eastAsia="Arial" w:hAnsi="Arial"/>
                <w:sz w:val="16"/>
                <w:szCs w:val="16"/>
                <w:color w:val="auto"/>
              </w:rPr>
              <w:t>Manufacturing costs</w:t>
            </w: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(6,500,986 )</w:t>
            </w: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(11,181,355 )</w:t>
            </w: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(6,325,068 )</w:t>
            </w: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(500,000 )</w:t>
            </w:r>
          </w:p>
        </w:tc>
      </w:tr>
      <w:tr>
        <w:trPr>
          <w:trHeight w:val="214"/>
        </w:trPr>
        <w:tc>
          <w:tcPr>
            <w:tcW w:w="380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(274,257 )</w:t>
            </w: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(352,389 )</w:t>
            </w: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(139,966 )</w:t>
            </w:r>
          </w:p>
        </w:tc>
      </w:tr>
      <w:tr>
        <w:trPr>
          <w:trHeight w:val="20"/>
        </w:trPr>
        <w:tc>
          <w:tcPr>
            <w:tcW w:w="38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38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(65,575,030 )</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(57,375,574 )</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(35,789,166 )</w:t>
            </w: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-24765</wp:posOffset>
            </wp:positionV>
            <wp:extent cx="596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-7620</wp:posOffset>
            </wp:positionV>
            <wp:extent cx="596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-24765</wp:posOffset>
            </wp:positionV>
            <wp:extent cx="596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-7620</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-24765</wp:posOffset>
            </wp:positionV>
            <wp:extent cx="508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-7620</wp:posOffset>
            </wp:positionV>
            <wp:extent cx="508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54"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License costs consist of a milestone payment of €0.5 million during 2021, which was paid to AnalytiCon upon commencement of Phase 2 development.</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28" w:lineRule="exact"/>
        <w:rPr>
          <w:sz w:val="20"/>
          <w:szCs w:val="20"/>
          <w:color w:val="auto"/>
        </w:rPr>
      </w:pPr>
    </w:p>
    <w:tbl>
      <w:tblPr>
        <w:tblLayout w:type="fixed"/>
        <w:tblInd w:w="74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1920" w:type="dxa"/>
            <w:vAlign w:val="bottom"/>
            <w:tcBorders>
              <w:bottom w:val="single" w:sz="8" w:color="auto"/>
            </w:tcBorders>
          </w:tcPr>
          <w:p>
            <w:pPr>
              <w:jc w:val="right"/>
              <w:ind w:right="74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900" w:type="dxa"/>
            <w:vAlign w:val="bottom"/>
            <w:tcBorders>
              <w:bottom w:val="single" w:sz="8" w:color="auto"/>
            </w:tcBorders>
          </w:tcPr>
          <w:p>
            <w:pPr>
              <w:jc w:val="right"/>
              <w:ind w:right="74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4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4"/>
        </w:trPr>
        <w:tc>
          <w:tcPr>
            <w:tcW w:w="3820" w:type="dxa"/>
            <w:vAlign w:val="bottom"/>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r>
      <w:tr>
        <w:trPr>
          <w:trHeight w:val="208"/>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 (Note 5)</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(13,314,359 )</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(13,484,996 )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(7,033,913 )</w:t>
            </w:r>
          </w:p>
        </w:tc>
      </w:tr>
      <w:tr>
        <w:trPr>
          <w:trHeight w:val="214"/>
        </w:trPr>
        <w:tc>
          <w:tcPr>
            <w:tcW w:w="382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(602,110 )</w:t>
            </w:r>
          </w:p>
        </w:tc>
        <w:tc>
          <w:tcPr>
            <w:tcW w:w="2000" w:type="dxa"/>
            <w:vAlign w:val="bottom"/>
            <w:gridSpan w:val="2"/>
          </w:tcPr>
          <w:p>
            <w:pPr>
              <w:jc w:val="right"/>
              <w:ind w:right="40"/>
              <w:spacing w:after="0"/>
              <w:rPr>
                <w:sz w:val="20"/>
                <w:szCs w:val="20"/>
                <w:color w:val="auto"/>
              </w:rPr>
            </w:pPr>
            <w:r>
              <w:rPr>
                <w:rFonts w:ascii="Arial" w:cs="Arial" w:eastAsia="Arial" w:hAnsi="Arial"/>
                <w:sz w:val="16"/>
                <w:szCs w:val="16"/>
                <w:color w:val="auto"/>
              </w:rPr>
              <w:t>(898,435 )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(757,233 )</w:t>
            </w:r>
          </w:p>
        </w:tc>
      </w:tr>
      <w:tr>
        <w:trPr>
          <w:trHeight w:val="215"/>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Professional fees</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(4,689,462 )</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(3,972,771 )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(2,868,684 )</w:t>
            </w:r>
          </w:p>
        </w:tc>
      </w:tr>
      <w:tr>
        <w:trPr>
          <w:trHeight w:val="214"/>
        </w:trPr>
        <w:tc>
          <w:tcPr>
            <w:tcW w:w="382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(2,029,554 )</w:t>
            </w:r>
          </w:p>
        </w:tc>
        <w:tc>
          <w:tcPr>
            <w:tcW w:w="2000" w:type="dxa"/>
            <w:vAlign w:val="bottom"/>
            <w:gridSpan w:val="2"/>
          </w:tcPr>
          <w:p>
            <w:pPr>
              <w:jc w:val="right"/>
              <w:ind w:right="40"/>
              <w:spacing w:after="0"/>
              <w:rPr>
                <w:sz w:val="20"/>
                <w:szCs w:val="20"/>
                <w:color w:val="auto"/>
              </w:rPr>
            </w:pPr>
            <w:r>
              <w:rPr>
                <w:rFonts w:ascii="Arial" w:cs="Arial" w:eastAsia="Arial" w:hAnsi="Arial"/>
                <w:sz w:val="16"/>
                <w:szCs w:val="16"/>
                <w:color w:val="auto"/>
              </w:rPr>
              <w:t>(1,652,995 )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(1,306,714 )</w:t>
            </w:r>
          </w:p>
        </w:tc>
      </w:tr>
      <w:tr>
        <w:trPr>
          <w:trHeight w:val="215"/>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Insurance, facilities and office expenses</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(6,031,513 )</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(6,443,709 )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(5,648,763 )</w:t>
            </w:r>
          </w:p>
        </w:tc>
      </w:tr>
      <w:tr>
        <w:trPr>
          <w:trHeight w:val="214"/>
        </w:trPr>
        <w:tc>
          <w:tcPr>
            <w:tcW w:w="3820" w:type="dxa"/>
            <w:vAlign w:val="bottom"/>
          </w:tcPr>
          <w:p>
            <w:pPr>
              <w:ind w:left="20"/>
              <w:spacing w:after="0"/>
              <w:rPr>
                <w:sz w:val="20"/>
                <w:szCs w:val="20"/>
                <w:color w:val="auto"/>
              </w:rPr>
            </w:pPr>
            <w:r>
              <w:rPr>
                <w:rFonts w:ascii="Arial" w:cs="Arial" w:eastAsia="Arial" w:hAnsi="Arial"/>
                <w:sz w:val="16"/>
                <w:szCs w:val="16"/>
                <w:color w:val="auto"/>
              </w:rPr>
              <w:t>Travel expenses</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(1,797,588 )</w:t>
            </w:r>
          </w:p>
        </w:tc>
        <w:tc>
          <w:tcPr>
            <w:tcW w:w="2000" w:type="dxa"/>
            <w:vAlign w:val="bottom"/>
            <w:gridSpan w:val="2"/>
          </w:tcPr>
          <w:p>
            <w:pPr>
              <w:jc w:val="right"/>
              <w:ind w:right="40"/>
              <w:spacing w:after="0"/>
              <w:rPr>
                <w:sz w:val="20"/>
                <w:szCs w:val="20"/>
                <w:color w:val="auto"/>
              </w:rPr>
            </w:pPr>
            <w:r>
              <w:rPr>
                <w:rFonts w:ascii="Arial" w:cs="Arial" w:eastAsia="Arial" w:hAnsi="Arial"/>
                <w:sz w:val="16"/>
                <w:szCs w:val="16"/>
                <w:color w:val="auto"/>
              </w:rPr>
              <w:t>(1,105,961 )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(143,582 )</w:t>
            </w:r>
          </w:p>
        </w:tc>
      </w:tr>
      <w:tr>
        <w:trPr>
          <w:trHeight w:val="214"/>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expenses</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(2,874,004 )</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(1,780,167 )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(590,571 )</w:t>
            </w:r>
          </w:p>
        </w:tc>
      </w:tr>
      <w:tr>
        <w:trPr>
          <w:trHeight w:val="20"/>
        </w:trPr>
        <w:tc>
          <w:tcPr>
            <w:tcW w:w="382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382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(31,338,590 )</w:t>
            </w:r>
          </w:p>
        </w:tc>
        <w:tc>
          <w:tcPr>
            <w:tcW w:w="2000" w:type="dxa"/>
            <w:vAlign w:val="bottom"/>
            <w:gridSpan w:val="2"/>
          </w:tcPr>
          <w:p>
            <w:pPr>
              <w:jc w:val="right"/>
              <w:ind w:right="40"/>
              <w:spacing w:after="0"/>
              <w:rPr>
                <w:sz w:val="20"/>
                <w:szCs w:val="20"/>
                <w:color w:val="auto"/>
              </w:rPr>
            </w:pPr>
            <w:r>
              <w:rPr>
                <w:rFonts w:ascii="Arial" w:cs="Arial" w:eastAsia="Arial" w:hAnsi="Arial"/>
                <w:sz w:val="16"/>
                <w:szCs w:val="16"/>
                <w:color w:val="auto"/>
              </w:rPr>
              <w:t>(29,339,034 )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(18,349,460 )</w:t>
            </w:r>
          </w:p>
        </w:tc>
      </w:tr>
      <w:tr>
        <w:trPr>
          <w:trHeight w:val="20"/>
        </w:trPr>
        <w:tc>
          <w:tcPr>
            <w:tcW w:w="38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-169545</wp:posOffset>
            </wp:positionV>
            <wp:extent cx="679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-169545</wp:posOffset>
            </wp:positionV>
            <wp:extent cx="59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-169545</wp:posOffset>
            </wp:positionV>
            <wp:extent cx="596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1589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Depreciation expense of €0.06 million (2022: €0.04 million; 2021: €0.08 million), which relate to property, plant and equipment and leases and is included in the 'Other expenses' line.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3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r>
      <w:tr>
        <w:trPr>
          <w:trHeight w:val="154"/>
        </w:trPr>
        <w:tc>
          <w:tcPr>
            <w:tcW w:w="480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0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Wages and salaries</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(18,746,645 )</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(13,408,411 )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(6,080,098 )</w:t>
            </w:r>
          </w:p>
        </w:tc>
      </w:tr>
      <w:tr>
        <w:trPr>
          <w:trHeight w:val="214"/>
        </w:trPr>
        <w:tc>
          <w:tcPr>
            <w:tcW w:w="4800" w:type="dxa"/>
            <w:vAlign w:val="bottom"/>
          </w:tcPr>
          <w:p>
            <w:pPr>
              <w:spacing w:after="0"/>
              <w:rPr>
                <w:sz w:val="20"/>
                <w:szCs w:val="20"/>
                <w:color w:val="auto"/>
              </w:rPr>
            </w:pPr>
            <w:r>
              <w:rPr>
                <w:rFonts w:ascii="Arial" w:cs="Arial" w:eastAsia="Arial" w:hAnsi="Arial"/>
                <w:sz w:val="16"/>
                <w:szCs w:val="16"/>
                <w:color w:val="auto"/>
              </w:rPr>
              <w:t>Pension charges</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(1,156,028 )</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(803,460 )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(251,667 )</w:t>
            </w: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(1,880,767 )</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(1,258,275 )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(493,857 )</w:t>
            </w:r>
          </w:p>
        </w:tc>
      </w:tr>
      <w:tr>
        <w:trPr>
          <w:trHeight w:val="214"/>
        </w:trPr>
        <w:tc>
          <w:tcPr>
            <w:tcW w:w="4800" w:type="dxa"/>
            <w:vAlign w:val="bottom"/>
          </w:tcPr>
          <w:p>
            <w:pPr>
              <w:spacing w:after="0"/>
              <w:rPr>
                <w:sz w:val="20"/>
                <w:szCs w:val="20"/>
                <w:color w:val="auto"/>
              </w:rPr>
            </w:pPr>
            <w:r>
              <w:rPr>
                <w:rFonts w:ascii="Arial" w:cs="Arial" w:eastAsia="Arial" w:hAnsi="Arial"/>
                <w:sz w:val="16"/>
                <w:szCs w:val="16"/>
                <w:color w:val="auto"/>
              </w:rPr>
              <w:t>Share-based payments</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(10,663,226 )</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(11,349,200 )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(8,196,387 )</w:t>
            </w:r>
          </w:p>
        </w:tc>
      </w:tr>
      <w:tr>
        <w:trPr>
          <w:trHeight w:val="20"/>
        </w:trPr>
        <w:tc>
          <w:tcPr>
            <w:tcW w:w="4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48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(32,446,666 )</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(26,819,346 )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(15,022,010 )</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-24765</wp:posOffset>
            </wp:positionV>
            <wp:extent cx="596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-7620</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-24765</wp:posOffset>
            </wp:positionV>
            <wp:extent cx="508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-7620</wp:posOffset>
            </wp:positionV>
            <wp:extent cx="508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2023 was 82 (2022: 65; 2021: 34).</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differences</w:t>
            </w: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(3,116,662 )</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11,100,392</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11,760,469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Interest income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224,494</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(16,105 )</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(267,510 )</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 finance expenses</w:t>
            </w: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(20,475 )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(23,149 )</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(14,995 )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(2,912,643 )</w:t>
            </w:r>
          </w:p>
        </w:tc>
        <w:tc>
          <w:tcPr>
            <w:tcW w:w="1080" w:type="dxa"/>
            <w:vAlign w:val="bottom"/>
          </w:tcPr>
          <w:p>
            <w:pPr>
              <w:jc w:val="right"/>
              <w:spacing w:after="0"/>
              <w:rPr>
                <w:sz w:val="20"/>
                <w:szCs w:val="20"/>
                <w:color w:val="auto"/>
              </w:rPr>
            </w:pPr>
            <w:r>
              <w:rPr>
                <w:rFonts w:ascii="Arial" w:cs="Arial" w:eastAsia="Arial" w:hAnsi="Arial"/>
                <w:sz w:val="16"/>
                <w:szCs w:val="16"/>
                <w:color w:val="auto"/>
              </w:rPr>
              <w:t>11,061,138</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11,477,964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Other finance expenses are mainly related to bank charges.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460" w:type="dxa"/>
            <w:vAlign w:val="bottom"/>
            <w:gridSpan w:val="2"/>
          </w:tcPr>
          <w:p>
            <w:pPr>
              <w:spacing w:after="0"/>
              <w:rPr>
                <w:sz w:val="20"/>
                <w:szCs w:val="20"/>
                <w:color w:val="auto"/>
              </w:rPr>
            </w:pPr>
            <w:r>
              <w:rPr>
                <w:rFonts w:ascii="Arial" w:cs="Arial" w:eastAsia="Arial" w:hAnsi="Arial"/>
                <w:sz w:val="16"/>
                <w:szCs w:val="16"/>
                <w:b w:val="1"/>
                <w:bCs w:val="1"/>
                <w:color w:val="auto"/>
              </w:rPr>
              <w:t>7. Income taxes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4"/>
                <w:szCs w:val="24"/>
                <w:color w:val="auto"/>
              </w:rPr>
            </w:pPr>
          </w:p>
        </w:tc>
        <w:tc>
          <w:tcPr>
            <w:tcW w:w="108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 expense</w:t>
            </w: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(473,623 )</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(757,413 )</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(131,921 )</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Deferred tax (charge) benefit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(575,182 )</w:t>
            </w:r>
          </w:p>
        </w:tc>
        <w:tc>
          <w:tcPr>
            <w:tcW w:w="1080" w:type="dxa"/>
            <w:vAlign w:val="bottom"/>
          </w:tcPr>
          <w:p>
            <w:pPr>
              <w:jc w:val="right"/>
              <w:spacing w:after="0"/>
              <w:rPr>
                <w:sz w:val="20"/>
                <w:szCs w:val="20"/>
                <w:color w:val="auto"/>
              </w:rPr>
            </w:pPr>
            <w:r>
              <w:rPr>
                <w:rFonts w:ascii="Arial" w:cs="Arial" w:eastAsia="Arial" w:hAnsi="Arial"/>
                <w:sz w:val="16"/>
                <w:szCs w:val="16"/>
                <w:color w:val="auto"/>
              </w:rPr>
              <w:t>78,326</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61,804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 (expense)</w:t>
            </w: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(1,048,805 )</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(679,087 )</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(70,117 )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-1395095</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-1395095</wp:posOffset>
            </wp:positionV>
            <wp:extent cx="508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-1395095</wp:posOffset>
            </wp:positionV>
            <wp:extent cx="508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596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59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-24765</wp:posOffset>
            </wp:positionV>
            <wp:extent cx="596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-7620</wp:posOffset>
            </wp:positionV>
            <wp:extent cx="59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0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current tax expenses for the years ended December 31, 2023, 2022 and 2021 relates to the Company's U.S. and Dutch subsidiaries as the result of a cost-plus agreement between the U.S. and Dutch entities and the Group's principal entity in Switzerland resulting in a taxable profit in the U.S. and the Netherlands. For December 31, 2021 it is fully related to the Company's U.S. subsidiary. For the year ended December 31, 2023, a tax benefit of €0.7 million is additionally directly recognized in equity (2022: €0.3 million; 2021: €Nil)</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r>
      <w:tr>
        <w:trPr>
          <w:trHeight w:val="208"/>
        </w:trPr>
        <w:tc>
          <w:tcPr>
            <w:tcW w:w="52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r>
      <w:tr>
        <w:trPr>
          <w:trHeight w:val="208"/>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(99,826,263 )</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(75,653,470 )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(42,660,662 )</w:t>
            </w:r>
          </w:p>
        </w:tc>
      </w:tr>
      <w:tr>
        <w:trPr>
          <w:trHeight w:val="187"/>
        </w:trPr>
        <w:tc>
          <w:tcPr>
            <w:tcW w:w="5240" w:type="dxa"/>
            <w:vAlign w:val="bottom"/>
          </w:tcPr>
          <w:p>
            <w:pPr>
              <w:spacing w:after="0"/>
              <w:rPr>
                <w:sz w:val="20"/>
                <w:szCs w:val="20"/>
                <w:color w:val="auto"/>
              </w:rPr>
            </w:pPr>
            <w:r>
              <w:rPr>
                <w:rFonts w:ascii="Arial" w:cs="Arial" w:eastAsia="Arial" w:hAnsi="Arial"/>
                <w:sz w:val="16"/>
                <w:szCs w:val="16"/>
                <w:color w:val="auto"/>
              </w:rPr>
              <w:t>Income tax at statutory income tax rate in The Netherlands (2023: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25.8%; 2022 &amp; 2021: 25%)</w:t>
            </w:r>
          </w:p>
        </w:tc>
        <w:tc>
          <w:tcPr>
            <w:tcW w:w="1140" w:type="dxa"/>
            <w:vAlign w:val="bottom"/>
          </w:tcPr>
          <w:p>
            <w:pPr>
              <w:jc w:val="right"/>
              <w:spacing w:after="0"/>
              <w:rPr>
                <w:sz w:val="20"/>
                <w:szCs w:val="20"/>
                <w:color w:val="auto"/>
              </w:rPr>
            </w:pPr>
            <w:r>
              <w:rPr>
                <w:rFonts w:ascii="Arial" w:cs="Arial" w:eastAsia="Arial" w:hAnsi="Arial"/>
                <w:sz w:val="16"/>
                <w:szCs w:val="16"/>
                <w:color w:val="auto"/>
              </w:rPr>
              <w:t>25,755,176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19,518,595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10,665,166</w:t>
            </w:r>
          </w:p>
        </w:tc>
        <w:tc>
          <w:tcPr>
            <w:tcW w:w="80" w:type="dxa"/>
            <w:vAlign w:val="bottom"/>
          </w:tcPr>
          <w:p>
            <w:pPr>
              <w:spacing w:after="0"/>
              <w:rPr>
                <w:sz w:val="18"/>
                <w:szCs w:val="18"/>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Effect of tax rates in other countries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(14,334,369 )</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(10,823,383 )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(7,482,832 )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Derecognition of previously unrecognized deferred tax assets</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(58,506 )</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(554,853 )</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Current period losses for which no deferred tax asset has been</w:t>
            </w: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recognized</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(14,771,877 )</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(9,184,919 )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(2,910,890 )</w:t>
            </w:r>
          </w:p>
        </w:tc>
      </w:tr>
      <w:tr>
        <w:trPr>
          <w:trHeight w:val="214"/>
        </w:trPr>
        <w:tc>
          <w:tcPr>
            <w:tcW w:w="5240" w:type="dxa"/>
            <w:vAlign w:val="bottom"/>
          </w:tcPr>
          <w:p>
            <w:pPr>
              <w:spacing w:after="0"/>
              <w:rPr>
                <w:sz w:val="20"/>
                <w:szCs w:val="20"/>
                <w:color w:val="auto"/>
              </w:rPr>
            </w:pPr>
            <w:r>
              <w:rPr>
                <w:rFonts w:ascii="Arial" w:cs="Arial" w:eastAsia="Arial" w:hAnsi="Arial"/>
                <w:sz w:val="16"/>
                <w:szCs w:val="16"/>
                <w:color w:val="auto"/>
              </w:rPr>
              <w:t>Nondeductible expenses</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(458,482 )</w:t>
            </w:r>
          </w:p>
        </w:tc>
        <w:tc>
          <w:tcPr>
            <w:tcW w:w="1160" w:type="dxa"/>
            <w:vAlign w:val="bottom"/>
          </w:tcPr>
          <w:p>
            <w:pPr>
              <w:jc w:val="right"/>
              <w:spacing w:after="0"/>
              <w:rPr>
                <w:sz w:val="20"/>
                <w:szCs w:val="20"/>
                <w:color w:val="auto"/>
              </w:rPr>
            </w:pPr>
            <w:r>
              <w:rPr>
                <w:rFonts w:ascii="Arial" w:cs="Arial" w:eastAsia="Arial" w:hAnsi="Arial"/>
                <w:sz w:val="16"/>
                <w:szCs w:val="16"/>
                <w:color w:val="auto"/>
              </w:rPr>
              <w:t>383,153</w:t>
            </w: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(353,543 )</w:t>
            </w:r>
          </w:p>
        </w:tc>
      </w:tr>
      <w:tr>
        <w:trPr>
          <w:trHeight w:val="214"/>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Prior period adjustments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2,819,253</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(17,680 )</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11,982</w:t>
            </w:r>
          </w:p>
        </w:tc>
        <w:tc>
          <w:tcPr>
            <w:tcW w:w="80" w:type="dxa"/>
            <w:vAlign w:val="bottom"/>
            <w:shd w:val="clear" w:color="auto" w:fill="CFF0FC"/>
          </w:tcPr>
          <w:p>
            <w:pPr>
              <w:spacing w:after="0"/>
              <w:rPr>
                <w:sz w:val="18"/>
                <w:szCs w:val="18"/>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6"/>
                <w:szCs w:val="16"/>
                <w:color w:val="auto"/>
              </w:rPr>
              <w:t>Income tax benefit / (expense)</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(1,048,805 )</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(679,087 )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(70,117 )</w:t>
            </w:r>
          </w:p>
        </w:tc>
      </w:tr>
      <w:tr>
        <w:trPr>
          <w:trHeight w:val="20"/>
        </w:trPr>
        <w:tc>
          <w:tcPr>
            <w:tcW w:w="5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-169545</wp:posOffset>
            </wp:positionV>
            <wp:extent cx="596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-169545</wp:posOffset>
            </wp:positionV>
            <wp:extent cx="508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-169545</wp:posOffset>
            </wp:positionV>
            <wp:extent cx="508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2023 is (1.1)% (2022: (0.9)%; 2021: (0.2)%).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and in the Netherlands.</w:t>
      </w:r>
    </w:p>
    <w:p>
      <w:pPr>
        <w:sectPr>
          <w:pgSz w:w="11900" w:h="16838" w:orient="portrait"/>
          <w:cols w:equalWidth="0" w:num="1">
            <w:col w:w="11160"/>
          </w:cols>
          <w:pgMar w:left="320" w:top="769" w:right="419" w:bottom="948" w:gutter="0" w:footer="0" w:header="0"/>
        </w:sect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1589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769" w:right="419" w:bottom="948"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7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losses carry forward losses of the Dutch fiscal unity that are lower than estimated in the previous year. The Company did not recognize the tax benefit of the losses incurred in previous years.</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Group has tax loss carry-forwards as of December 31, 2023 of approximately €325.0 million (2022: €182.3 million; 2021: €95.7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€1.0 million). Under Swiss law, losses can be offset against future income or capital gains for seven years.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tcPr>
          <w:p>
            <w:pPr>
              <w:jc w:val="right"/>
              <w:ind w:right="444"/>
              <w:spacing w:after="0"/>
              <w:rPr>
                <w:sz w:val="20"/>
                <w:szCs w:val="20"/>
                <w:color w:val="auto"/>
              </w:rPr>
            </w:pPr>
            <w:r>
              <w:rPr>
                <w:rFonts w:ascii="Arial" w:cs="Arial" w:eastAsia="Arial" w:hAnsi="Arial"/>
                <w:sz w:val="13"/>
                <w:szCs w:val="13"/>
                <w:b w:val="1"/>
                <w:bCs w:val="1"/>
                <w:color w:val="auto"/>
              </w:rPr>
              <w:t>Switzerland</w:t>
            </w:r>
          </w:p>
        </w:tc>
        <w:tc>
          <w:tcPr>
            <w:tcW w:w="220" w:type="dxa"/>
            <w:vAlign w:val="bottom"/>
          </w:tcPr>
          <w:p>
            <w:pPr>
              <w:spacing w:after="0"/>
              <w:rPr>
                <w:sz w:val="14"/>
                <w:szCs w:val="14"/>
                <w:color w:val="auto"/>
              </w:rPr>
            </w:pPr>
          </w:p>
        </w:tc>
        <w:tc>
          <w:tcPr>
            <w:tcW w:w="1700" w:type="dxa"/>
            <w:vAlign w:val="bottom"/>
          </w:tcPr>
          <w:p>
            <w:pPr>
              <w:jc w:val="right"/>
              <w:ind w:right="405"/>
              <w:spacing w:after="0"/>
              <w:rPr>
                <w:sz w:val="20"/>
                <w:szCs w:val="20"/>
                <w:color w:val="auto"/>
              </w:rPr>
            </w:pPr>
            <w:r>
              <w:rPr>
                <w:rFonts w:ascii="Arial" w:cs="Arial" w:eastAsia="Arial" w:hAnsi="Arial"/>
                <w:sz w:val="13"/>
                <w:szCs w:val="13"/>
                <w:b w:val="1"/>
                <w:bCs w:val="1"/>
                <w:color w:val="auto"/>
              </w:rPr>
              <w:t>Netherlands</w:t>
            </w:r>
          </w:p>
        </w:tc>
        <w:tc>
          <w:tcPr>
            <w:tcW w:w="220" w:type="dxa"/>
            <w:vAlign w:val="bottom"/>
          </w:tcPr>
          <w:p>
            <w:pPr>
              <w:spacing w:after="0"/>
              <w:rPr>
                <w:sz w:val="14"/>
                <w:szCs w:val="14"/>
                <w:color w:val="auto"/>
              </w:rPr>
            </w:pPr>
          </w:p>
        </w:tc>
        <w:tc>
          <w:tcPr>
            <w:tcW w:w="1800" w:type="dxa"/>
            <w:vAlign w:val="bottom"/>
            <w:gridSpan w:val="2"/>
          </w:tcPr>
          <w:p>
            <w:pPr>
              <w:ind w:left="540"/>
              <w:spacing w:after="0"/>
              <w:rPr>
                <w:sz w:val="20"/>
                <w:szCs w:val="20"/>
                <w:color w:val="auto"/>
              </w:rPr>
            </w:pPr>
            <w:r>
              <w:rPr>
                <w:rFonts w:ascii="Arial" w:cs="Arial" w:eastAsia="Arial" w:hAnsi="Arial"/>
                <w:sz w:val="13"/>
                <w:szCs w:val="13"/>
                <w:b w:val="1"/>
                <w:bCs w:val="1"/>
                <w:color w:val="auto"/>
              </w:rPr>
              <w:t>Tax losses</w:t>
            </w:r>
          </w:p>
        </w:tc>
      </w:tr>
      <w:tr>
        <w:trPr>
          <w:trHeight w:val="141"/>
        </w:trPr>
        <w:tc>
          <w:tcPr>
            <w:tcW w:w="20" w:type="dxa"/>
            <w:vAlign w:val="bottom"/>
          </w:tcPr>
          <w:p>
            <w:pPr>
              <w:spacing w:after="0"/>
              <w:rPr>
                <w:sz w:val="12"/>
                <w:szCs w:val="12"/>
                <w:color w:val="auto"/>
              </w:rPr>
            </w:pPr>
          </w:p>
        </w:tc>
        <w:tc>
          <w:tcPr>
            <w:tcW w:w="55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Year</w:t>
            </w:r>
          </w:p>
        </w:tc>
        <w:tc>
          <w:tcPr>
            <w:tcW w:w="1720" w:type="dxa"/>
            <w:vAlign w:val="bottom"/>
            <w:tcBorders>
              <w:top w:val="single" w:sz="8" w:color="auto"/>
            </w:tcBorders>
          </w:tcPr>
          <w:p>
            <w:pPr>
              <w:jc w:val="right"/>
              <w:ind w:right="524"/>
              <w:spacing w:after="0" w:line="141" w:lineRule="exact"/>
              <w:rPr>
                <w:sz w:val="20"/>
                <w:szCs w:val="20"/>
                <w:color w:val="auto"/>
              </w:rPr>
            </w:pPr>
            <w:r>
              <w:rPr>
                <w:rFonts w:ascii="Arial" w:cs="Arial" w:eastAsia="Arial" w:hAnsi="Arial"/>
                <w:sz w:val="13"/>
                <w:szCs w:val="13"/>
                <w:b w:val="1"/>
                <w:bCs w:val="1"/>
                <w:color w:val="auto"/>
              </w:rPr>
              <w:t>€ million</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right"/>
              <w:ind w:right="525"/>
              <w:spacing w:after="0" w:line="141" w:lineRule="exact"/>
              <w:rPr>
                <w:sz w:val="20"/>
                <w:szCs w:val="20"/>
                <w:color w:val="auto"/>
              </w:rPr>
            </w:pPr>
            <w:r>
              <w:rPr>
                <w:rFonts w:ascii="Arial" w:cs="Arial" w:eastAsia="Arial" w:hAnsi="Arial"/>
                <w:sz w:val="13"/>
                <w:szCs w:val="13"/>
                <w:b w:val="1"/>
                <w:bCs w:val="1"/>
                <w:color w:val="auto"/>
              </w:rPr>
              <w:t>€ million</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right"/>
              <w:ind w:right="529"/>
              <w:spacing w:after="0" w:line="141" w:lineRule="exact"/>
              <w:rPr>
                <w:sz w:val="20"/>
                <w:szCs w:val="20"/>
                <w:color w:val="auto"/>
              </w:rPr>
            </w:pPr>
            <w:r>
              <w:rPr>
                <w:rFonts w:ascii="Arial" w:cs="Arial" w:eastAsia="Arial" w:hAnsi="Arial"/>
                <w:sz w:val="13"/>
                <w:szCs w:val="13"/>
                <w:b w:val="1"/>
                <w:bCs w:val="1"/>
                <w:color w:val="auto"/>
              </w:rPr>
              <w:t>€ million</w:t>
            </w:r>
          </w:p>
        </w:tc>
        <w:tc>
          <w:tcPr>
            <w:tcW w:w="1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30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2027</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4"/>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2028</w:t>
            </w:r>
          </w:p>
        </w:tc>
        <w:tc>
          <w:tcPr>
            <w:tcW w:w="1720" w:type="dxa"/>
            <w:vAlign w:val="bottom"/>
          </w:tcPr>
          <w:p>
            <w:pPr>
              <w:jc w:val="right"/>
              <w:spacing w:after="0"/>
              <w:rPr>
                <w:sz w:val="20"/>
                <w:szCs w:val="20"/>
                <w:color w:val="auto"/>
              </w:rPr>
            </w:pPr>
            <w:r>
              <w:rPr>
                <w:rFonts w:ascii="Arial" w:cs="Arial" w:eastAsia="Arial" w:hAnsi="Arial"/>
                <w:sz w:val="16"/>
                <w:szCs w:val="16"/>
                <w:color w:val="auto"/>
              </w:rPr>
              <w:t>103,332,348</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103,332,348</w:t>
            </w:r>
          </w:p>
        </w:tc>
        <w:tc>
          <w:tcPr>
            <w:tcW w:w="100" w:type="dxa"/>
            <w:vAlign w:val="bottom"/>
          </w:tcPr>
          <w:p>
            <w:pPr>
              <w:spacing w:after="0"/>
              <w:rPr>
                <w:sz w:val="18"/>
                <w:szCs w:val="18"/>
                <w:color w:val="auto"/>
              </w:rPr>
            </w:pPr>
          </w:p>
        </w:tc>
      </w:tr>
      <w:tr>
        <w:trPr>
          <w:trHeight w:val="215"/>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87,214,172</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87,214,172</w:t>
            </w:r>
          </w:p>
        </w:tc>
        <w:tc>
          <w:tcPr>
            <w:tcW w:w="100" w:type="dxa"/>
            <w:vAlign w:val="bottom"/>
            <w:shd w:val="clear" w:color="auto" w:fill="CFF0FC"/>
          </w:tcPr>
          <w:p>
            <w:pPr>
              <w:spacing w:after="0"/>
              <w:rPr>
                <w:sz w:val="18"/>
                <w:szCs w:val="18"/>
                <w:color w:val="auto"/>
              </w:rPr>
            </w:pPr>
          </w:p>
        </w:tc>
      </w:tr>
      <w:tr>
        <w:trPr>
          <w:trHeight w:val="214"/>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2030</w:t>
            </w:r>
          </w:p>
        </w:tc>
        <w:tc>
          <w:tcPr>
            <w:tcW w:w="1720" w:type="dxa"/>
            <w:vAlign w:val="bottom"/>
          </w:tcPr>
          <w:p>
            <w:pPr>
              <w:jc w:val="right"/>
              <w:spacing w:after="0"/>
              <w:rPr>
                <w:sz w:val="20"/>
                <w:szCs w:val="20"/>
                <w:color w:val="auto"/>
              </w:rPr>
            </w:pPr>
            <w:r>
              <w:rPr>
                <w:rFonts w:ascii="Arial" w:cs="Arial" w:eastAsia="Arial" w:hAnsi="Arial"/>
                <w:sz w:val="16"/>
                <w:szCs w:val="16"/>
                <w:color w:val="auto"/>
              </w:rPr>
              <w:t>103,751,019</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103,751,019</w:t>
            </w:r>
          </w:p>
        </w:tc>
        <w:tc>
          <w:tcPr>
            <w:tcW w:w="100" w:type="dxa"/>
            <w:vAlign w:val="bottom"/>
          </w:tcPr>
          <w:p>
            <w:pPr>
              <w:spacing w:after="0"/>
              <w:rPr>
                <w:sz w:val="18"/>
                <w:szCs w:val="18"/>
                <w:color w:val="auto"/>
              </w:rPr>
            </w:pPr>
          </w:p>
        </w:tc>
      </w:tr>
      <w:tr>
        <w:trPr>
          <w:trHeight w:val="214"/>
        </w:trPr>
        <w:tc>
          <w:tcPr>
            <w:tcW w:w="5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Unlimited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30,737,684</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30,737,684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Total carry-forward losses</w:t>
            </w:r>
          </w:p>
        </w:tc>
        <w:tc>
          <w:tcPr>
            <w:tcW w:w="1720" w:type="dxa"/>
            <w:vAlign w:val="bottom"/>
          </w:tcPr>
          <w:p>
            <w:pPr>
              <w:jc w:val="right"/>
              <w:spacing w:after="0"/>
              <w:rPr>
                <w:sz w:val="20"/>
                <w:szCs w:val="20"/>
                <w:color w:val="auto"/>
              </w:rPr>
            </w:pPr>
            <w:r>
              <w:rPr>
                <w:rFonts w:ascii="Arial" w:cs="Arial" w:eastAsia="Arial" w:hAnsi="Arial"/>
                <w:sz w:val="16"/>
                <w:szCs w:val="16"/>
                <w:color w:val="auto"/>
              </w:rPr>
              <w:t>294,297,539</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30,737,684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325,035,223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-169545</wp:posOffset>
            </wp:positionV>
            <wp:extent cx="679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-169545</wp:posOffset>
            </wp:positionV>
            <wp:extent cx="6794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1"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 Deductible temporary tax differences for which a deferred tax asset of €0.4 million was recognized relate to the personnel bonuses accrual and are expected to revert within 12 months post balance sheet date.</w:t>
      </w:r>
    </w:p>
    <w:p>
      <w:pPr>
        <w:spacing w:after="0" w:line="70"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4"/>
              </w:rPr>
              <w:t>Fixed</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Non-current</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provisions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00" w:type="dxa"/>
            <w:vAlign w:val="bottom"/>
            <w:gridSpan w:val="2"/>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shd w:val="clear" w:color="auto" w:fill="CFF0FC"/>
          </w:tcPr>
          <w:p>
            <w:pPr>
              <w:jc w:val="center"/>
              <w:ind w:right="20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At January 1, 2023</w:t>
            </w:r>
          </w:p>
        </w:tc>
        <w:tc>
          <w:tcPr>
            <w:tcW w:w="1180" w:type="dxa"/>
            <w:vAlign w:val="bottom"/>
          </w:tcPr>
          <w:p>
            <w:pPr>
              <w:jc w:val="right"/>
              <w:spacing w:after="0"/>
              <w:rPr>
                <w:sz w:val="20"/>
                <w:szCs w:val="20"/>
                <w:color w:val="auto"/>
              </w:rPr>
            </w:pPr>
            <w:r>
              <w:rPr>
                <w:rFonts w:ascii="Arial" w:cs="Arial" w:eastAsia="Arial" w:hAnsi="Arial"/>
                <w:sz w:val="16"/>
                <w:szCs w:val="16"/>
                <w:color w:val="auto"/>
              </w:rPr>
              <w:t>1,792,382</w:t>
            </w: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301,852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2,094,234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 Comprehensive (loss)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(37,609 )</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111,064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(12,716 )</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(12,716 )</w:t>
            </w:r>
          </w:p>
        </w:tc>
        <w:tc>
          <w:tcPr>
            <w:tcW w:w="0" w:type="dxa"/>
            <w:vAlign w:val="bottom"/>
          </w:tcPr>
          <w:p>
            <w:pPr>
              <w:spacing w:after="0"/>
              <w:rPr>
                <w:sz w:val="1"/>
                <w:szCs w:val="1"/>
                <w:color w:val="auto"/>
              </w:rPr>
            </w:pPr>
          </w:p>
        </w:tc>
      </w:tr>
      <w:tr>
        <w:trPr>
          <w:trHeight w:val="208"/>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At December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1,754,773</w:t>
            </w:r>
          </w:p>
        </w:tc>
        <w:tc>
          <w:tcPr>
            <w:tcW w:w="24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gridSpan w:val="2"/>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400,200</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2,154,973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At January 1, 2023</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(42,048 )</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(1,792,383 )</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(1,834,431 )</w:t>
            </w: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 Comprehensive income (loss)</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37,610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At December 31, 2023</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(12,671 )</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(1,754,773 )</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(1,767,444 )</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2023</w:t>
            </w:r>
          </w:p>
        </w:tc>
        <w:tc>
          <w:tcPr>
            <w:tcW w:w="118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387,529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4"/>
                <w:szCs w:val="2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4"/>
              </w:rPr>
              <w:t>Fixed</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Non-current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provisions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00" w:type="dxa"/>
            <w:vAlign w:val="bottom"/>
            <w:gridSpan w:val="2"/>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tcPr>
          <w:p>
            <w:pPr>
              <w:jc w:val="center"/>
              <w:ind w:right="20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January 1, 2022</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1,909,916</w:t>
            </w: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238,508</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2,148,424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(117,534 )</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49,354</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(68,180 )</w:t>
            </w: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13,990</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December 31, 2022</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1,792,382</w:t>
            </w: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301,852</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January 1, 2022</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(66,456 )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(1,909,916 )</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(1,976,372 )</w:t>
            </w: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117,533</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(4,564 )</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(4,564 )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December 31, 2022</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(42,048 )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(1,792,383 )</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(1,834,431 )</w:t>
            </w:r>
          </w:p>
        </w:tc>
        <w:tc>
          <w:tcPr>
            <w:tcW w:w="0" w:type="dxa"/>
            <w:vAlign w:val="bottom"/>
          </w:tcPr>
          <w:p>
            <w:pPr>
              <w:spacing w:after="0"/>
              <w:rPr>
                <w:sz w:val="1"/>
                <w:szCs w:val="1"/>
                <w:color w:val="auto"/>
              </w:rPr>
            </w:pPr>
          </w:p>
        </w:tc>
      </w:tr>
      <w:tr>
        <w:trPr>
          <w:trHeight w:val="208"/>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Net deferred tax assets at December 31, 2022</w:t>
            </w: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-3412490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-3412490</wp:posOffset>
            </wp:positionV>
            <wp:extent cx="6794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-3412490</wp:posOffset>
            </wp:positionV>
            <wp:extent cx="6794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-3412490</wp:posOffset>
            </wp:positionV>
            <wp:extent cx="6794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-2578735</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-2578735</wp:posOffset>
            </wp:positionV>
            <wp:extent cx="6794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-2578735</wp:posOffset>
            </wp:positionV>
            <wp:extent cx="679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-2578735</wp:posOffset>
            </wp:positionV>
            <wp:extent cx="6794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-2289175</wp:posOffset>
            </wp:positionV>
            <wp:extent cx="6794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-2272030</wp:posOffset>
            </wp:positionV>
            <wp:extent cx="6794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-1003935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-1003935</wp:posOffset>
            </wp:positionV>
            <wp:extent cx="6794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-1003935</wp:posOffset>
            </wp:positionV>
            <wp:extent cx="6794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-1003935</wp:posOffset>
            </wp:positionV>
            <wp:extent cx="679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-169545</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-169545</wp:posOffset>
            </wp:positionV>
            <wp:extent cx="679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-169545</wp:posOffset>
            </wp:positionV>
            <wp:extent cx="679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total unrecognized deferred tax assets from temporary differences amounts to €11.0 million for the year ended December 31, 2023, (2022: €8.7 million;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2021: €23.8 million).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Notes</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4"/>
                <w:szCs w:val="14"/>
                <w:color w:val="auto"/>
              </w:rPr>
            </w:pPr>
          </w:p>
        </w:tc>
      </w:tr>
      <w:tr>
        <w:trPr>
          <w:trHeight w:val="154"/>
        </w:trPr>
        <w:tc>
          <w:tcPr>
            <w:tcW w:w="6420" w:type="dxa"/>
            <w:vAlign w:val="bottom"/>
            <w:gridSpan w:val="2"/>
          </w:tcPr>
          <w:p>
            <w:pPr>
              <w:spacing w:after="0"/>
              <w:rPr>
                <w:sz w:val="20"/>
                <w:szCs w:val="20"/>
                <w:color w:val="auto"/>
              </w:rPr>
            </w:pPr>
            <w:r>
              <w:rPr>
                <w:rFonts w:ascii="Arial" w:cs="Arial" w:eastAsia="Arial" w:hAnsi="Arial"/>
                <w:sz w:val="13"/>
                <w:szCs w:val="13"/>
                <w:b w:val="1"/>
                <w:bCs w:val="1"/>
                <w:color w:val="auto"/>
              </w:rPr>
              <w:t>Net book value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80" w:type="dxa"/>
            <w:vAlign w:val="bottom"/>
            <w:shd w:val="clear" w:color="auto" w:fill="CFF0FC"/>
          </w:tcPr>
          <w:p>
            <w:pPr>
              <w:spacing w:after="0"/>
              <w:rPr>
                <w:sz w:val="18"/>
                <w:szCs w:val="18"/>
                <w:color w:val="auto"/>
              </w:rPr>
            </w:pPr>
          </w:p>
        </w:tc>
      </w:tr>
      <w:tr>
        <w:trPr>
          <w:trHeight w:val="214"/>
        </w:trPr>
        <w:tc>
          <w:tcPr>
            <w:tcW w:w="64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90,051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124,296</w:t>
            </w:r>
          </w:p>
        </w:tc>
        <w:tc>
          <w:tcPr>
            <w:tcW w:w="80" w:type="dxa"/>
            <w:vAlign w:val="bottom"/>
          </w:tcPr>
          <w:p>
            <w:pPr>
              <w:spacing w:after="0"/>
              <w:rPr>
                <w:sz w:val="18"/>
                <w:szCs w:val="18"/>
                <w:color w:val="auto"/>
              </w:rPr>
            </w:pPr>
          </w:p>
        </w:tc>
      </w:tr>
      <w:tr>
        <w:trPr>
          <w:trHeight w:val="215"/>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(59,847 )</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(38,920 )</w:t>
            </w:r>
          </w:p>
        </w:tc>
      </w:tr>
      <w:tr>
        <w:trPr>
          <w:trHeight w:val="208"/>
        </w:trPr>
        <w:tc>
          <w:tcPr>
            <w:tcW w:w="642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223,678</w:t>
            </w: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193,474</w:t>
            </w:r>
          </w:p>
        </w:tc>
        <w:tc>
          <w:tcPr>
            <w:tcW w:w="8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6"/>
        </w:trPr>
        <w:tc>
          <w:tcPr>
            <w:tcW w:w="5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left="103"/>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24"/>
                <w:szCs w:val="24"/>
                <w:color w:val="auto"/>
              </w:rPr>
            </w:pPr>
          </w:p>
        </w:tc>
      </w:tr>
      <w:tr>
        <w:trPr>
          <w:trHeight w:val="154"/>
        </w:trPr>
        <w:tc>
          <w:tcPr>
            <w:tcW w:w="6420" w:type="dxa"/>
            <w:vAlign w:val="bottom"/>
            <w:gridSpan w:val="2"/>
          </w:tcPr>
          <w:p>
            <w:pPr>
              <w:spacing w:after="0"/>
              <w:rPr>
                <w:sz w:val="20"/>
                <w:szCs w:val="20"/>
                <w:color w:val="auto"/>
              </w:rPr>
            </w:pPr>
            <w:r>
              <w:rPr>
                <w:rFonts w:ascii="Arial" w:cs="Arial" w:eastAsia="Arial" w:hAnsi="Arial"/>
                <w:sz w:val="13"/>
                <w:szCs w:val="13"/>
                <w:b w:val="1"/>
                <w:bCs w:val="1"/>
                <w:color w:val="auto"/>
              </w:rPr>
              <w:t>Cumulative depreciation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(65,526 )</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(26,606 )</w:t>
            </w:r>
          </w:p>
        </w:tc>
      </w:tr>
      <w:tr>
        <w:trPr>
          <w:trHeight w:val="214"/>
        </w:trPr>
        <w:tc>
          <w:tcPr>
            <w:tcW w:w="64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(59,847 )</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(38,920 )</w:t>
            </w:r>
          </w:p>
        </w:tc>
      </w:tr>
      <w:tr>
        <w:trPr>
          <w:trHeight w:val="20"/>
        </w:trPr>
        <w:tc>
          <w:tcPr>
            <w:tcW w:w="5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(125,373 )</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(65,526 )</w:t>
            </w:r>
          </w:p>
        </w:tc>
      </w:tr>
      <w:tr>
        <w:trPr>
          <w:trHeight w:val="356"/>
        </w:trPr>
        <w:tc>
          <w:tcPr>
            <w:tcW w:w="582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Borders>
              <w:top w:val="single" w:sz="8" w:color="CFF0FC"/>
            </w:tcBorders>
          </w:tcPr>
          <w:p>
            <w:pPr>
              <w:spacing w:after="0"/>
              <w:rPr>
                <w:sz w:val="24"/>
                <w:szCs w:val="2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top w:val="single" w:sz="8" w:color="CFF0FC"/>
            </w:tcBorders>
          </w:tcPr>
          <w:p>
            <w:pPr>
              <w:spacing w:after="0"/>
              <w:rPr>
                <w:sz w:val="24"/>
                <w:szCs w:val="24"/>
                <w:color w:val="auto"/>
              </w:rPr>
            </w:pPr>
          </w:p>
        </w:tc>
      </w:tr>
      <w:tr>
        <w:trPr>
          <w:trHeight w:val="154"/>
        </w:trPr>
        <w:tc>
          <w:tcPr>
            <w:tcW w:w="6420" w:type="dxa"/>
            <w:vAlign w:val="bottom"/>
            <w:gridSpan w:val="2"/>
          </w:tcPr>
          <w:p>
            <w:pPr>
              <w:spacing w:after="0"/>
              <w:rPr>
                <w:sz w:val="20"/>
                <w:szCs w:val="20"/>
                <w:color w:val="auto"/>
              </w:rPr>
            </w:pPr>
            <w:r>
              <w:rPr>
                <w:rFonts w:ascii="Arial" w:cs="Arial" w:eastAsia="Arial" w:hAnsi="Arial"/>
                <w:sz w:val="13"/>
                <w:szCs w:val="13"/>
                <w:b w:val="1"/>
                <w:bCs w:val="1"/>
                <w:color w:val="auto"/>
              </w:rPr>
              <w:t>Cumulative Costs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6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259,000</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80" w:type="dxa"/>
            <w:vAlign w:val="bottom"/>
            <w:shd w:val="clear" w:color="auto" w:fill="CFF0FC"/>
          </w:tcPr>
          <w:p>
            <w:pPr>
              <w:spacing w:after="0"/>
              <w:rPr>
                <w:sz w:val="18"/>
                <w:szCs w:val="18"/>
                <w:color w:val="auto"/>
              </w:rPr>
            </w:pPr>
          </w:p>
        </w:tc>
      </w:tr>
      <w:tr>
        <w:trPr>
          <w:trHeight w:val="214"/>
        </w:trPr>
        <w:tc>
          <w:tcPr>
            <w:tcW w:w="64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90,051</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124,296</w:t>
            </w:r>
          </w:p>
        </w:tc>
        <w:tc>
          <w:tcPr>
            <w:tcW w:w="80" w:type="dxa"/>
            <w:vAlign w:val="bottom"/>
          </w:tcPr>
          <w:p>
            <w:pPr>
              <w:spacing w:after="0"/>
              <w:rPr>
                <w:sz w:val="18"/>
                <w:szCs w:val="18"/>
                <w:color w:val="auto"/>
              </w:rPr>
            </w:pPr>
          </w:p>
        </w:tc>
      </w:tr>
      <w:tr>
        <w:trPr>
          <w:trHeight w:val="248"/>
        </w:trPr>
        <w:tc>
          <w:tcPr>
            <w:tcW w:w="6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349,051</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259,000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-1769745</wp:posOffset>
            </wp:positionV>
            <wp:extent cx="596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-1769745</wp:posOffset>
            </wp:positionV>
            <wp:extent cx="508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-824865</wp:posOffset>
            </wp:positionV>
            <wp:extent cx="596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-807720</wp:posOffset>
            </wp:positionV>
            <wp:extent cx="59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-824865</wp:posOffset>
            </wp:positionV>
            <wp:extent cx="508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-807720</wp:posOffset>
            </wp:positionV>
            <wp:extent cx="508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596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508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508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67" w:lineRule="exact"/>
        <w:rPr>
          <w:sz w:val="20"/>
          <w:szCs w:val="20"/>
          <w:color w:val="auto"/>
        </w:rPr>
      </w:pPr>
    </w:p>
    <w:p>
      <w:pPr>
        <w:ind w:right="780"/>
        <w:spacing w:after="0" w:line="283" w:lineRule="auto"/>
        <w:rPr>
          <w:sz w:val="20"/>
          <w:szCs w:val="20"/>
          <w:color w:val="auto"/>
        </w:rPr>
      </w:pPr>
      <w:r>
        <w:rPr>
          <w:rFonts w:ascii="Arial" w:cs="Arial" w:eastAsia="Arial" w:hAnsi="Arial"/>
          <w:sz w:val="16"/>
          <w:szCs w:val="16"/>
          <w:color w:val="auto"/>
        </w:rPr>
        <w:t>During 2023, the Group acquired assets with a cost of €0.09 million (2022: €0.1 million; 2021: €0.08 million). The investments in property, plant and equipment, relate to equipment, tools and installations.</w:t>
      </w:r>
    </w:p>
    <w:p>
      <w:pPr>
        <w:sectPr>
          <w:pgSz w:w="11900" w:h="16838" w:orient="portrait"/>
          <w:cols w:equalWidth="0" w:num="1">
            <w:col w:w="11240"/>
          </w:cols>
          <w:pgMar w:left="320" w:top="769" w:right="339" w:bottom="7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1589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747"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20" w:type="dxa"/>
            <w:vAlign w:val="bottom"/>
            <w:gridSpan w:val="3"/>
          </w:tcPr>
          <w:p>
            <w:pPr>
              <w:jc w:val="center"/>
              <w:ind w:left="6771"/>
              <w:spacing w:after="0"/>
              <w:rPr>
                <w:sz w:val="20"/>
                <w:szCs w:val="20"/>
                <w:color w:val="auto"/>
              </w:rPr>
            </w:pPr>
            <w:r>
              <w:rPr>
                <w:rFonts w:ascii="Arial" w:cs="Arial" w:eastAsia="Arial" w:hAnsi="Arial"/>
                <w:sz w:val="13"/>
                <w:szCs w:val="13"/>
                <w:b w:val="1"/>
                <w:bCs w:val="1"/>
                <w:color w:val="auto"/>
                <w:w w:val="96"/>
              </w:rPr>
              <w:t>2023</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4"/>
                <w:szCs w:val="14"/>
                <w:color w:val="auto"/>
              </w:rPr>
            </w:pPr>
          </w:p>
        </w:tc>
      </w:tr>
      <w:tr>
        <w:trPr>
          <w:trHeight w:val="154"/>
        </w:trPr>
        <w:tc>
          <w:tcPr>
            <w:tcW w:w="17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170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432,965</w:t>
            </w: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80" w:type="dxa"/>
            <w:vAlign w:val="bottom"/>
            <w:shd w:val="clear" w:color="auto" w:fill="CFF0FC"/>
          </w:tcPr>
          <w:p>
            <w:pPr>
              <w:spacing w:after="0"/>
              <w:rPr>
                <w:sz w:val="18"/>
                <w:szCs w:val="18"/>
                <w:color w:val="auto"/>
              </w:rPr>
            </w:pP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(Disposals) / Additions</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(3,302 )</w:t>
            </w:r>
          </w:p>
        </w:tc>
        <w:tc>
          <w:tcPr>
            <w:tcW w:w="1620" w:type="dxa"/>
            <w:vAlign w:val="bottom"/>
          </w:tcPr>
          <w:p>
            <w:pPr>
              <w:jc w:val="right"/>
              <w:spacing w:after="0"/>
              <w:rPr>
                <w:sz w:val="20"/>
                <w:szCs w:val="20"/>
                <w:color w:val="auto"/>
              </w:rPr>
            </w:pPr>
            <w:r>
              <w:rPr>
                <w:rFonts w:ascii="Arial" w:cs="Arial" w:eastAsia="Arial" w:hAnsi="Arial"/>
                <w:sz w:val="16"/>
                <w:szCs w:val="16"/>
                <w:color w:val="auto"/>
              </w:rPr>
              <w:t>303,734</w:t>
            </w:r>
          </w:p>
        </w:tc>
        <w:tc>
          <w:tcPr>
            <w:tcW w:w="80" w:type="dxa"/>
            <w:vAlign w:val="bottom"/>
          </w:tcPr>
          <w:p>
            <w:pPr>
              <w:spacing w:after="0"/>
              <w:rPr>
                <w:sz w:val="18"/>
                <w:szCs w:val="18"/>
                <w:color w:val="auto"/>
              </w:rPr>
            </w:pPr>
          </w:p>
        </w:tc>
      </w:tr>
      <w:tr>
        <w:trPr>
          <w:trHeight w:val="214"/>
        </w:trPr>
        <w:tc>
          <w:tcPr>
            <w:tcW w:w="170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Depreciation charges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5"/>
              </w:rPr>
              <w:t>(197,770 )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(114,020 )</w:t>
            </w:r>
          </w:p>
        </w:tc>
      </w:tr>
      <w:tr>
        <w:trPr>
          <w:trHeight w:val="208"/>
        </w:trPr>
        <w:tc>
          <w:tcPr>
            <w:tcW w:w="17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231,893</w:t>
            </w:r>
          </w:p>
        </w:tc>
        <w:tc>
          <w:tcPr>
            <w:tcW w:w="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432,965</w:t>
            </w:r>
          </w:p>
        </w:tc>
        <w:tc>
          <w:tcPr>
            <w:tcW w:w="80" w:type="dxa"/>
            <w:vAlign w:val="bottom"/>
          </w:tcPr>
          <w:p>
            <w:pPr>
              <w:spacing w:after="0"/>
              <w:rPr>
                <w:sz w:val="18"/>
                <w:szCs w:val="18"/>
                <w:color w:val="auto"/>
              </w:rPr>
            </w:pPr>
          </w:p>
        </w:tc>
      </w:tr>
      <w:tr>
        <w:trPr>
          <w:trHeight w:val="20"/>
        </w:trPr>
        <w:tc>
          <w:tcPr>
            <w:tcW w:w="618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8"/>
        </w:trPr>
        <w:tc>
          <w:tcPr>
            <w:tcW w:w="7120" w:type="dxa"/>
            <w:vAlign w:val="bottom"/>
            <w:gridSpan w:val="3"/>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4"/>
        </w:trPr>
        <w:tc>
          <w:tcPr>
            <w:tcW w:w="7120" w:type="dxa"/>
            <w:vAlign w:val="bottom"/>
            <w:gridSpan w:val="3"/>
          </w:tcPr>
          <w:p>
            <w:pPr>
              <w:jc w:val="center"/>
              <w:ind w:left="6771"/>
              <w:spacing w:after="0"/>
              <w:rPr>
                <w:sz w:val="20"/>
                <w:szCs w:val="20"/>
                <w:color w:val="auto"/>
              </w:rPr>
            </w:pPr>
            <w:r>
              <w:rPr>
                <w:rFonts w:ascii="Arial" w:cs="Arial" w:eastAsia="Arial" w:hAnsi="Arial"/>
                <w:sz w:val="13"/>
                <w:szCs w:val="13"/>
                <w:b w:val="1"/>
                <w:bCs w:val="1"/>
                <w:color w:val="auto"/>
                <w:w w:val="96"/>
              </w:rPr>
              <w:t>2023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24"/>
                <w:szCs w:val="24"/>
                <w:color w:val="auto"/>
              </w:rPr>
            </w:pPr>
          </w:p>
        </w:tc>
      </w:tr>
      <w:tr>
        <w:trPr>
          <w:trHeight w:val="154"/>
        </w:trPr>
        <w:tc>
          <w:tcPr>
            <w:tcW w:w="17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1700" w:type="dxa"/>
            <w:vAlign w:val="bottom"/>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Office leases</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5"/>
              </w:rPr>
              <w:t>(238,905 )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(436,822 )</w:t>
            </w:r>
          </w:p>
        </w:tc>
      </w:tr>
      <w:tr>
        <w:trPr>
          <w:trHeight w:val="214"/>
        </w:trPr>
        <w:tc>
          <w:tcPr>
            <w:tcW w:w="17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Total lease liability</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(238,905 )</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(436,822 )</w:t>
            </w:r>
          </w:p>
        </w:tc>
      </w:tr>
      <w:tr>
        <w:trPr>
          <w:trHeight w:val="215"/>
        </w:trPr>
        <w:tc>
          <w:tcPr>
            <w:tcW w:w="170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95"/>
              </w:rPr>
              <w:t>(195,341 )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(187,404 )</w:t>
            </w:r>
          </w:p>
        </w:tc>
      </w:tr>
      <w:tr>
        <w:trPr>
          <w:trHeight w:val="20"/>
        </w:trPr>
        <w:tc>
          <w:tcPr>
            <w:tcW w:w="1700" w:type="dxa"/>
            <w:vAlign w:val="bottom"/>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9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(43,564 )</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(249,418 )</w:t>
            </w:r>
          </w:p>
        </w:tc>
      </w:tr>
      <w:tr>
        <w:trPr>
          <w:trHeight w:val="20"/>
        </w:trPr>
        <w:tc>
          <w:tcPr>
            <w:tcW w:w="1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-152400</wp:posOffset>
            </wp:positionV>
            <wp:extent cx="508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-152400</wp:posOffset>
            </wp:positionV>
            <wp:extent cx="425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2023:</w:t>
      </w:r>
    </w:p>
    <w:p>
      <w:pPr>
        <w:spacing w:after="0" w:line="312"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4620" w:type="dxa"/>
            <w:vAlign w:val="bottom"/>
          </w:tcPr>
          <w:p>
            <w:pPr>
              <w:spacing w:after="0"/>
              <w:rPr>
                <w:sz w:val="20"/>
                <w:szCs w:val="20"/>
                <w:color w:val="auto"/>
              </w:rPr>
            </w:pPr>
            <w:r>
              <w:rPr>
                <w:rFonts w:ascii="Arial" w:cs="Arial" w:eastAsia="Arial" w:hAnsi="Arial"/>
                <w:sz w:val="16"/>
                <w:szCs w:val="16"/>
                <w:b w:val="1"/>
                <w:bCs w:val="1"/>
                <w:color w:val="auto"/>
              </w:rPr>
              <w:t>Years ending December 31,</w:t>
            </w: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Leases</w:t>
            </w:r>
          </w:p>
        </w:tc>
      </w:tr>
      <w:tr>
        <w:trPr>
          <w:trHeight w:val="214"/>
        </w:trPr>
        <w:tc>
          <w:tcPr>
            <w:tcW w:w="4620" w:type="dxa"/>
            <w:vAlign w:val="bottom"/>
            <w:shd w:val="clear" w:color="auto" w:fill="CFF0FF"/>
          </w:tcPr>
          <w:p>
            <w:pPr>
              <w:ind w:left="3880"/>
              <w:spacing w:after="0"/>
              <w:rPr>
                <w:sz w:val="20"/>
                <w:szCs w:val="20"/>
                <w:color w:val="auto"/>
              </w:rPr>
            </w:pPr>
            <w:r>
              <w:rPr>
                <w:rFonts w:ascii="Arial" w:cs="Arial" w:eastAsia="Arial" w:hAnsi="Arial"/>
                <w:sz w:val="16"/>
                <w:szCs w:val="16"/>
                <w:color w:val="auto"/>
              </w:rPr>
              <w:t>2024</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158,458</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ind w:left="3880"/>
              <w:spacing w:after="0"/>
              <w:rPr>
                <w:sz w:val="20"/>
                <w:szCs w:val="20"/>
                <w:color w:val="auto"/>
              </w:rPr>
            </w:pPr>
            <w:r>
              <w:rPr>
                <w:rFonts w:ascii="Arial" w:cs="Arial" w:eastAsia="Arial" w:hAnsi="Arial"/>
                <w:sz w:val="16"/>
                <w:szCs w:val="16"/>
                <w:color w:val="auto"/>
              </w:rPr>
              <w:t>2025</w:t>
            </w:r>
          </w:p>
        </w:tc>
        <w:tc>
          <w:tcPr>
            <w:tcW w:w="1940" w:type="dxa"/>
            <w:vAlign w:val="bottom"/>
          </w:tcPr>
          <w:p>
            <w:pPr>
              <w:jc w:val="right"/>
              <w:spacing w:after="0"/>
              <w:rPr>
                <w:sz w:val="20"/>
                <w:szCs w:val="20"/>
                <w:color w:val="auto"/>
              </w:rPr>
            </w:pPr>
            <w:r>
              <w:rPr>
                <w:rFonts w:ascii="Arial" w:cs="Arial" w:eastAsia="Arial" w:hAnsi="Arial"/>
                <w:sz w:val="16"/>
                <w:szCs w:val="16"/>
                <w:color w:val="auto"/>
              </w:rPr>
              <w:t>96,250</w:t>
            </w:r>
          </w:p>
        </w:tc>
        <w:tc>
          <w:tcPr>
            <w:tcW w:w="60" w:type="dxa"/>
            <w:vAlign w:val="bottom"/>
          </w:tcPr>
          <w:p>
            <w:pPr>
              <w:spacing w:after="0"/>
              <w:rPr>
                <w:sz w:val="18"/>
                <w:szCs w:val="18"/>
                <w:color w:val="auto"/>
              </w:rPr>
            </w:pPr>
          </w:p>
        </w:tc>
      </w:tr>
      <w:tr>
        <w:trPr>
          <w:trHeight w:val="215"/>
        </w:trPr>
        <w:tc>
          <w:tcPr>
            <w:tcW w:w="4620" w:type="dxa"/>
            <w:vAlign w:val="bottom"/>
            <w:shd w:val="clear" w:color="auto" w:fill="CFF0FF"/>
          </w:tcPr>
          <w:p>
            <w:pPr>
              <w:ind w:left="3880"/>
              <w:spacing w:after="0"/>
              <w:rPr>
                <w:sz w:val="20"/>
                <w:szCs w:val="20"/>
                <w:color w:val="auto"/>
              </w:rPr>
            </w:pPr>
            <w:r>
              <w:rPr>
                <w:rFonts w:ascii="Arial" w:cs="Arial" w:eastAsia="Arial" w:hAnsi="Arial"/>
                <w:sz w:val="16"/>
                <w:szCs w:val="16"/>
                <w:color w:val="auto"/>
              </w:rPr>
              <w:t>2026</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Thereafter</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5"/>
        </w:trPr>
        <w:tc>
          <w:tcPr>
            <w:tcW w:w="4620" w:type="dxa"/>
            <w:vAlign w:val="bottom"/>
            <w:shd w:val="clear" w:color="auto" w:fill="CFF0FF"/>
          </w:tcPr>
          <w:p>
            <w:pPr>
              <w:spacing w:after="0"/>
              <w:rPr>
                <w:sz w:val="20"/>
                <w:szCs w:val="20"/>
                <w:color w:val="auto"/>
              </w:rPr>
            </w:pPr>
            <w:r>
              <w:rPr>
                <w:rFonts w:ascii="Arial" w:cs="Arial" w:eastAsia="Arial" w:hAnsi="Arial"/>
                <w:sz w:val="16"/>
                <w:szCs w:val="16"/>
                <w:color w:val="auto"/>
              </w:rPr>
              <w:t>Total lease payments</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254,708</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Less: imputed interest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15,803</w:t>
            </w:r>
          </w:p>
        </w:tc>
        <w:tc>
          <w:tcPr>
            <w:tcW w:w="60" w:type="dxa"/>
            <w:vAlign w:val="bottom"/>
          </w:tcPr>
          <w:p>
            <w:pPr>
              <w:spacing w:after="0"/>
              <w:rPr>
                <w:sz w:val="18"/>
                <w:szCs w:val="18"/>
                <w:color w:val="auto"/>
              </w:rPr>
            </w:pPr>
          </w:p>
        </w:tc>
      </w:tr>
      <w:tr>
        <w:trPr>
          <w:trHeight w:val="208"/>
        </w:trPr>
        <w:tc>
          <w:tcPr>
            <w:tcW w:w="4620" w:type="dxa"/>
            <w:vAlign w:val="bottom"/>
            <w:shd w:val="clear" w:color="auto" w:fill="CFF0FF"/>
          </w:tcPr>
          <w:p>
            <w:pPr>
              <w:spacing w:after="0"/>
              <w:rPr>
                <w:sz w:val="20"/>
                <w:szCs w:val="20"/>
                <w:color w:val="auto"/>
              </w:rPr>
            </w:pPr>
            <w:r>
              <w:rPr>
                <w:rFonts w:ascii="Arial" w:cs="Arial" w:eastAsia="Arial" w:hAnsi="Arial"/>
                <w:sz w:val="16"/>
                <w:szCs w:val="16"/>
                <w:color w:val="auto"/>
              </w:rPr>
              <w:t>Total lease liabilities</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238,905</w:t>
            </w:r>
          </w:p>
        </w:tc>
        <w:tc>
          <w:tcPr>
            <w:tcW w:w="60" w:type="dxa"/>
            <w:vAlign w:val="bottom"/>
            <w:shd w:val="clear" w:color="auto" w:fill="CFF0FF"/>
          </w:tcPr>
          <w:p>
            <w:pPr>
              <w:spacing w:after="0"/>
              <w:rPr>
                <w:sz w:val="18"/>
                <w:szCs w:val="18"/>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Current lease liabilities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195,341</w:t>
            </w:r>
          </w:p>
        </w:tc>
        <w:tc>
          <w:tcPr>
            <w:tcW w:w="60" w:type="dxa"/>
            <w:vAlign w:val="bottom"/>
          </w:tcPr>
          <w:p>
            <w:pPr>
              <w:spacing w:after="0"/>
              <w:rPr>
                <w:sz w:val="18"/>
                <w:szCs w:val="18"/>
                <w:color w:val="auto"/>
              </w:rPr>
            </w:pPr>
          </w:p>
        </w:tc>
      </w:tr>
      <w:tr>
        <w:trPr>
          <w:trHeight w:val="248"/>
        </w:trPr>
        <w:tc>
          <w:tcPr>
            <w:tcW w:w="4620" w:type="dxa"/>
            <w:vAlign w:val="bottom"/>
            <w:tcBorders>
              <w:bottom w:val="single" w:sz="8" w:color="CFF0FF"/>
            </w:tcBorders>
            <w:shd w:val="clear" w:color="auto" w:fill="CFF0FF"/>
          </w:tcPr>
          <w:p>
            <w:pPr>
              <w:spacing w:after="0"/>
              <w:rPr>
                <w:sz w:val="20"/>
                <w:szCs w:val="20"/>
                <w:color w:val="auto"/>
              </w:rPr>
            </w:pPr>
            <w:r>
              <w:rPr>
                <w:rFonts w:ascii="Arial" w:cs="Arial" w:eastAsia="Arial" w:hAnsi="Arial"/>
                <w:sz w:val="16"/>
                <w:szCs w:val="16"/>
                <w:color w:val="auto"/>
              </w:rPr>
              <w:t>Long-term lease liabilities</w:t>
            </w:r>
          </w:p>
        </w:tc>
        <w:tc>
          <w:tcPr>
            <w:tcW w:w="194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43,564</w:t>
            </w:r>
          </w:p>
        </w:tc>
        <w:tc>
          <w:tcPr>
            <w:tcW w:w="6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-24765</wp:posOffset>
            </wp:positionV>
            <wp:extent cx="342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-7620</wp:posOffset>
            </wp:positionV>
            <wp:extent cx="342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Office leases consists of a lease agreement entered into on June 1, 2021 for office space in Lexington, United States of America, or the U.S., and a lease entered into on December 1, 2022, for offices in Leiden, The Netherlands. Both leases have lease terms of three years and were assessed as being long-term.</w:t>
      </w:r>
    </w:p>
    <w:p>
      <w:pPr>
        <w:spacing w:after="0" w:line="184" w:lineRule="exact"/>
        <w:rPr>
          <w:sz w:val="20"/>
          <w:szCs w:val="20"/>
          <w:color w:val="auto"/>
        </w:rPr>
      </w:pPr>
    </w:p>
    <w:p>
      <w:pPr>
        <w:ind w:right="540"/>
        <w:spacing w:after="0" w:line="264" w:lineRule="auto"/>
        <w:rPr>
          <w:sz w:val="20"/>
          <w:szCs w:val="20"/>
          <w:color w:val="auto"/>
        </w:rPr>
      </w:pPr>
      <w:r>
        <w:rPr>
          <w:rFonts w:ascii="Arial" w:cs="Arial" w:eastAsia="Arial" w:hAnsi="Arial"/>
          <w:sz w:val="16"/>
          <w:szCs w:val="16"/>
          <w:color w:val="auto"/>
        </w:rPr>
        <w:t xml:space="preserve">The average incremental borrowing rate applied to the lease liabilities was 7.77% during the twelve months ended December 31, 2023 and 2022. Depreciation expense of €0.2 million, </w:t>
      </w:r>
      <w:r>
        <w:rPr>
          <w:rFonts w:ascii="Arial" w:cs="Arial" w:eastAsia="Arial" w:hAnsi="Arial"/>
          <w:sz w:val="16"/>
          <w:szCs w:val="16"/>
          <w:color w:val="252525"/>
        </w:rPr>
        <w:t>€0.1</w:t>
      </w:r>
      <w:r>
        <w:rPr>
          <w:rFonts w:ascii="Arial" w:cs="Arial" w:eastAsia="Arial" w:hAnsi="Arial"/>
          <w:sz w:val="16"/>
          <w:szCs w:val="16"/>
          <w:color w:val="auto"/>
        </w:rPr>
        <w:t xml:space="preserve"> million and </w:t>
      </w:r>
      <w:r>
        <w:rPr>
          <w:rFonts w:ascii="Arial" w:cs="Arial" w:eastAsia="Arial" w:hAnsi="Arial"/>
          <w:sz w:val="16"/>
          <w:szCs w:val="16"/>
          <w:color w:val="252525"/>
        </w:rPr>
        <w:t>€0.1 million</w:t>
      </w:r>
      <w:r>
        <w:rPr>
          <w:rFonts w:ascii="Arial" w:cs="Arial" w:eastAsia="Arial" w:hAnsi="Arial"/>
          <w:sz w:val="16"/>
          <w:szCs w:val="16"/>
          <w:color w:val="auto"/>
        </w:rPr>
        <w:t xml:space="preserve"> for the for the years ended December 31, 2023, 2022 and 2021, was incurred and is reflected in general and administrative expenses as determined by the underlying activities.</w:t>
      </w:r>
    </w:p>
    <w:p>
      <w:pPr>
        <w:spacing w:after="0" w:line="184" w:lineRule="exact"/>
        <w:rPr>
          <w:sz w:val="20"/>
          <w:szCs w:val="20"/>
          <w:color w:val="auto"/>
        </w:rPr>
      </w:pPr>
    </w:p>
    <w:p>
      <w:pPr>
        <w:ind w:right="580"/>
        <w:spacing w:after="0" w:line="283" w:lineRule="auto"/>
        <w:rPr>
          <w:sz w:val="20"/>
          <w:szCs w:val="20"/>
          <w:color w:val="auto"/>
        </w:rPr>
      </w:pPr>
      <w:r>
        <w:rPr>
          <w:rFonts w:ascii="Arial" w:cs="Arial" w:eastAsia="Arial" w:hAnsi="Arial"/>
          <w:sz w:val="16"/>
          <w:szCs w:val="16"/>
          <w:color w:val="252525"/>
        </w:rPr>
        <w:t xml:space="preserve">The total expense related to short-term and low-value leases in 2023 was €0.2 </w:t>
      </w:r>
      <w:r>
        <w:rPr>
          <w:rFonts w:ascii="Arial" w:cs="Arial" w:eastAsia="Arial" w:hAnsi="Arial"/>
          <w:sz w:val="16"/>
          <w:szCs w:val="16"/>
          <w:color w:val="000000"/>
        </w:rPr>
        <w:t>million</w:t>
      </w:r>
      <w:r>
        <w:rPr>
          <w:rFonts w:ascii="Arial" w:cs="Arial" w:eastAsia="Arial" w:hAnsi="Arial"/>
          <w:sz w:val="16"/>
          <w:szCs w:val="16"/>
          <w:color w:val="252525"/>
        </w:rPr>
        <w:t xml:space="preserve"> (2022: €0.3 </w:t>
      </w:r>
      <w:r>
        <w:rPr>
          <w:rFonts w:ascii="Arial" w:cs="Arial" w:eastAsia="Arial" w:hAnsi="Arial"/>
          <w:sz w:val="16"/>
          <w:szCs w:val="16"/>
          <w:color w:val="000000"/>
        </w:rPr>
        <w:t>million</w:t>
      </w:r>
      <w:r>
        <w:rPr>
          <w:rFonts w:ascii="Arial" w:cs="Arial" w:eastAsia="Arial" w:hAnsi="Arial"/>
          <w:sz w:val="16"/>
          <w:szCs w:val="16"/>
          <w:color w:val="252525"/>
        </w:rPr>
        <w:t xml:space="preserve">; 2021: €0.3 </w:t>
      </w:r>
      <w:r>
        <w:rPr>
          <w:rFonts w:ascii="Arial" w:cs="Arial" w:eastAsia="Arial" w:hAnsi="Arial"/>
          <w:sz w:val="16"/>
          <w:szCs w:val="16"/>
          <w:color w:val="000000"/>
        </w:rPr>
        <w:t>million</w:t>
      </w:r>
      <w:r>
        <w:rPr>
          <w:rFonts w:ascii="Arial" w:cs="Arial" w:eastAsia="Arial" w:hAnsi="Arial"/>
          <w:sz w:val="16"/>
          <w:szCs w:val="16"/>
          <w:color w:val="252525"/>
        </w:rPr>
        <w:t>) and is included in facility, communication, and office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2023, 2022 and 2021 were €0.2 million, €0.1 million and €0.1 million, respectively.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Arial" w:cs="Arial" w:eastAsia="Arial" w:hAnsi="Arial"/>
                <w:sz w:val="13"/>
                <w:szCs w:val="13"/>
                <w:b w:val="1"/>
                <w:bCs w:val="1"/>
                <w:color w:val="auto"/>
              </w:rPr>
              <w:t>2023</w:t>
            </w:r>
          </w:p>
        </w:tc>
        <w:tc>
          <w:tcPr>
            <w:tcW w:w="1820" w:type="dxa"/>
            <w:vAlign w:val="bottom"/>
            <w:gridSpan w:val="2"/>
          </w:tcPr>
          <w:p>
            <w:pPr>
              <w:jc w:val="right"/>
              <w:ind w:right="58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receivable</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615,538</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VAT receivables</w:t>
            </w:r>
          </w:p>
        </w:tc>
        <w:tc>
          <w:tcPr>
            <w:tcW w:w="1620" w:type="dxa"/>
            <w:vAlign w:val="bottom"/>
          </w:tcPr>
          <w:p>
            <w:pPr>
              <w:jc w:val="right"/>
              <w:spacing w:after="0"/>
              <w:rPr>
                <w:sz w:val="20"/>
                <w:szCs w:val="20"/>
                <w:color w:val="auto"/>
              </w:rPr>
            </w:pPr>
            <w:r>
              <w:rPr>
                <w:rFonts w:ascii="Arial" w:cs="Arial" w:eastAsia="Arial" w:hAnsi="Arial"/>
                <w:sz w:val="16"/>
                <w:szCs w:val="16"/>
                <w:color w:val="auto"/>
              </w:rPr>
              <w:t>423,486</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8"/>
                <w:szCs w:val="18"/>
                <w:color w:val="auto"/>
              </w:rPr>
            </w:pPr>
          </w:p>
        </w:tc>
      </w:tr>
      <w:tr>
        <w:trPr>
          <w:trHeight w:val="208"/>
        </w:trPr>
        <w:tc>
          <w:tcPr>
            <w:tcW w:w="77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1,039,024</w:t>
            </w:r>
          </w:p>
        </w:tc>
        <w:tc>
          <w:tcPr>
            <w:tcW w:w="2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1589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Other current assets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20" w:type="dxa"/>
            <w:vAlign w:val="bottom"/>
          </w:tcPr>
          <w:p>
            <w:pPr>
              <w:jc w:val="right"/>
              <w:ind w:right="587"/>
              <w:spacing w:after="0"/>
              <w:rPr>
                <w:sz w:val="20"/>
                <w:szCs w:val="20"/>
                <w:color w:val="auto"/>
              </w:rPr>
            </w:pPr>
            <w:r>
              <w:rPr>
                <w:rFonts w:ascii="Arial" w:cs="Arial" w:eastAsia="Arial" w:hAnsi="Arial"/>
                <w:sz w:val="13"/>
                <w:szCs w:val="13"/>
                <w:b w:val="1"/>
                <w:bCs w:val="1"/>
                <w:color w:val="auto"/>
              </w:rPr>
              <w:t>2023</w:t>
            </w:r>
          </w:p>
        </w:tc>
        <w:tc>
          <w:tcPr>
            <w:tcW w:w="1820" w:type="dxa"/>
            <w:vAlign w:val="bottom"/>
            <w:gridSpan w:val="2"/>
          </w:tcPr>
          <w:p>
            <w:pPr>
              <w:jc w:val="right"/>
              <w:ind w:right="58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4,959,889</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4,044,255</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620,815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582,589</w:t>
            </w:r>
          </w:p>
        </w:tc>
        <w:tc>
          <w:tcPr>
            <w:tcW w:w="100" w:type="dxa"/>
            <w:vAlign w:val="bottom"/>
          </w:tcPr>
          <w:p>
            <w:pPr>
              <w:spacing w:after="0"/>
              <w:rPr>
                <w:sz w:val="18"/>
                <w:szCs w:val="18"/>
                <w:color w:val="auto"/>
              </w:rPr>
            </w:pPr>
          </w:p>
        </w:tc>
      </w:tr>
      <w:tr>
        <w:trPr>
          <w:trHeight w:val="248"/>
        </w:trPr>
        <w:tc>
          <w:tcPr>
            <w:tcW w:w="77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5,580,704</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1"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Other assets per December 31, 2023 and 2022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Cash and cash equivalents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20" w:type="dxa"/>
            <w:vAlign w:val="bottom"/>
          </w:tcPr>
          <w:p>
            <w:pPr>
              <w:jc w:val="right"/>
              <w:ind w:right="589"/>
              <w:spacing w:after="0"/>
              <w:rPr>
                <w:sz w:val="20"/>
                <w:szCs w:val="20"/>
                <w:color w:val="auto"/>
              </w:rPr>
            </w:pPr>
            <w:r>
              <w:rPr>
                <w:rFonts w:ascii="Arial" w:cs="Arial" w:eastAsia="Arial" w:hAnsi="Arial"/>
                <w:sz w:val="13"/>
                <w:szCs w:val="13"/>
                <w:b w:val="1"/>
                <w:bCs w:val="1"/>
                <w:color w:val="auto"/>
              </w:rPr>
              <w:t>2023</w:t>
            </w:r>
          </w:p>
        </w:tc>
        <w:tc>
          <w:tcPr>
            <w:tcW w:w="1820" w:type="dxa"/>
            <w:vAlign w:val="bottom"/>
            <w:gridSpan w:val="3"/>
          </w:tcPr>
          <w:p>
            <w:pPr>
              <w:jc w:val="right"/>
              <w:ind w:right="5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391,231,637</w:t>
            </w: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-169545</wp:posOffset>
            </wp:positionV>
            <wp:extent cx="6794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-169545</wp:posOffset>
            </wp:positionV>
            <wp:extent cx="6794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 Of the cash on hand, €65,567 relates to guarantees.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1"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On December 31, 2023, the Company’s authorized share capital amounted to € 14.1 million divided into 58,750,000 ordinary shares and 58,750,000 preferred shares, each with a nominal value of (€0.12). As of December 31, 2023, the total number of issued and fully paid shares was 52,290,212 (2022: 33,816,459; 2021: 33,151,881). On December 31, 2023, the issued share capital totaled €6.3 million (2022: €4.1 million; 2021: €4.0 million).</w:t>
      </w:r>
    </w:p>
    <w:p>
      <w:pPr>
        <w:spacing w:after="0" w:line="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As of December 31, 2023, the Company has sold a total of 593,927 ordinary shares under the Sales Agreement generating total net proceeds of $9.8 million (€9.3 million), after deducting $0.3 million (€0.3 million), which was payable to Leerink Partners, LLC as commission in respect of such sales.</w:t>
      </w:r>
    </w:p>
    <w:p>
      <w:pPr>
        <w:spacing w:after="0" w:line="4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0" w:lineRule="exact"/>
        <w:rPr>
          <w:sz w:val="20"/>
          <w:szCs w:val="20"/>
          <w:color w:val="auto"/>
        </w:rPr>
      </w:pPr>
    </w:p>
    <w:p>
      <w:pPr>
        <w:jc w:val="both"/>
        <w:ind w:right="280"/>
        <w:spacing w:after="0" w:line="249"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tbl>
      <w:tblPr>
        <w:tblLayout w:type="fixed"/>
        <w:tblInd w:w="170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15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181"/>
        </w:trPr>
        <w:tc>
          <w:tcPr>
            <w:tcW w:w="4680" w:type="dxa"/>
            <w:vAlign w:val="bottom"/>
          </w:tcPr>
          <w:p>
            <w:pPr>
              <w:spacing w:after="0"/>
              <w:rPr>
                <w:sz w:val="15"/>
                <w:szCs w:val="15"/>
                <w:color w:val="auto"/>
              </w:rPr>
            </w:pPr>
          </w:p>
        </w:tc>
        <w:tc>
          <w:tcPr>
            <w:tcW w:w="1540" w:type="dxa"/>
            <w:vAlign w:val="bottom"/>
          </w:tcPr>
          <w:p>
            <w:pPr>
              <w:jc w:val="right"/>
              <w:ind w:right="84"/>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r>
      <w:tr>
        <w:trPr>
          <w:trHeight w:val="214"/>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52,290,212</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33,816,459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7"/>
        </w:trPr>
        <w:tc>
          <w:tcPr>
            <w:tcW w:w="46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52,290,212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33,816,459</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-143510</wp:posOffset>
            </wp:positionV>
            <wp:extent cx="508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-143510</wp:posOffset>
            </wp:positionV>
            <wp:extent cx="425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2023, 2022 or 2021.</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1589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0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Arial" w:cs="Arial" w:eastAsia="Arial" w:hAnsi="Arial"/>
                <w:sz w:val="13"/>
                <w:szCs w:val="13"/>
                <w:b w:val="1"/>
                <w:bCs w:val="1"/>
                <w:color w:val="auto"/>
              </w:rPr>
              <w:t>2023</w:t>
            </w:r>
          </w:p>
        </w:tc>
        <w:tc>
          <w:tcPr>
            <w:tcW w:w="1820" w:type="dxa"/>
            <w:vAlign w:val="bottom"/>
            <w:gridSpan w:val="2"/>
          </w:tcPr>
          <w:p>
            <w:pPr>
              <w:jc w:val="right"/>
              <w:ind w:right="58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5,979,168</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705,912</w:t>
            </w:r>
          </w:p>
        </w:tc>
        <w:tc>
          <w:tcPr>
            <w:tcW w:w="100" w:type="dxa"/>
            <w:vAlign w:val="bottom"/>
          </w:tcPr>
          <w:p>
            <w:pPr>
              <w:spacing w:after="0"/>
              <w:rPr>
                <w:sz w:val="18"/>
                <w:szCs w:val="18"/>
                <w:color w:val="auto"/>
              </w:rPr>
            </w:pPr>
          </w:p>
        </w:tc>
      </w:tr>
      <w:tr>
        <w:trPr>
          <w:trHeight w:val="248"/>
        </w:trPr>
        <w:tc>
          <w:tcPr>
            <w:tcW w:w="77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tcPr>
          <w:p>
            <w:pPr>
              <w:spacing w:after="0"/>
              <w:rPr>
                <w:sz w:val="14"/>
                <w:szCs w:val="14"/>
                <w:color w:val="auto"/>
              </w:rPr>
            </w:pPr>
          </w:p>
        </w:tc>
        <w:tc>
          <w:tcPr>
            <w:tcW w:w="1620" w:type="dxa"/>
            <w:vAlign w:val="bottom"/>
          </w:tcPr>
          <w:p>
            <w:pPr>
              <w:jc w:val="right"/>
              <w:ind w:right="584"/>
              <w:spacing w:after="0"/>
              <w:rPr>
                <w:sz w:val="20"/>
                <w:szCs w:val="20"/>
                <w:color w:val="auto"/>
              </w:rPr>
            </w:pPr>
            <w:r>
              <w:rPr>
                <w:rFonts w:ascii="Arial" w:cs="Arial" w:eastAsia="Arial" w:hAnsi="Arial"/>
                <w:sz w:val="13"/>
                <w:szCs w:val="13"/>
                <w:b w:val="1"/>
                <w:bCs w:val="1"/>
                <w:color w:val="auto"/>
              </w:rPr>
              <w:t>2023</w:t>
            </w:r>
          </w:p>
        </w:tc>
        <w:tc>
          <w:tcPr>
            <w:tcW w:w="1820" w:type="dxa"/>
            <w:vAlign w:val="bottom"/>
            <w:gridSpan w:val="2"/>
          </w:tcPr>
          <w:p>
            <w:pPr>
              <w:jc w:val="right"/>
              <w:ind w:right="58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4"/>
        </w:trPr>
        <w:tc>
          <w:tcPr>
            <w:tcW w:w="77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351,064</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642,662</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1,832,590</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3,824,468</w:t>
            </w:r>
          </w:p>
        </w:tc>
        <w:tc>
          <w:tcPr>
            <w:tcW w:w="100" w:type="dxa"/>
            <w:vAlign w:val="bottom"/>
          </w:tcPr>
          <w:p>
            <w:pPr>
              <w:spacing w:after="0"/>
              <w:rPr>
                <w:sz w:val="18"/>
                <w:szCs w:val="18"/>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2,079,900</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2,285,584</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Nonclinical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493,907</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885,030</w:t>
            </w:r>
          </w:p>
        </w:tc>
        <w:tc>
          <w:tcPr>
            <w:tcW w:w="100" w:type="dxa"/>
            <w:vAlign w:val="bottom"/>
          </w:tcPr>
          <w:p>
            <w:pPr>
              <w:spacing w:after="0"/>
              <w:rPr>
                <w:sz w:val="18"/>
                <w:szCs w:val="18"/>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5,892,087</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2,971,068</w:t>
            </w:r>
          </w:p>
        </w:tc>
        <w:tc>
          <w:tcPr>
            <w:tcW w:w="100" w:type="dxa"/>
            <w:vAlign w:val="bottom"/>
            <w:shd w:val="clear" w:color="auto" w:fill="CFF0FC"/>
          </w:tcPr>
          <w:p>
            <w:pPr>
              <w:spacing w:after="0"/>
              <w:rPr>
                <w:sz w:val="18"/>
                <w:szCs w:val="18"/>
                <w:color w:val="auto"/>
              </w:rPr>
            </w:pPr>
          </w:p>
        </w:tc>
      </w:tr>
      <w:tr>
        <w:trPr>
          <w:trHeight w:val="214"/>
        </w:trPr>
        <w:tc>
          <w:tcPr>
            <w:tcW w:w="77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417,962</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281,937</w:t>
            </w:r>
          </w:p>
        </w:tc>
        <w:tc>
          <w:tcPr>
            <w:tcW w:w="100" w:type="dxa"/>
            <w:vAlign w:val="bottom"/>
          </w:tcPr>
          <w:p>
            <w:pPr>
              <w:spacing w:after="0"/>
              <w:rPr>
                <w:sz w:val="18"/>
                <w:szCs w:val="18"/>
                <w:color w:val="auto"/>
              </w:rPr>
            </w:pPr>
          </w:p>
        </w:tc>
      </w:tr>
      <w:tr>
        <w:trPr>
          <w:trHeight w:val="248"/>
        </w:trPr>
        <w:tc>
          <w:tcPr>
            <w:tcW w:w="77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11,067,510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-24765</wp:posOffset>
            </wp:positionV>
            <wp:extent cx="679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-7620</wp:posOffset>
            </wp:positionV>
            <wp:extent cx="679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1"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The Group’s principal financial instruments consist of cash and cash equivalents, receivables, trade and other trade payables. The financial instruments represent the Group’s working capital to serve the Group’s day-to-day operations.</w:t>
      </w:r>
    </w:p>
    <w:p>
      <w:pPr>
        <w:spacing w:after="0" w:line="15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09"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We received the proceeds from our financings in U.S. dollars. We seek to minimize our exchange rate risk in our cash positions by taking into considerations market conditions and keeping currencies in which we expect to incur the majority of our near future expenses and make related payments from those positions.</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For the year ended December 31, 2023, the Group recognized a foreign exchange loss of €3.1 million and foreign exchange gains of €11.1 million and €11.8 million, for the years ended December 31, 2022 and 2021, respectively. The foreign exchange gain was primarily related to the U.S. dollar cash holding of its subsidiary and the associated strengthening of the U.S. dollar compared to euro during the year.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Material occurrences of foreign exchange losses would negatively affect the Group.</w:t>
      </w:r>
    </w:p>
    <w:p>
      <w:pPr>
        <w:spacing w:after="0" w:line="111"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At December 31, 2023 and 2022, if the U.S. dollar had weakened / strengthened by 10% against the euro with all other variables held constant, the cash balance would have been €18.8 million and €6.8 million higher / lower, respectively.</w:t>
      </w:r>
    </w:p>
    <w:p>
      <w:pPr>
        <w:spacing w:after="0" w:line="49"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At December 31, 2023 and 2022, if the CHF had weakened / strengthened by 10% against the euro with all other variables held constant, the cash balance would have been €7.1 million and €2.0 million higher / lower,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Group keeps an amount of $208.2 million, €131.8 million and CHF65.8 million in its bank accounts as of December 31, 2023.</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1589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09"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€391.2 million of cash on the balance sheet at December 31, 2023. The Group is implementing its treasury strategy to monitor the impact of changes in interest rates.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2023 and 2022 are the carrying amounts as illustrated in Note 12. There are no financial assets past due date or impaired.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0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A-(Standard &amp; Poor’s). Credit risk is further limited by investing only in liquid instruments. As of December 31, 2023, cash consists of cash deposited with four financial institutions and account balances may exceed insured limits.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09" w:lineRule="exact"/>
        <w:rPr>
          <w:sz w:val="20"/>
          <w:szCs w:val="20"/>
          <w:color w:val="auto"/>
        </w:rPr>
      </w:pPr>
    </w:p>
    <w:p>
      <w:pPr>
        <w:jc w:val="both"/>
        <w:ind w:right="140"/>
        <w:spacing w:after="0" w:line="264"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the Company has cash and cash equivalents of €391.2 million.</w:t>
      </w:r>
    </w:p>
    <w:p>
      <w:pPr>
        <w:spacing w:after="0" w:line="218"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7057390</wp:posOffset>
            </wp:positionH>
            <wp:positionV relativeFrom="paragraph">
              <wp:posOffset>-635</wp:posOffset>
            </wp:positionV>
            <wp:extent cx="93345" cy="2209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93345" cy="220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6620" w:type="dxa"/>
            <w:vAlign w:val="bottom"/>
          </w:tcPr>
          <w:p>
            <w:pPr>
              <w:spacing w:after="0"/>
              <w:rPr>
                <w:sz w:val="9"/>
                <w:szCs w:val="9"/>
                <w:color w:val="auto"/>
              </w:rPr>
            </w:pPr>
          </w:p>
        </w:tc>
        <w:tc>
          <w:tcPr>
            <w:tcW w:w="136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Less than</w:t>
            </w:r>
          </w:p>
        </w:tc>
        <w:tc>
          <w:tcPr>
            <w:tcW w:w="240" w:type="dxa"/>
            <w:vAlign w:val="bottom"/>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 to 5 years</w:t>
            </w:r>
          </w:p>
        </w:tc>
        <w:tc>
          <w:tcPr>
            <w:tcW w:w="200" w:type="dxa"/>
            <w:vAlign w:val="bottom"/>
          </w:tcPr>
          <w:p>
            <w:pPr>
              <w:spacing w:after="0"/>
              <w:rPr>
                <w:sz w:val="9"/>
                <w:szCs w:val="9"/>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2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December 31, 2023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11,067,510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11,067,510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158,458</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96,250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66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8"/>
              </w:rPr>
              <w:t>Less than</w:t>
            </w:r>
          </w:p>
        </w:tc>
        <w:tc>
          <w:tcPr>
            <w:tcW w:w="2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 to 5 years</w:t>
            </w:r>
          </w:p>
        </w:tc>
        <w:tc>
          <w:tcPr>
            <w:tcW w:w="200" w:type="dxa"/>
            <w:vAlign w:val="bottom"/>
          </w:tcPr>
          <w:p>
            <w:pPr>
              <w:spacing w:after="0"/>
              <w:rPr>
                <w:sz w:val="11"/>
                <w:szCs w:val="11"/>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5"/>
        </w:trPr>
        <w:tc>
          <w:tcPr>
            <w:tcW w:w="66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2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December 31, 2022</w:t>
            </w: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10,890,749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222,182</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254,709</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476,891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1"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79"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 xml:space="preserve">On January 1, 2021 the Company granted a total of 107,000 stock options to members of key management with an exercise price of </w:t>
      </w:r>
      <w:r>
        <w:rPr>
          <w:rFonts w:ascii="Calibri" w:cs="Calibri" w:eastAsia="Calibri" w:hAnsi="Calibri"/>
          <w:sz w:val="19"/>
          <w:szCs w:val="19"/>
          <w:color w:val="auto"/>
        </w:rPr>
        <w:t>€</w:t>
      </w:r>
      <w:r>
        <w:rPr>
          <w:rFonts w:ascii="Arial" w:cs="Arial" w:eastAsia="Arial" w:hAnsi="Arial"/>
          <w:sz w:val="16"/>
          <w:szCs w:val="16"/>
          <w:color w:val="auto"/>
        </w:rPr>
        <w:t>7,25 per share with a final exercise date of December 31, 2030 unless forfeited or exercised on an earlier date.</w:t>
      </w:r>
    </w:p>
    <w:p>
      <w:pPr>
        <w:sectPr>
          <w:pgSz w:w="11900" w:h="16838" w:orient="portrait"/>
          <w:cols w:equalWidth="0" w:num="1">
            <w:col w:w="11240"/>
          </w:cols>
          <w:pgMar w:left="320" w:top="769"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474345</wp:posOffset>
            </wp:positionV>
            <wp:extent cx="71589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79"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On June 25, 2021, the grant date fair value was determined for 88,000 stock options granted to a member of key management with an exercise price of €2.38 per share with a final exercise date of February 2, 2030 unless forfeited or exercised on an earlier date. Each month, 1/48 of the options will vest, with final vesting on February 4, 2024.</w:t>
      </w:r>
    </w:p>
    <w:p>
      <w:pPr>
        <w:spacing w:after="0" w:line="144"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June 1, 2022, a total of 120,000 stock options were granted to members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April 6, 2023, a total of 846,000 stock options were granted of which 571,000 were granted to members of key management and 296,000 were granted to members of the board, with an exercise price of $8.05 per share with a final exercise date of April 6, 2033 unless forfeited or exercised on an earlier date. 25% of the aggregate number of share options shall vest on April 6,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150"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On November 15, 2023, a total of 90,000 stock options were granted to a member of key management with an exercise price of $16.40 per share with a final exercise date of November 15, 2033 unless forfeited or exercised on an earlier date. 25% of the aggregate number of share options shall vest on November 15,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loss and comprehensive loss. The share-based payment expense recorded for the years ended December 31, 2023, 2022 and 2021 that related to Options, amounted to €6.2 million, €7.6 million and €7.0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average</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exercise price</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exercise price</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Number stock</w:t>
            </w:r>
          </w:p>
        </w:tc>
        <w:tc>
          <w:tcPr>
            <w:tcW w:w="2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240" w:type="dxa"/>
            <w:vAlign w:val="bottom"/>
            <w:vMerge w:val="restart"/>
          </w:tcPr>
          <w:p>
            <w:pPr>
              <w:spacing w:after="0"/>
              <w:rPr>
                <w:sz w:val="10"/>
                <w:szCs w:val="10"/>
                <w:color w:val="auto"/>
              </w:rPr>
            </w:pPr>
          </w:p>
        </w:tc>
        <w:tc>
          <w:tcPr>
            <w:tcW w:w="11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Number stock</w:t>
            </w:r>
          </w:p>
        </w:tc>
        <w:tc>
          <w:tcPr>
            <w:tcW w:w="20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6"/>
              </w:rPr>
              <w:t>Number stock</w:t>
            </w:r>
          </w:p>
        </w:tc>
        <w:tc>
          <w:tcPr>
            <w:tcW w:w="2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0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Outstanding January 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1,465,295</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936,000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742,500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1,144,000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(241,825 )</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(31,257 )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(34,000 )</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(45,061 )</w:t>
            </w:r>
          </w:p>
        </w:tc>
        <w:tc>
          <w:tcPr>
            <w:tcW w:w="1140" w:type="dxa"/>
            <w:vAlign w:val="bottom"/>
          </w:tcPr>
          <w:p>
            <w:pPr>
              <w:jc w:val="right"/>
              <w:spacing w:after="0"/>
              <w:rPr>
                <w:sz w:val="20"/>
                <w:szCs w:val="20"/>
                <w:color w:val="auto"/>
              </w:rPr>
            </w:pPr>
            <w:r>
              <w:rPr>
                <w:rFonts w:ascii="Arial" w:cs="Arial" w:eastAsia="Arial" w:hAnsi="Arial"/>
                <w:sz w:val="16"/>
                <w:szCs w:val="16"/>
                <w:color w:val="auto"/>
              </w:rPr>
              <w:t>8.90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(105,000 )</w:t>
            </w:r>
          </w:p>
        </w:tc>
        <w:tc>
          <w:tcPr>
            <w:tcW w:w="100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3,830,652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0"/>
        </w:trPr>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5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of 3,830,652 at December 31, 2023 (2022: 3,181,538, 2021: 2,470,295), 1,949,721 stock options were exercisable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(2022: 1,585,404; 2021: 469,630). The options outstanding at December 31, 2023 had an exercise price in the range of €0.01 to €16.88 (2022: €0.01 to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€16.78; 2021: €0.01 to €16.67) and a weighted-average remaining contractual life of 6.4 years (2022: 7.5 years; 2021: 8.0 years).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 total of 241,825 share options were exercised during the period ended December 31, 2023 (2022: 31,257; 2021: 34,000) and had a weighted-average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€20.08 (2022: €11.74; 2021: €38.75) at the date of exercise.</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2021 the Company granted a total of 175,991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2021 amounted to €17.0. The expenses are recognized over the service period in the consolidated statements of loss and comprehensive loss.</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2022 the Company granted a total of 681,588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 The expenses are recognized over the service period in the consolidated statements of loss and comprehensive loss.</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2023 the Company granted a total of 528,004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2023 amounted to €9.52. The expenses are recognized over the service period in the consolidated statements of loss and comprehensive loss.</w:t>
      </w:r>
    </w:p>
    <w:p>
      <w:pPr>
        <w:spacing w:after="0" w:line="179"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share-based payment expense recorded for the years ended December 31, 2023, 2022 and 2021 that related to RSUs, amounted to €4.5 million, €3.8 million and €1.2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of and movements in unvested RSUs during the year:</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40" w:type="dxa"/>
            <w:vAlign w:val="bottom"/>
            <w:gridSpan w:val="2"/>
          </w:tcPr>
          <w:p>
            <w:pPr>
              <w:ind w:left="4700"/>
              <w:spacing w:after="0"/>
              <w:rPr>
                <w:sz w:val="20"/>
                <w:szCs w:val="20"/>
                <w:color w:val="auto"/>
              </w:rPr>
            </w:pPr>
            <w:r>
              <w:rPr>
                <w:rFonts w:ascii="Arial" w:cs="Arial" w:eastAsia="Arial" w:hAnsi="Arial"/>
                <w:sz w:val="13"/>
                <w:szCs w:val="13"/>
                <w:b w:val="1"/>
                <w:bCs w:val="1"/>
                <w:color w:val="auto"/>
              </w:rPr>
              <w:t>2023</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right"/>
              <w:ind w:right="865"/>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2200" w:type="dxa"/>
            <w:vAlign w:val="bottom"/>
          </w:tcPr>
          <w:p>
            <w:pPr>
              <w:jc w:val="right"/>
              <w:ind w:right="885"/>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r>
      <w:tr>
        <w:trPr>
          <w:trHeight w:val="154"/>
        </w:trPr>
        <w:tc>
          <w:tcPr>
            <w:tcW w:w="3340" w:type="dxa"/>
            <w:vAlign w:val="bottom"/>
          </w:tcPr>
          <w:p>
            <w:pPr>
              <w:spacing w:after="0"/>
              <w:rPr>
                <w:sz w:val="13"/>
                <w:szCs w:val="13"/>
                <w:color w:val="auto"/>
              </w:rPr>
            </w:pPr>
          </w:p>
        </w:tc>
        <w:tc>
          <w:tcPr>
            <w:tcW w:w="21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3"/>
                <w:szCs w:val="13"/>
                <w:b w:val="1"/>
                <w:bCs w:val="1"/>
                <w:color w:val="auto"/>
              </w:rPr>
              <w:t>Number RSUs</w:t>
            </w:r>
          </w:p>
        </w:tc>
        <w:tc>
          <w:tcPr>
            <w:tcW w:w="9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Number RSUs</w:t>
            </w:r>
          </w:p>
        </w:tc>
        <w:tc>
          <w:tcPr>
            <w:tcW w:w="200" w:type="dxa"/>
            <w:vAlign w:val="bottom"/>
          </w:tcPr>
          <w:p>
            <w:pPr>
              <w:spacing w:after="0"/>
              <w:rPr>
                <w:sz w:val="13"/>
                <w:szCs w:val="13"/>
                <w:color w:val="auto"/>
              </w:rPr>
            </w:pPr>
          </w:p>
        </w:tc>
        <w:tc>
          <w:tcPr>
            <w:tcW w:w="220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Number RSUs</w:t>
            </w:r>
          </w:p>
        </w:tc>
        <w:tc>
          <w:tcPr>
            <w:tcW w:w="220" w:type="dxa"/>
            <w:vAlign w:val="bottom"/>
          </w:tcPr>
          <w:p>
            <w:pPr>
              <w:spacing w:after="0"/>
              <w:rPr>
                <w:sz w:val="13"/>
                <w:szCs w:val="13"/>
                <w:color w:val="auto"/>
              </w:rPr>
            </w:pPr>
          </w:p>
        </w:tc>
      </w:tr>
      <w:tr>
        <w:trPr>
          <w:trHeight w:val="208"/>
        </w:trPr>
        <w:tc>
          <w:tcPr>
            <w:tcW w:w="5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Outstanding January 1,</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12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0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20" w:type="dxa"/>
            <w:vAlign w:val="bottom"/>
            <w:shd w:val="clear" w:color="auto" w:fill="CFF0FC"/>
          </w:tcPr>
          <w:p>
            <w:pPr>
              <w:spacing w:after="0"/>
              <w:rPr>
                <w:sz w:val="18"/>
                <w:szCs w:val="18"/>
                <w:color w:val="auto"/>
              </w:rPr>
            </w:pPr>
          </w:p>
        </w:tc>
      </w:tr>
      <w:tr>
        <w:trPr>
          <w:trHeight w:val="214"/>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rPr>
                <w:sz w:val="20"/>
                <w:szCs w:val="20"/>
                <w:color w:val="auto"/>
              </w:rPr>
            </w:pPr>
            <w:r>
              <w:rPr>
                <w:rFonts w:ascii="Arial" w:cs="Arial" w:eastAsia="Arial" w:hAnsi="Arial"/>
                <w:sz w:val="16"/>
                <w:szCs w:val="16"/>
                <w:color w:val="auto"/>
              </w:rPr>
              <w:t>528,004</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681,588</w:t>
            </w:r>
          </w:p>
        </w:tc>
        <w:tc>
          <w:tcPr>
            <w:tcW w:w="2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175,991</w:t>
            </w:r>
          </w:p>
        </w:tc>
        <w:tc>
          <w:tcPr>
            <w:tcW w:w="220" w:type="dxa"/>
            <w:vAlign w:val="bottom"/>
          </w:tcPr>
          <w:p>
            <w:pPr>
              <w:spacing w:after="0"/>
              <w:rPr>
                <w:sz w:val="18"/>
                <w:szCs w:val="18"/>
                <w:color w:val="auto"/>
              </w:rPr>
            </w:pPr>
          </w:p>
        </w:tc>
      </w:tr>
      <w:tr>
        <w:trPr>
          <w:trHeight w:val="215"/>
        </w:trPr>
        <w:tc>
          <w:tcPr>
            <w:tcW w:w="5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 and settled</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(209,671 )</w:t>
            </w:r>
          </w:p>
        </w:tc>
        <w:tc>
          <w:tcPr>
            <w:tcW w:w="2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(65,846 )</w:t>
            </w:r>
          </w:p>
        </w:tc>
        <w:tc>
          <w:tcPr>
            <w:tcW w:w="2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(57,372 )</w:t>
            </w:r>
          </w:p>
        </w:tc>
      </w:tr>
      <w:tr>
        <w:trPr>
          <w:trHeight w:val="214"/>
        </w:trPr>
        <w:tc>
          <w:tcPr>
            <w:tcW w:w="33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2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(80,213 )</w:t>
            </w:r>
          </w:p>
        </w:tc>
        <w:tc>
          <w:tcPr>
            <w:tcW w:w="2360" w:type="dxa"/>
            <w:vAlign w:val="bottom"/>
            <w:gridSpan w:val="2"/>
          </w:tcPr>
          <w:p>
            <w:pPr>
              <w:jc w:val="right"/>
              <w:ind w:right="140"/>
              <w:spacing w:after="0"/>
              <w:rPr>
                <w:sz w:val="20"/>
                <w:szCs w:val="20"/>
                <w:color w:val="auto"/>
              </w:rPr>
            </w:pPr>
            <w:r>
              <w:rPr>
                <w:rFonts w:ascii="Arial" w:cs="Arial" w:eastAsia="Arial" w:hAnsi="Arial"/>
                <w:sz w:val="16"/>
                <w:szCs w:val="16"/>
                <w:color w:val="auto"/>
              </w:rPr>
              <w:t>(79,762 )</w:t>
            </w:r>
          </w:p>
        </w:tc>
        <w:tc>
          <w:tcPr>
            <w:tcW w:w="2420" w:type="dxa"/>
            <w:vAlign w:val="bottom"/>
            <w:gridSpan w:val="2"/>
          </w:tcPr>
          <w:p>
            <w:pPr>
              <w:jc w:val="right"/>
              <w:ind w:right="140"/>
              <w:spacing w:after="0"/>
              <w:rPr>
                <w:sz w:val="20"/>
                <w:szCs w:val="20"/>
                <w:color w:val="auto"/>
              </w:rPr>
            </w:pPr>
            <w:r>
              <w:rPr>
                <w:rFonts w:ascii="Arial" w:cs="Arial" w:eastAsia="Arial" w:hAnsi="Arial"/>
                <w:sz w:val="16"/>
                <w:szCs w:val="16"/>
                <w:color w:val="auto"/>
              </w:rPr>
              <w:t>(12,500 )</w:t>
            </w:r>
          </w:p>
        </w:tc>
      </w:tr>
      <w:tr>
        <w:trPr>
          <w:trHeight w:val="248"/>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December 31,</w:t>
            </w:r>
          </w:p>
        </w:tc>
        <w:tc>
          <w:tcPr>
            <w:tcW w:w="210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1,033,814</w:t>
            </w:r>
          </w:p>
        </w:tc>
        <w:tc>
          <w:tcPr>
            <w:tcW w:w="12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20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-24765</wp:posOffset>
            </wp:positionV>
            <wp:extent cx="768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-7620</wp:posOffset>
            </wp:positionV>
            <wp:extent cx="768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-24765</wp:posOffset>
            </wp:positionV>
            <wp:extent cx="679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-7620</wp:posOffset>
            </wp:positionV>
            <wp:extent cx="679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7001510</wp:posOffset>
            </wp:positionH>
            <wp:positionV relativeFrom="paragraph">
              <wp:posOffset>-24765</wp:posOffset>
            </wp:positionV>
            <wp:extent cx="6794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7001510</wp:posOffset>
            </wp:positionH>
            <wp:positionV relativeFrom="paragraph">
              <wp:posOffset>-7620</wp:posOffset>
            </wp:positionV>
            <wp:extent cx="679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Stock Options</w:t>
      </w:r>
    </w:p>
    <w:p>
      <w:pPr>
        <w:spacing w:after="0" w:line="28"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b w:val="1"/>
                <w:bCs w:val="1"/>
                <w:color w:val="auto"/>
                <w:w w:val="96"/>
              </w:rPr>
              <w:t>June</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February</w:t>
            </w:r>
          </w:p>
        </w:tc>
        <w:tc>
          <w:tcPr>
            <w:tcW w:w="100" w:type="dxa"/>
            <w:vAlign w:val="bottom"/>
          </w:tcPr>
          <w:p>
            <w:pPr>
              <w:spacing w:after="0"/>
              <w:rPr>
                <w:sz w:val="16"/>
                <w:szCs w:val="16"/>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January</w:t>
            </w:r>
          </w:p>
        </w:tc>
      </w:tr>
      <w:tr>
        <w:trPr>
          <w:trHeight w:val="214"/>
        </w:trPr>
        <w:tc>
          <w:tcPr>
            <w:tcW w:w="2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15,</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6,</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1,</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200"/>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b w:val="1"/>
                <w:bCs w:val="1"/>
                <w:color w:val="auto"/>
              </w:rPr>
              <w:t>July 1,</w:t>
            </w: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June 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right="40"/>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00"/>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60"/>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0"/>
              <w:spacing w:after="0" w:line="181" w:lineRule="exact"/>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5"/>
        </w:trPr>
        <w:tc>
          <w:tcPr>
            <w:tcW w:w="2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Option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2240" w:type="dxa"/>
            <w:vAlign w:val="bottom"/>
            <w:shd w:val="clear" w:color="auto" w:fill="CFF0FC"/>
          </w:tcPr>
          <w:p>
            <w:pPr>
              <w:spacing w:after="0" w:line="181" w:lineRule="exact"/>
              <w:rPr>
                <w:sz w:val="20"/>
                <w:szCs w:val="20"/>
                <w:color w:val="auto"/>
              </w:rPr>
            </w:pPr>
            <w:r>
              <w:rPr>
                <w:rFonts w:ascii="Arial" w:cs="Arial" w:eastAsia="Arial" w:hAnsi="Arial"/>
                <w:sz w:val="16"/>
                <w:szCs w:val="16"/>
                <w:color w:val="auto"/>
              </w:rPr>
              <w:t>Number of options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846,00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120,00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552,50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15"/>
        </w:trPr>
        <w:tc>
          <w:tcPr>
            <w:tcW w:w="2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107,000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240" w:type="dxa"/>
            <w:vAlign w:val="bottom"/>
          </w:tcPr>
          <w:p>
            <w:pPr>
              <w:spacing w:after="0"/>
              <w:rPr>
                <w:sz w:val="20"/>
                <w:szCs w:val="20"/>
                <w:color w:val="auto"/>
              </w:rPr>
            </w:pPr>
            <w:r>
              <w:rPr>
                <w:rFonts w:ascii="Arial" w:cs="Arial" w:eastAsia="Arial" w:hAnsi="Arial"/>
                <w:sz w:val="16"/>
                <w:szCs w:val="16"/>
                <w:color w:val="auto"/>
              </w:rPr>
              <w:t>Fair value of the options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7"/>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Fair value of the ordinary</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shares (€)</w:t>
            </w:r>
          </w:p>
        </w:tc>
        <w:tc>
          <w:tcPr>
            <w:tcW w:w="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240" w:type="dxa"/>
            <w:vAlign w:val="bottom"/>
          </w:tcPr>
          <w:p>
            <w:pPr>
              <w:spacing w:after="0"/>
              <w:rPr>
                <w:sz w:val="20"/>
                <w:szCs w:val="20"/>
                <w:color w:val="auto"/>
              </w:rPr>
            </w:pPr>
            <w:r>
              <w:rPr>
                <w:rFonts w:ascii="Arial" w:cs="Arial" w:eastAsia="Arial" w:hAnsi="Arial"/>
                <w:sz w:val="16"/>
                <w:szCs w:val="16"/>
                <w:color w:val="auto"/>
              </w:rPr>
              <w:t>Exercise price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240" w:type="dxa"/>
            <w:vAlign w:val="bottom"/>
          </w:tcPr>
          <w:p>
            <w:pPr>
              <w:spacing w:after="0"/>
              <w:rPr>
                <w:sz w:val="20"/>
                <w:szCs w:val="20"/>
                <w:color w:val="auto"/>
              </w:rPr>
            </w:pPr>
            <w:r>
              <w:rPr>
                <w:rFonts w:ascii="Arial" w:cs="Arial" w:eastAsia="Arial" w:hAnsi="Arial"/>
                <w:sz w:val="16"/>
                <w:szCs w:val="16"/>
                <w:color w:val="auto"/>
              </w:rPr>
              <w:t>Expected volatility (%)</w:t>
            </w:r>
          </w:p>
        </w:tc>
        <w:tc>
          <w:tcPr>
            <w:tcW w:w="2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100 %</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100 %</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80 %</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80 %</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85 %</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840" w:type="dxa"/>
            <w:vAlign w:val="bottom"/>
            <w:gridSpan w:val="3"/>
          </w:tcPr>
          <w:p>
            <w:pPr>
              <w:jc w:val="right"/>
              <w:ind w:right="43"/>
              <w:spacing w:after="0"/>
              <w:rPr>
                <w:sz w:val="20"/>
                <w:szCs w:val="20"/>
                <w:color w:val="auto"/>
              </w:rPr>
            </w:pPr>
            <w:r>
              <w:rPr>
                <w:rFonts w:ascii="Arial" w:cs="Arial" w:eastAsia="Arial" w:hAnsi="Arial"/>
                <w:sz w:val="16"/>
                <w:szCs w:val="16"/>
                <w:color w:val="auto"/>
              </w:rPr>
              <w:t>85 %</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85 %</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85 %</w:t>
            </w:r>
          </w:p>
        </w:tc>
      </w:tr>
      <w:tr>
        <w:trPr>
          <w:trHeight w:val="214"/>
        </w:trPr>
        <w:tc>
          <w:tcPr>
            <w:tcW w:w="2240" w:type="dxa"/>
            <w:vAlign w:val="bottom"/>
          </w:tcPr>
          <w:p>
            <w:pPr>
              <w:spacing w:after="0"/>
              <w:rPr>
                <w:sz w:val="20"/>
                <w:szCs w:val="20"/>
                <w:color w:val="auto"/>
              </w:rPr>
            </w:pPr>
            <w:r>
              <w:rPr>
                <w:rFonts w:ascii="Arial" w:cs="Arial" w:eastAsia="Arial" w:hAnsi="Arial"/>
                <w:sz w:val="16"/>
                <w:szCs w:val="16"/>
                <w:color w:val="auto"/>
              </w:rPr>
              <w:t>Expected life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240" w:type="dxa"/>
            <w:vAlign w:val="bottom"/>
          </w:tcPr>
          <w:p>
            <w:pPr>
              <w:spacing w:after="0"/>
              <w:rPr>
                <w:sz w:val="20"/>
                <w:szCs w:val="20"/>
                <w:color w:val="auto"/>
              </w:rPr>
            </w:pPr>
            <w:r>
              <w:rPr>
                <w:rFonts w:ascii="Arial" w:cs="Arial" w:eastAsia="Arial" w:hAnsi="Arial"/>
                <w:sz w:val="16"/>
                <w:szCs w:val="16"/>
                <w:color w:val="auto"/>
              </w:rPr>
              <w:t>Risk-free interest rate (%)</w:t>
            </w:r>
          </w:p>
        </w:tc>
        <w:tc>
          <w:tcPr>
            <w:tcW w:w="2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4.6 %</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3.6 %</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3.0 %</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2.6 %</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1.4 %</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1.2 %</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840" w:type="dxa"/>
            <w:vAlign w:val="bottom"/>
            <w:gridSpan w:val="3"/>
          </w:tcPr>
          <w:p>
            <w:pPr>
              <w:jc w:val="right"/>
              <w:ind w:right="43"/>
              <w:spacing w:after="0"/>
              <w:rPr>
                <w:sz w:val="20"/>
                <w:szCs w:val="20"/>
                <w:color w:val="auto"/>
              </w:rPr>
            </w:pPr>
            <w:r>
              <w:rPr>
                <w:rFonts w:ascii="Arial" w:cs="Arial" w:eastAsia="Arial" w:hAnsi="Arial"/>
                <w:sz w:val="16"/>
                <w:szCs w:val="16"/>
                <w:color w:val="auto"/>
              </w:rPr>
              <w:t>-0.5 %</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0.8 %</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-0.6 %</w:t>
            </w:r>
          </w:p>
        </w:tc>
      </w:tr>
      <w:tr>
        <w:trPr>
          <w:trHeight w:val="214"/>
        </w:trPr>
        <w:tc>
          <w:tcPr>
            <w:tcW w:w="22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-542925</wp:posOffset>
            </wp:positionV>
            <wp:extent cx="7056755" cy="135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7056755" cy="13589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-270510</wp:posOffset>
            </wp:positionV>
            <wp:extent cx="7056755" cy="135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7056755" cy="135890"/>
                    </a:xfrm>
                    <a:prstGeom prst="rect">
                      <a:avLst/>
                    </a:prstGeom>
                    <a:noFill/>
                  </pic:spPr>
                </pic:pic>
              </a:graphicData>
            </a:graphic>
          </wp:anchor>
        </w:drawing>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Expected volatility in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as well as pre-funded warrants during the year.</w:t>
      </w:r>
    </w:p>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Outstanding options are not included in the calculation of diluted earnings per share because they are antidilutive in 2023, 2022 and 2021.</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loss per share</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7"/>
              </w:rPr>
              <w:t>Year Ended December 31,</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24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420" w:type="dxa"/>
            <w:vAlign w:val="bottom"/>
            <w:gridSpan w:val="2"/>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1440" w:type="dxa"/>
            <w:vAlign w:val="bottom"/>
          </w:tcPr>
          <w:p>
            <w:pPr>
              <w:jc w:val="right"/>
              <w:ind w:right="50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4"/>
        </w:trPr>
        <w:tc>
          <w:tcPr>
            <w:tcW w:w="524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208"/>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(100,875,068 )</w:t>
            </w:r>
          </w:p>
        </w:tc>
        <w:tc>
          <w:tcPr>
            <w:tcW w:w="16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(76,332,557 )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(42,700,486 )</w:t>
            </w:r>
          </w:p>
        </w:tc>
      </w:tr>
      <w:tr>
        <w:trPr>
          <w:trHeight w:val="214"/>
        </w:trPr>
        <w:tc>
          <w:tcPr>
            <w:tcW w:w="524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1300" w:type="dxa"/>
            <w:vAlign w:val="bottom"/>
          </w:tcPr>
          <w:p>
            <w:pPr>
              <w:jc w:val="right"/>
              <w:spacing w:after="0"/>
              <w:rPr>
                <w:sz w:val="20"/>
                <w:szCs w:val="20"/>
                <w:color w:val="auto"/>
              </w:rPr>
            </w:pPr>
            <w:r>
              <w:rPr>
                <w:rFonts w:ascii="Arial" w:cs="Arial" w:eastAsia="Arial" w:hAnsi="Arial"/>
                <w:sz w:val="16"/>
                <w:szCs w:val="16"/>
                <w:color w:val="auto"/>
              </w:rPr>
              <w:t>38,391,654</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33,585,976</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30,411,902</w:t>
            </w:r>
          </w:p>
        </w:tc>
        <w:tc>
          <w:tcPr>
            <w:tcW w:w="100" w:type="dxa"/>
            <w:vAlign w:val="bottom"/>
          </w:tcPr>
          <w:p>
            <w:pPr>
              <w:spacing w:after="0"/>
              <w:rPr>
                <w:sz w:val="18"/>
                <w:szCs w:val="18"/>
                <w:color w:val="auto"/>
              </w:rPr>
            </w:pPr>
          </w:p>
        </w:tc>
      </w:tr>
      <w:tr>
        <w:trPr>
          <w:trHeight w:val="215"/>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and diluted loss per share</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(2.63 )</w:t>
            </w:r>
          </w:p>
        </w:tc>
        <w:tc>
          <w:tcPr>
            <w:tcW w:w="16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(2.27 )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(1.40 )</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years 2023, 2022 and 2021, payments to Charité CRO with respect to this service contract amounted to €0.5 million, €0.4 million and €608,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153"/>
        </w:trPr>
        <w:tc>
          <w:tcPr>
            <w:tcW w:w="3580" w:type="dxa"/>
            <w:vAlign w:val="bottom"/>
          </w:tcPr>
          <w:p>
            <w:pPr>
              <w:spacing w:after="0"/>
              <w:rPr>
                <w:sz w:val="13"/>
                <w:szCs w:val="13"/>
                <w:color w:val="auto"/>
              </w:rPr>
            </w:pPr>
          </w:p>
        </w:tc>
        <w:tc>
          <w:tcPr>
            <w:tcW w:w="1820" w:type="dxa"/>
            <w:vAlign w:val="bottom"/>
          </w:tcPr>
          <w:p>
            <w:pPr>
              <w:jc w:val="right"/>
              <w:ind w:right="686"/>
              <w:spacing w:after="0"/>
              <w:rPr>
                <w:sz w:val="20"/>
                <w:szCs w:val="20"/>
                <w:color w:val="auto"/>
              </w:rPr>
            </w:pPr>
            <w:r>
              <w:rPr>
                <w:rFonts w:ascii="Arial" w:cs="Arial" w:eastAsia="Arial" w:hAnsi="Arial"/>
                <w:sz w:val="13"/>
                <w:szCs w:val="13"/>
                <w:b w:val="1"/>
                <w:bCs w:val="1"/>
                <w:color w:val="auto"/>
              </w:rPr>
              <w:t>2023</w:t>
            </w:r>
          </w:p>
        </w:tc>
        <w:tc>
          <w:tcPr>
            <w:tcW w:w="1660" w:type="dxa"/>
            <w:vAlign w:val="bottom"/>
            <w:gridSpan w:val="2"/>
          </w:tcPr>
          <w:p>
            <w:pPr>
              <w:jc w:val="right"/>
              <w:ind w:right="509"/>
              <w:spacing w:after="0"/>
              <w:rPr>
                <w:sz w:val="20"/>
                <w:szCs w:val="20"/>
                <w:color w:val="auto"/>
              </w:rPr>
            </w:pPr>
            <w:r>
              <w:rPr>
                <w:rFonts w:ascii="Arial" w:cs="Arial" w:eastAsia="Arial" w:hAnsi="Arial"/>
                <w:sz w:val="13"/>
                <w:szCs w:val="13"/>
                <w:b w:val="1"/>
                <w:bCs w:val="1"/>
                <w:color w:val="auto"/>
              </w:rPr>
              <w:t>2022</w:t>
            </w:r>
          </w:p>
        </w:tc>
        <w:tc>
          <w:tcPr>
            <w:tcW w:w="1600" w:type="dxa"/>
            <w:vAlign w:val="bottom"/>
            <w:gridSpan w:val="2"/>
          </w:tcPr>
          <w:p>
            <w:pPr>
              <w:jc w:val="right"/>
              <w:ind w:right="509"/>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r>
      <w:tr>
        <w:trPr>
          <w:trHeight w:val="154"/>
        </w:trPr>
        <w:tc>
          <w:tcPr>
            <w:tcW w:w="3580" w:type="dxa"/>
            <w:vAlign w:val="bottom"/>
          </w:tcPr>
          <w:p>
            <w:pPr>
              <w:spacing w:after="0"/>
              <w:rPr>
                <w:sz w:val="13"/>
                <w:szCs w:val="13"/>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80" w:type="dxa"/>
            <w:vAlign w:val="bottom"/>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8"/>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Short term employee benefits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4,467,603</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3,461,860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2,517,211</w:t>
            </w:r>
          </w:p>
        </w:tc>
        <w:tc>
          <w:tcPr>
            <w:tcW w:w="80" w:type="dxa"/>
            <w:vAlign w:val="bottom"/>
            <w:shd w:val="clear" w:color="auto" w:fill="CFF0FC"/>
          </w:tcPr>
          <w:p>
            <w:pPr>
              <w:spacing w:after="0"/>
              <w:rPr>
                <w:sz w:val="18"/>
                <w:szCs w:val="18"/>
                <w:color w:val="auto"/>
              </w:rPr>
            </w:pPr>
          </w:p>
        </w:tc>
      </w:tr>
      <w:tr>
        <w:trPr>
          <w:trHeight w:val="214"/>
        </w:trPr>
        <w:tc>
          <w:tcPr>
            <w:tcW w:w="3580" w:type="dxa"/>
            <w:vAlign w:val="bottom"/>
          </w:tcPr>
          <w:p>
            <w:pPr>
              <w:spacing w:after="0"/>
              <w:rPr>
                <w:sz w:val="20"/>
                <w:szCs w:val="20"/>
                <w:color w:val="auto"/>
              </w:rPr>
            </w:pPr>
            <w:r>
              <w:rPr>
                <w:rFonts w:ascii="Arial" w:cs="Arial" w:eastAsia="Arial" w:hAnsi="Arial"/>
                <w:sz w:val="16"/>
                <w:szCs w:val="16"/>
                <w:color w:val="auto"/>
              </w:rPr>
              <w:t>Post employee benefits</w:t>
            </w:r>
          </w:p>
        </w:tc>
        <w:tc>
          <w:tcPr>
            <w:tcW w:w="1820" w:type="dxa"/>
            <w:vAlign w:val="bottom"/>
          </w:tcPr>
          <w:p>
            <w:pPr>
              <w:jc w:val="right"/>
              <w:spacing w:after="0"/>
              <w:rPr>
                <w:sz w:val="20"/>
                <w:szCs w:val="20"/>
                <w:color w:val="auto"/>
              </w:rPr>
            </w:pPr>
            <w:r>
              <w:rPr>
                <w:rFonts w:ascii="Arial" w:cs="Arial" w:eastAsia="Arial" w:hAnsi="Arial"/>
                <w:sz w:val="16"/>
                <w:szCs w:val="16"/>
                <w:color w:val="auto"/>
              </w:rPr>
              <w:t>189,996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148,678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80,482</w:t>
            </w:r>
          </w:p>
        </w:tc>
        <w:tc>
          <w:tcPr>
            <w:tcW w:w="80" w:type="dxa"/>
            <w:vAlign w:val="bottom"/>
          </w:tcPr>
          <w:p>
            <w:pPr>
              <w:spacing w:after="0"/>
              <w:rPr>
                <w:sz w:val="18"/>
                <w:szCs w:val="18"/>
                <w:color w:val="auto"/>
              </w:rPr>
            </w:pPr>
          </w:p>
        </w:tc>
      </w:tr>
      <w:tr>
        <w:trPr>
          <w:trHeight w:val="214"/>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6,252,492</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6,524,726</w:t>
            </w:r>
          </w:p>
        </w:tc>
        <w:tc>
          <w:tcPr>
            <w:tcW w:w="1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6,269,218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Total</w:t>
            </w:r>
          </w:p>
        </w:tc>
        <w:tc>
          <w:tcPr>
            <w:tcW w:w="1820" w:type="dxa"/>
            <w:vAlign w:val="bottom"/>
          </w:tcPr>
          <w:p>
            <w:pPr>
              <w:jc w:val="right"/>
              <w:spacing w:after="0"/>
              <w:rPr>
                <w:sz w:val="20"/>
                <w:szCs w:val="20"/>
                <w:color w:val="auto"/>
              </w:rPr>
            </w:pPr>
            <w:r>
              <w:rPr>
                <w:rFonts w:ascii="Arial" w:cs="Arial" w:eastAsia="Arial" w:hAnsi="Arial"/>
                <w:sz w:val="16"/>
                <w:szCs w:val="16"/>
                <w:color w:val="auto"/>
              </w:rPr>
              <w:t>10,910,091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10,135,264</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8,866,911</w:t>
            </w:r>
          </w:p>
        </w:tc>
        <w:tc>
          <w:tcPr>
            <w:tcW w:w="8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-169545</wp:posOffset>
            </wp:positionV>
            <wp:extent cx="596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-169545</wp:posOffset>
            </wp:positionV>
            <wp:extent cx="508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-169545</wp:posOffset>
            </wp:positionV>
            <wp:extent cx="508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At the end of financial year 2020 an amount of €120,000 of short-term employee benefits was capitalized on the consolidated statements of financial position. This amount was recognized in the Group’s statements of profit or loss and other comprehensive income in 2021. As at 31 December 2023 and 2022, no short-term employee benefits have been capitalized.</w:t>
      </w:r>
    </w:p>
    <w:p>
      <w:pPr>
        <w:spacing w:after="0" w:line="170"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The Group engages two management entities for the purpose of providing key management services to the Group. These management entities are considered related parties, as they provide key management services and the key management personnel have key management functions within these entities. Certain key management personnel are also shareholders of the Company. The aggregate amount of expense recognized in the consolidated statements of loss and comprehensive loss related to these related parties were €1.1 million in 2023 (2022: €1.2 million, 2021:€1.1 million).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amounts payable to the related parties were €1.4 million (2022: €1.2 million, 2021: €1.6 million).</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1"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Non-cancellable service contracts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bradykinin-B2-receptor antagonist.</w:t>
      </w:r>
    </w:p>
    <w:p>
      <w:pPr>
        <w:sectPr>
          <w:pgSz w:w="11900" w:h="16838" w:orient="portrait"/>
          <w:cols w:equalWidth="0" w:num="1">
            <w:col w:w="11180"/>
          </w:cols>
          <w:pgMar w:left="320" w:top="769" w:right="3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474345</wp:posOffset>
            </wp:positionV>
            <wp:extent cx="71589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198" w:lineRule="exact"/>
        <w:rPr>
          <w:sz w:val="20"/>
          <w:szCs w:val="20"/>
          <w:color w:val="auto"/>
        </w:rPr>
      </w:pPr>
    </w:p>
    <w:p>
      <w:pPr>
        <w:ind w:right="520"/>
        <w:spacing w:after="0" w:line="283" w:lineRule="auto"/>
        <w:rPr>
          <w:sz w:val="20"/>
          <w:szCs w:val="20"/>
          <w:color w:val="auto"/>
        </w:rPr>
      </w:pPr>
      <w:r>
        <w:rPr>
          <w:rFonts w:ascii="Arial" w:cs="Arial" w:eastAsia="Arial" w:hAnsi="Arial"/>
          <w:sz w:val="16"/>
          <w:szCs w:val="16"/>
          <w:color w:val="auto"/>
        </w:rPr>
        <w:t>Commitment for the minimum payments in relation to the non-cancellable service contracts amount to €49 million as of December 31, 2023 (2022: €28 million), of which €44.8 million is committed in the year ending December 31, 2024.</w:t>
      </w:r>
    </w:p>
    <w:p>
      <w:pPr>
        <w:spacing w:after="0" w:line="14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March 31, 2016, the Company entered into a license agreement (the “AnalytiCon License”) and a research agreement with AnalytiCon to collaborate for the development of an orally available bradykinin-B2-receptor antagonist. Pursuant to the AnalytiCon License, the Company acquired a worldwide, exclusive license from AnalytiCon to use (i) a certain proprietary substance class of bradykinin-B2-receptor antagonists with the potential of oral activity (“OB2RA”) and</w:t>
      </w:r>
    </w:p>
    <w:p>
      <w:pPr>
        <w:spacing w:after="0" w:line="2" w:lineRule="exact"/>
        <w:rPr>
          <w:sz w:val="20"/>
          <w:szCs w:val="20"/>
          <w:color w:val="auto"/>
        </w:rPr>
      </w:pPr>
    </w:p>
    <w:p>
      <w:pPr>
        <w:ind w:right="200" w:firstLine="7"/>
        <w:spacing w:after="0" w:line="253" w:lineRule="auto"/>
        <w:tabs>
          <w:tab w:leader="none" w:pos="22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Under the AnalytiCon License, up to €10.5 million in aggregate potential milestone payments remain outstanding. In addition, the Company will be required to pay AnalytiCon low to medium single-digit tiered royalties on direct or indirect net sales of licensed products. The royalties that the Company is required to pay AnalytiCon under this agreement may be reduced on a country-by-country and product-by-product basis if sales of a generic version of a product account for 1% or more of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at December 31, 2023 and 2022.</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Events after the reporting period</w:t>
      </w:r>
    </w:p>
    <w:p>
      <w:pPr>
        <w:spacing w:after="0" w:line="19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April 10, 2024, the Company announced the appointment of Mr. David W. Nassif to the newly created position of Chief Financial Officer, effective April 15, 2024. As Chief Financial Officer, Mr. Nassif will lead and oversee all of the Company’s financial activities and will be responsible for maintaining the financial health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1589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5471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April 10, 2024</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966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1">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3877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2">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3877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3">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/s/ 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3387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4">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0" w:lineRule="exact"/>
        <w:rPr>
          <w:sz w:val="20"/>
          <w:szCs w:val="20"/>
          <w:color w:val="auto"/>
        </w:rPr>
      </w:pPr>
    </w:p>
    <w:p>
      <w:pPr>
        <w:sectPr>
          <w:pgSz w:w="11900" w:h="16838" w:orient="portrait"/>
          <w:cols w:equalWidth="0" w:num="2">
            <w:col w:w="5180" w:space="720"/>
            <w:col w:w="42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1589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Ordinary Shares of the Registrant</w:t>
      </w:r>
    </w:p>
    <w:p>
      <w:pPr>
        <w:spacing w:after="0" w:line="218" w:lineRule="exact"/>
        <w:rPr>
          <w:sz w:val="20"/>
          <w:szCs w:val="20"/>
          <w:color w:val="auto"/>
        </w:rPr>
      </w:pPr>
    </w:p>
    <w:p>
      <w:pPr>
        <w:ind w:right="80" w:firstLine="520"/>
        <w:spacing w:after="0" w:line="283" w:lineRule="auto"/>
        <w:rPr>
          <w:sz w:val="20"/>
          <w:szCs w:val="20"/>
          <w:color w:val="auto"/>
        </w:rPr>
      </w:pPr>
      <w:r>
        <w:rPr>
          <w:rFonts w:ascii="Arial" w:cs="Arial" w:eastAsia="Arial" w:hAnsi="Arial"/>
          <w:sz w:val="16"/>
          <w:szCs w:val="16"/>
          <w:color w:val="auto"/>
        </w:rPr>
        <w:t>As of the date of the Annual Report on Form 20-F of which this Exhibit 2.1 is a part, Pharvaris N.V.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has only one class of securities registered under Section 12 of the Securities Exchange Act of 1934, as amended; our registered ordinary shares.</w:t>
      </w:r>
    </w:p>
    <w:p>
      <w:pPr>
        <w:spacing w:after="0" w:line="156" w:lineRule="exact"/>
        <w:rPr>
          <w:sz w:val="20"/>
          <w:szCs w:val="20"/>
          <w:color w:val="auto"/>
        </w:rPr>
      </w:pPr>
    </w:p>
    <w:p>
      <w:pPr>
        <w:ind w:right="180" w:firstLine="520"/>
        <w:spacing w:after="0" w:line="283" w:lineRule="auto"/>
        <w:rPr>
          <w:sz w:val="20"/>
          <w:szCs w:val="20"/>
          <w:color w:val="auto"/>
        </w:rPr>
      </w:pPr>
      <w:r>
        <w:rPr>
          <w:rFonts w:ascii="Arial" w:cs="Arial" w:eastAsia="Arial" w:hAnsi="Arial"/>
          <w:sz w:val="16"/>
          <w:szCs w:val="16"/>
          <w:color w:val="auto"/>
        </w:rPr>
        <w:t>We are registered with the Trade Register of the Chamber of Commerce (</w:t>
      </w:r>
      <w:r>
        <w:rPr>
          <w:rFonts w:ascii="Arial" w:cs="Arial" w:eastAsia="Arial" w:hAnsi="Arial"/>
          <w:sz w:val="16"/>
          <w:szCs w:val="16"/>
          <w:i w:val="1"/>
          <w:iCs w:val="1"/>
          <w:color w:val="auto"/>
        </w:rPr>
        <w:t>Kamer van Koophandel</w:t>
      </w:r>
      <w:r>
        <w:rPr>
          <w:rFonts w:ascii="Arial" w:cs="Arial" w:eastAsia="Arial" w:hAnsi="Arial"/>
          <w:sz w:val="16"/>
          <w:szCs w:val="16"/>
          <w:color w:val="auto"/>
        </w:rPr>
        <w:t>) under number 64239411. Our corporate seat is in Leiden, the Netherlands, and our registered office is also in Leiden, the Netherlands.</w:t>
      </w:r>
    </w:p>
    <w:p>
      <w:pPr>
        <w:spacing w:after="0" w:line="156" w:lineRule="exact"/>
        <w:rPr>
          <w:sz w:val="20"/>
          <w:szCs w:val="20"/>
          <w:color w:val="auto"/>
        </w:rPr>
      </w:pPr>
    </w:p>
    <w:p>
      <w:pPr>
        <w:ind w:right="280" w:firstLine="520"/>
        <w:spacing w:after="0" w:line="264" w:lineRule="auto"/>
        <w:rPr>
          <w:sz w:val="20"/>
          <w:szCs w:val="20"/>
          <w:color w:val="auto"/>
        </w:rPr>
      </w:pPr>
      <w:r>
        <w:rPr>
          <w:rFonts w:ascii="Arial" w:cs="Arial" w:eastAsia="Arial" w:hAnsi="Arial"/>
          <w:sz w:val="16"/>
          <w:szCs w:val="16"/>
          <w:color w:val="auto"/>
        </w:rPr>
        <w:t>The following description of our ordinary shares is a summary and does not purport to be complete. It is subject to and qualified in its entirety by reference to our Articles of Association, which are incorporated by reference as an exhibit to this Annual Report on Form 20-F of which this Exhibit 2.1 is a part.</w:t>
      </w:r>
    </w:p>
    <w:p>
      <w:pPr>
        <w:spacing w:after="0" w:line="170" w:lineRule="exact"/>
        <w:rPr>
          <w:sz w:val="20"/>
          <w:szCs w:val="20"/>
          <w:color w:val="auto"/>
        </w:rPr>
      </w:pPr>
    </w:p>
    <w:p>
      <w:pPr>
        <w:ind w:left="360" w:hanging="353"/>
        <w:spacing w:after="0"/>
        <w:tabs>
          <w:tab w:leader="none" w:pos="36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w:t>
      </w:r>
    </w:p>
    <w:p>
      <w:pPr>
        <w:spacing w:after="0" w:line="218" w:lineRule="exact"/>
        <w:rPr>
          <w:sz w:val="20"/>
          <w:szCs w:val="20"/>
          <w:color w:val="auto"/>
        </w:rPr>
      </w:pPr>
    </w:p>
    <w:p>
      <w:pPr>
        <w:jc w:val="both"/>
        <w:ind w:right="260" w:firstLine="520"/>
        <w:spacing w:after="0" w:line="264" w:lineRule="auto"/>
        <w:rPr>
          <w:sz w:val="20"/>
          <w:szCs w:val="20"/>
          <w:color w:val="auto"/>
        </w:rPr>
      </w:pPr>
      <w:r>
        <w:rPr>
          <w:rFonts w:ascii="Arial" w:cs="Arial" w:eastAsia="Arial" w:hAnsi="Arial"/>
          <w:sz w:val="16"/>
          <w:szCs w:val="16"/>
          <w:color w:val="auto"/>
        </w:rPr>
        <w:t>Our ordinary shares shall be in registered form (</w:t>
      </w:r>
      <w:r>
        <w:rPr>
          <w:rFonts w:ascii="Arial" w:cs="Arial" w:eastAsia="Arial" w:hAnsi="Arial"/>
          <w:sz w:val="16"/>
          <w:szCs w:val="16"/>
          <w:i w:val="1"/>
          <w:iCs w:val="1"/>
          <w:color w:val="auto"/>
        </w:rPr>
        <w:t>op naam</w:t>
      </w:r>
      <w:r>
        <w:rPr>
          <w:rFonts w:ascii="Arial" w:cs="Arial" w:eastAsia="Arial" w:hAnsi="Arial"/>
          <w:sz w:val="16"/>
          <w:szCs w:val="16"/>
          <w:color w:val="auto"/>
        </w:rPr>
        <w:t>). We may issue share certificates (</w:t>
      </w:r>
      <w:r>
        <w:rPr>
          <w:rFonts w:ascii="Arial" w:cs="Arial" w:eastAsia="Arial" w:hAnsi="Arial"/>
          <w:sz w:val="16"/>
          <w:szCs w:val="16"/>
          <w:i w:val="1"/>
          <w:iCs w:val="1"/>
          <w:color w:val="auto"/>
        </w:rPr>
        <w:t>aandeelbewijzen</w:t>
      </w:r>
      <w:r>
        <w:rPr>
          <w:rFonts w:ascii="Arial" w:cs="Arial" w:eastAsia="Arial" w:hAnsi="Arial"/>
          <w:sz w:val="16"/>
          <w:szCs w:val="16"/>
          <w:color w:val="auto"/>
        </w:rPr>
        <w:t>) for registered shares in such form as may be approved by our board of directors, or the Board. Our authorized share capital amounts to €14,100,000, divided into 117,500,000 ordinary shares, each with a nominal value of €0.12.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Under Dutch law, our authorized share capital is the maximum capital that we may issue without amending our Articles of Association.</w:t>
      </w:r>
    </w:p>
    <w:p>
      <w:pPr>
        <w:spacing w:after="0" w:line="218"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main rights of holders of our ordinary shares:</w:t>
      </w:r>
    </w:p>
    <w:p>
      <w:pPr>
        <w:spacing w:after="0" w:line="218" w:lineRule="exact"/>
        <w:rPr>
          <w:sz w:val="20"/>
          <w:szCs w:val="20"/>
          <w:color w:val="auto"/>
        </w:rPr>
      </w:pPr>
    </w:p>
    <w:p>
      <w:pPr>
        <w:ind w:left="1500" w:right="720" w:hanging="732"/>
        <w:spacing w:after="0" w:line="283" w:lineRule="auto"/>
        <w:tabs>
          <w:tab w:leader="none" w:pos="1121" w:val="left"/>
        </w:tabs>
        <w:numPr>
          <w:ilvl w:val="2"/>
          <w:numId w:val="139"/>
        </w:numPr>
        <w:rPr>
          <w:rFonts w:ascii="Arial" w:cs="Arial" w:eastAsia="Arial" w:hAnsi="Arial"/>
          <w:sz w:val="16"/>
          <w:szCs w:val="16"/>
          <w:color w:val="auto"/>
        </w:rPr>
      </w:pPr>
      <w:r>
        <w:rPr>
          <w:rFonts w:ascii="Arial" w:cs="Arial" w:eastAsia="Arial" w:hAnsi="Arial"/>
          <w:sz w:val="16"/>
          <w:szCs w:val="16"/>
          <w:color w:val="auto"/>
        </w:rPr>
        <w:t>each holder of ordinary shares is entitled to one vote per share on all matters to be voted on by shareholders generally, including the appointment of directors;</w:t>
      </w:r>
    </w:p>
    <w:p>
      <w:pPr>
        <w:spacing w:after="0" w:line="129" w:lineRule="exact"/>
        <w:rPr>
          <w:rFonts w:ascii="Arial" w:cs="Arial" w:eastAsia="Arial" w:hAnsi="Arial"/>
          <w:sz w:val="16"/>
          <w:szCs w:val="16"/>
          <w:color w:val="auto"/>
        </w:rPr>
      </w:pPr>
    </w:p>
    <w:p>
      <w:pPr>
        <w:ind w:left="1120" w:hanging="364"/>
        <w:spacing w:after="0"/>
        <w:tabs>
          <w:tab w:leader="none" w:pos="11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there are no cumulative voting rights;</w:t>
      </w:r>
    </w:p>
    <w:p>
      <w:pPr>
        <w:spacing w:after="0" w:line="191" w:lineRule="exact"/>
        <w:rPr>
          <w:rFonts w:ascii="Arial" w:cs="Arial" w:eastAsia="Arial" w:hAnsi="Arial"/>
          <w:sz w:val="16"/>
          <w:szCs w:val="16"/>
          <w:color w:val="auto"/>
        </w:rPr>
      </w:pPr>
    </w:p>
    <w:p>
      <w:pPr>
        <w:ind w:left="1500" w:right="340" w:hanging="732"/>
        <w:spacing w:after="0" w:line="283" w:lineRule="auto"/>
        <w:tabs>
          <w:tab w:leader="none" w:pos="1121"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w:t>
      </w:r>
    </w:p>
    <w:p>
      <w:pPr>
        <w:spacing w:after="0" w:line="102" w:lineRule="exact"/>
        <w:rPr>
          <w:rFonts w:ascii="Arial" w:cs="Arial" w:eastAsia="Arial" w:hAnsi="Arial"/>
          <w:sz w:val="16"/>
          <w:szCs w:val="16"/>
          <w:color w:val="auto"/>
        </w:rPr>
      </w:pPr>
    </w:p>
    <w:p>
      <w:pPr>
        <w:ind w:left="1500" w:right="680" w:hanging="728"/>
        <w:spacing w:after="0" w:line="283" w:lineRule="auto"/>
        <w:tabs>
          <w:tab w:leader="none" w:pos="1125" w:val="left"/>
        </w:tabs>
        <w:numPr>
          <w:ilvl w:val="2"/>
          <w:numId w:val="140"/>
        </w:numPr>
        <w:rPr>
          <w:rFonts w:ascii="Arial" w:cs="Arial" w:eastAsia="Arial" w:hAnsi="Arial"/>
          <w:sz w:val="16"/>
          <w:szCs w:val="16"/>
          <w:color w:val="auto"/>
        </w:rPr>
      </w:pPr>
      <w:r>
        <w:rPr>
          <w:rFonts w:ascii="Arial" w:cs="Arial" w:eastAsia="Arial" w:hAnsi="Arial"/>
          <w:sz w:val="16"/>
          <w:szCs w:val="16"/>
          <w:color w:val="auto"/>
        </w:rPr>
        <w:t>upon our liquidation or dissolution, the holders of ordinary shares will be entitled to share ratably in the distribution of all of our assets remaining available for distribution after satisfaction of all our liabilities; and</w:t>
      </w:r>
    </w:p>
    <w:p>
      <w:pPr>
        <w:spacing w:after="0" w:line="129" w:lineRule="exact"/>
        <w:rPr>
          <w:rFonts w:ascii="Arial" w:cs="Arial" w:eastAsia="Arial" w:hAnsi="Arial"/>
          <w:sz w:val="16"/>
          <w:szCs w:val="16"/>
          <w:color w:val="auto"/>
        </w:rPr>
      </w:pPr>
    </w:p>
    <w:p>
      <w:pPr>
        <w:ind w:left="1500" w:right="240" w:hanging="728"/>
        <w:spacing w:after="0" w:line="264" w:lineRule="auto"/>
        <w:tabs>
          <w:tab w:leader="none" w:pos="1125"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143" w:lineRule="exact"/>
        <w:rPr>
          <w:rFonts w:ascii="Arial" w:cs="Arial" w:eastAsia="Arial" w:hAnsi="Arial"/>
          <w:sz w:val="16"/>
          <w:szCs w:val="16"/>
          <w:color w:val="auto"/>
        </w:rPr>
      </w:pPr>
    </w:p>
    <w:p>
      <w:pPr>
        <w:ind w:left="360" w:hanging="353"/>
        <w:spacing w:after="0"/>
        <w:tabs>
          <w:tab w:leader="none" w:pos="36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Register</w:t>
      </w:r>
    </w:p>
    <w:p>
      <w:pPr>
        <w:spacing w:after="0" w:line="218"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6"/>
          <w:szCs w:val="16"/>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972820</wp:posOffset>
            </wp:positionV>
            <wp:extent cx="71589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45" w:name="page146"/>
    <w:bookmarkEnd w:id="145"/>
    <w:p>
      <w:pPr>
        <w:spacing w:after="0" w:line="283" w:lineRule="auto"/>
        <w:rPr>
          <w:sz w:val="20"/>
          <w:szCs w:val="20"/>
          <w:color w:val="auto"/>
        </w:rPr>
      </w:pPr>
      <w:r>
        <w:rPr>
          <w:rFonts w:ascii="Arial" w:cs="Arial" w:eastAsia="Arial" w:hAnsi="Arial"/>
          <w:sz w:val="16"/>
          <w:szCs w:val="16"/>
          <w:color w:val="auto"/>
        </w:rPr>
        <w:t>as well as the amount paid on each share. The register also includes the names and addresses of those with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on registered shares belonging to another or a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such shares.</w:t>
      </w:r>
    </w:p>
    <w:p>
      <w:pPr>
        <w:spacing w:after="0" w:line="156" w:lineRule="exact"/>
        <w:rPr>
          <w:sz w:val="20"/>
          <w:szCs w:val="20"/>
          <w:color w:val="auto"/>
        </w:rPr>
      </w:pPr>
    </w:p>
    <w:p>
      <w:pPr>
        <w:ind w:left="360" w:hanging="353"/>
        <w:spacing w:after="0"/>
        <w:tabs>
          <w:tab w:leader="none" w:pos="36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Objectives</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Pursuant to the Articles of Association, our corporate objectives are:</w:t>
      </w:r>
    </w:p>
    <w:p>
      <w:pPr>
        <w:spacing w:after="0" w:line="218" w:lineRule="exact"/>
        <w:rPr>
          <w:sz w:val="20"/>
          <w:szCs w:val="20"/>
          <w:color w:val="auto"/>
        </w:rPr>
      </w:pPr>
    </w:p>
    <w:p>
      <w:pPr>
        <w:ind w:left="760" w:hanging="378"/>
        <w:spacing w:after="0"/>
        <w:tabs>
          <w:tab w:leader="none" w:pos="760" w:val="left"/>
        </w:tabs>
        <w:numPr>
          <w:ilvl w:val="1"/>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to discover, develop and commercialize treatments, including for hereditary angioedema;</w:t>
      </w:r>
    </w:p>
    <w:p>
      <w:pPr>
        <w:spacing w:after="0" w:line="230" w:lineRule="exact"/>
        <w:rPr>
          <w:rFonts w:ascii="Times New Roman" w:cs="Times New Roman" w:eastAsia="Times New Roman" w:hAnsi="Times New Roman"/>
          <w:sz w:val="16"/>
          <w:szCs w:val="16"/>
          <w:color w:val="auto"/>
        </w:rPr>
      </w:pPr>
    </w:p>
    <w:p>
      <w:pPr>
        <w:jc w:val="both"/>
        <w:ind w:left="760" w:hanging="378"/>
        <w:spacing w:after="0" w:line="263" w:lineRule="auto"/>
        <w:tabs>
          <w:tab w:leader="none" w:pos="760" w:val="left"/>
        </w:tabs>
        <w:numPr>
          <w:ilvl w:val="1"/>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171" w:lineRule="exact"/>
        <w:rPr>
          <w:rFonts w:ascii="Times New Roman" w:cs="Times New Roman" w:eastAsia="Times New Roman" w:hAnsi="Times New Roman"/>
          <w:sz w:val="16"/>
          <w:szCs w:val="16"/>
          <w:color w:val="auto"/>
        </w:rPr>
      </w:pPr>
    </w:p>
    <w:p>
      <w:pPr>
        <w:ind w:left="760" w:hanging="378"/>
        <w:spacing w:after="0" w:line="282" w:lineRule="auto"/>
        <w:tabs>
          <w:tab w:leader="none" w:pos="760" w:val="left"/>
        </w:tabs>
        <w:numPr>
          <w:ilvl w:val="1"/>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to incorporate, participate in, finance or hold any other interest in and to conduct the management or supervision of other entities, companies, partnerships and businesses;</w:t>
      </w:r>
    </w:p>
    <w:p>
      <w:pPr>
        <w:spacing w:after="0" w:line="1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to acquire, to manage, to invest, to exploit, to encumber and to dispose of assets and liabilities;</w:t>
      </w:r>
    </w:p>
    <w:p>
      <w:pPr>
        <w:spacing w:after="0" w:line="230" w:lineRule="exact"/>
        <w:rPr>
          <w:rFonts w:ascii="Times New Roman" w:cs="Times New Roman" w:eastAsia="Times New Roman" w:hAnsi="Times New Roman"/>
          <w:sz w:val="16"/>
          <w:szCs w:val="16"/>
          <w:color w:val="auto"/>
        </w:rPr>
      </w:pPr>
    </w:p>
    <w:p>
      <w:pPr>
        <w:ind w:left="760" w:right="20" w:hanging="378"/>
        <w:spacing w:after="0" w:line="282" w:lineRule="auto"/>
        <w:tabs>
          <w:tab w:leader="none" w:pos="760" w:val="left"/>
        </w:tabs>
        <w:numPr>
          <w:ilvl w:val="1"/>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to furnish guarantees, to provide security, to warrant performance in any other way and to assume liability, whether jointly and severally or otherwise, in respect of obligations of group companies or other parties; and</w:t>
      </w:r>
    </w:p>
    <w:p>
      <w:pPr>
        <w:spacing w:after="0" w:line="1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to do anything which, in the widest sense, is connected with or may be conducive to the objects described above.</w:t>
      </w:r>
    </w:p>
    <w:p>
      <w:pPr>
        <w:spacing w:after="0" w:line="2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D.  Amendment to our Articles of Association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An amendment to our Articles of Association would require a resolution of the general meeting upon proposal by the Board.</w:t>
      </w:r>
    </w:p>
    <w:p>
      <w:pPr>
        <w:spacing w:after="0" w:line="218" w:lineRule="exact"/>
        <w:rPr>
          <w:sz w:val="20"/>
          <w:szCs w:val="20"/>
          <w:color w:val="auto"/>
        </w:rPr>
      </w:pPr>
    </w:p>
    <w:p>
      <w:pPr>
        <w:ind w:left="360" w:hanging="353"/>
        <w:spacing w:after="0"/>
        <w:tabs>
          <w:tab w:leader="none" w:pos="36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Limitations on the Rights to Own Ordinary Shares</w:t>
      </w:r>
    </w:p>
    <w:p>
      <w:pPr>
        <w:spacing w:after="0" w:line="218" w:lineRule="exact"/>
        <w:rPr>
          <w:sz w:val="20"/>
          <w:szCs w:val="20"/>
          <w:color w:val="auto"/>
        </w:rPr>
      </w:pPr>
    </w:p>
    <w:p>
      <w:pPr>
        <w:ind w:right="120" w:firstLine="520"/>
        <w:spacing w:after="0" w:line="264" w:lineRule="auto"/>
        <w:rPr>
          <w:sz w:val="20"/>
          <w:szCs w:val="20"/>
          <w:color w:val="auto"/>
        </w:rPr>
      </w:pPr>
      <w:r>
        <w:rPr>
          <w:rFonts w:ascii="Arial" w:cs="Arial" w:eastAsia="Arial" w:hAnsi="Arial"/>
          <w:sz w:val="16"/>
          <w:szCs w:val="16"/>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w:t>
      </w:r>
    </w:p>
    <w:p>
      <w:pPr>
        <w:spacing w:after="0" w:line="130" w:lineRule="exact"/>
        <w:rPr>
          <w:sz w:val="20"/>
          <w:szCs w:val="20"/>
          <w:color w:val="auto"/>
        </w:rPr>
      </w:pPr>
    </w:p>
    <w:p>
      <w:pPr>
        <w:ind w:left="360" w:hanging="353"/>
        <w:spacing w:after="0"/>
        <w:tabs>
          <w:tab w:leader="none" w:pos="36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Liability and Indemnification Matters</w:t>
      </w:r>
    </w:p>
    <w:p>
      <w:pPr>
        <w:spacing w:after="0" w:line="218" w:lineRule="exact"/>
        <w:rPr>
          <w:sz w:val="20"/>
          <w:szCs w:val="20"/>
          <w:color w:val="auto"/>
        </w:rPr>
      </w:pPr>
    </w:p>
    <w:p>
      <w:pPr>
        <w:ind w:right="60" w:firstLine="520"/>
        <w:spacing w:after="0" w:line="254" w:lineRule="auto"/>
        <w:rPr>
          <w:sz w:val="20"/>
          <w:szCs w:val="20"/>
          <w:color w:val="auto"/>
        </w:rPr>
      </w:pPr>
      <w:r>
        <w:rPr>
          <w:rFonts w:ascii="Arial" w:cs="Arial" w:eastAsia="Arial" w:hAnsi="Arial"/>
          <w:sz w:val="16"/>
          <w:szCs w:val="16"/>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179" w:lineRule="exact"/>
        <w:rPr>
          <w:sz w:val="20"/>
          <w:szCs w:val="20"/>
          <w:color w:val="auto"/>
        </w:rPr>
      </w:pPr>
    </w:p>
    <w:p>
      <w:pPr>
        <w:ind w:left="760" w:right="100" w:hanging="378"/>
        <w:spacing w:after="0" w:line="257" w:lineRule="auto"/>
        <w:tabs>
          <w:tab w:leader="none" w:pos="76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2" w:lineRule="exact"/>
        <w:rPr>
          <w:rFonts w:ascii="Times New Roman" w:cs="Times New Roman" w:eastAsia="Times New Roman" w:hAnsi="Times New Roman"/>
          <w:sz w:val="16"/>
          <w:szCs w:val="16"/>
          <w:color w:val="auto"/>
        </w:rPr>
      </w:pPr>
    </w:p>
    <w:p>
      <w:pPr>
        <w:ind w:left="760" w:right="460" w:hanging="378"/>
        <w:spacing w:after="0" w:line="282" w:lineRule="auto"/>
        <w:tabs>
          <w:tab w:leader="none" w:pos="76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929640</wp:posOffset>
            </wp:positionV>
            <wp:extent cx="71589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46" w:name="page147"/>
    <w:bookmarkEnd w:id="146"/>
    <w:p>
      <w:pPr>
        <w:jc w:val="both"/>
        <w:ind w:left="780" w:right="140" w:hanging="384"/>
        <w:spacing w:after="0" w:line="263" w:lineRule="auto"/>
        <w:tabs>
          <w:tab w:leader="none" w:pos="78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145" w:lineRule="exact"/>
        <w:rPr>
          <w:rFonts w:ascii="Times New Roman" w:cs="Times New Roman" w:eastAsia="Times New Roman" w:hAnsi="Times New Roman"/>
          <w:sz w:val="16"/>
          <w:szCs w:val="16"/>
          <w:color w:val="auto"/>
        </w:rPr>
      </w:pPr>
    </w:p>
    <w:p>
      <w:pPr>
        <w:ind w:left="780" w:right="220" w:hanging="384"/>
        <w:spacing w:after="0" w:line="282" w:lineRule="auto"/>
        <w:tabs>
          <w:tab w:leader="none" w:pos="78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color w:val="auto"/>
        </w:rPr>
        <w:t>for any financial losses, damages or expenses incurred in connection with a settlement of any proceedings effected without the Company’s prior consent.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our Articles of Association, our Board may stipulate additional terms, conditions and restrictions in relation to the indemnification described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2" w:lineRule="exact"/>
        <w:rPr>
          <w:sz w:val="20"/>
          <w:szCs w:val="20"/>
          <w:color w:val="auto"/>
        </w:rPr>
      </w:pPr>
    </w:p>
    <w:p>
      <w:pPr>
        <w:ind w:left="360" w:hanging="353"/>
        <w:spacing w:after="0"/>
        <w:tabs>
          <w:tab w:leader="none" w:pos="36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Meetings and Consents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Meeting</w:t>
      </w:r>
    </w:p>
    <w:p>
      <w:pPr>
        <w:spacing w:after="0" w:line="216" w:lineRule="exact"/>
        <w:rPr>
          <w:sz w:val="20"/>
          <w:szCs w:val="20"/>
          <w:color w:val="auto"/>
        </w:rPr>
      </w:pPr>
    </w:p>
    <w:p>
      <w:pPr>
        <w:ind w:right="60" w:firstLine="520"/>
        <w:spacing w:after="0" w:line="252" w:lineRule="auto"/>
        <w:rPr>
          <w:sz w:val="20"/>
          <w:szCs w:val="20"/>
          <w:color w:val="auto"/>
        </w:rPr>
      </w:pPr>
      <w:r>
        <w:rPr>
          <w:rFonts w:ascii="Arial" w:cs="Arial" w:eastAsia="Arial" w:hAnsi="Arial"/>
          <w:sz w:val="16"/>
          <w:szCs w:val="16"/>
          <w:color w:val="auto"/>
        </w:rPr>
        <w:t>General meetings may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has decreased to an amount equal to or lower than half of our paid-in and called-up share capital, in order to discuss the measures to be taken if so required.</w:t>
      </w:r>
    </w:p>
    <w:p>
      <w:pPr>
        <w:spacing w:after="0" w:line="181" w:lineRule="exact"/>
        <w:rPr>
          <w:sz w:val="20"/>
          <w:szCs w:val="20"/>
          <w:color w:val="auto"/>
        </w:rPr>
      </w:pPr>
    </w:p>
    <w:p>
      <w:pPr>
        <w:ind w:right="80" w:firstLine="520"/>
        <w:spacing w:after="0" w:line="254" w:lineRule="auto"/>
        <w:rPr>
          <w:sz w:val="20"/>
          <w:szCs w:val="20"/>
          <w:color w:val="auto"/>
        </w:rPr>
      </w:pPr>
      <w:r>
        <w:rPr>
          <w:rFonts w:ascii="Arial" w:cs="Arial" w:eastAsia="Arial" w:hAnsi="Arial"/>
          <w:sz w:val="16"/>
          <w:szCs w:val="16"/>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w:t>
      </w:r>
    </w:p>
    <w:p>
      <w:pPr>
        <w:spacing w:after="0" w:line="5"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be held within six weeks after the request. The application shall also be disallowed if the proponent(s) has/have not demonstrated to have a reasonable interest in the convening of the general meeting.</w:t>
      </w:r>
    </w:p>
    <w:p>
      <w:pPr>
        <w:spacing w:after="0" w:line="143"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3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70" w:lineRule="exact"/>
        <w:rPr>
          <w:sz w:val="20"/>
          <w:szCs w:val="20"/>
          <w:color w:val="auto"/>
        </w:rPr>
      </w:pPr>
    </w:p>
    <w:p>
      <w:pPr>
        <w:ind w:right="80" w:firstLine="520"/>
        <w:spacing w:after="0" w:line="250" w:lineRule="auto"/>
        <w:rPr>
          <w:sz w:val="20"/>
          <w:szCs w:val="20"/>
          <w:color w:val="auto"/>
        </w:rPr>
      </w:pPr>
      <w:r>
        <w:rPr>
          <w:rFonts w:ascii="Arial" w:cs="Arial" w:eastAsia="Arial" w:hAnsi="Arial"/>
          <w:sz w:val="16"/>
          <w:szCs w:val="16"/>
          <w:color w:val="auto"/>
        </w:rPr>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844550</wp:posOffset>
            </wp:positionV>
            <wp:extent cx="71589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47" w:name="page148"/>
    <w:bookmarkEnd w:id="147"/>
    <w:p>
      <w:pPr>
        <w:spacing w:after="0" w:line="120" w:lineRule="exact"/>
        <w:rPr>
          <w:sz w:val="20"/>
          <w:szCs w:val="20"/>
          <w:color w:val="auto"/>
        </w:rPr>
      </w:pPr>
    </w:p>
    <w:p>
      <w:pPr>
        <w:ind w:right="180" w:firstLine="520"/>
        <w:spacing w:after="0" w:line="252" w:lineRule="auto"/>
        <w:rPr>
          <w:sz w:val="20"/>
          <w:szCs w:val="20"/>
          <w:color w:val="auto"/>
        </w:rPr>
      </w:pPr>
      <w:r>
        <w:rPr>
          <w:rFonts w:ascii="Arial" w:cs="Arial" w:eastAsia="Arial" w:hAnsi="Arial"/>
          <w:sz w:val="16"/>
          <w:szCs w:val="16"/>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55" w:lineRule="exact"/>
        <w:rPr>
          <w:sz w:val="20"/>
          <w:szCs w:val="20"/>
          <w:color w:val="auto"/>
        </w:rPr>
      </w:pPr>
    </w:p>
    <w:p>
      <w:pPr>
        <w:ind w:right="100" w:firstLine="520"/>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9" w:lineRule="exact"/>
        <w:rPr>
          <w:sz w:val="20"/>
          <w:szCs w:val="20"/>
          <w:color w:val="auto"/>
        </w:rPr>
      </w:pPr>
    </w:p>
    <w:p>
      <w:pPr>
        <w:ind w:left="760" w:right="240" w:hanging="378"/>
        <w:spacing w:after="0" w:line="254" w:lineRule="auto"/>
        <w:tabs>
          <w:tab w:leader="none" w:pos="7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 w:lineRule="exact"/>
        <w:rPr>
          <w:rFonts w:ascii="Times New Roman" w:cs="Times New Roman" w:eastAsia="Times New Roman" w:hAnsi="Times New Roman"/>
          <w:sz w:val="16"/>
          <w:szCs w:val="16"/>
          <w:color w:val="auto"/>
        </w:rPr>
      </w:pPr>
    </w:p>
    <w:p>
      <w:pPr>
        <w:jc w:val="both"/>
        <w:ind w:left="780" w:right="20" w:hanging="384"/>
        <w:spacing w:after="0" w:line="255" w:lineRule="auto"/>
        <w:tabs>
          <w:tab w:leader="none" w:pos="780" w:val="left"/>
        </w:tabs>
        <w:numPr>
          <w:ilvl w:val="1"/>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8" w:lineRule="exact"/>
        <w:rPr>
          <w:sz w:val="20"/>
          <w:szCs w:val="20"/>
          <w:color w:val="auto"/>
        </w:rPr>
      </w:pPr>
    </w:p>
    <w:p>
      <w:pPr>
        <w:ind w:right="20" w:firstLine="520"/>
        <w:spacing w:after="0" w:line="252" w:lineRule="auto"/>
        <w:rPr>
          <w:sz w:val="20"/>
          <w:szCs w:val="20"/>
          <w:color w:val="auto"/>
        </w:rPr>
      </w:pPr>
      <w:r>
        <w:rPr>
          <w:rFonts w:ascii="Arial" w:cs="Arial" w:eastAsia="Arial" w:hAnsi="Arial"/>
          <w:sz w:val="16"/>
          <w:szCs w:val="16"/>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1"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Quorum and voting requirements</w:t>
      </w:r>
    </w:p>
    <w:p>
      <w:pPr>
        <w:spacing w:after="0" w:line="216" w:lineRule="exact"/>
        <w:rPr>
          <w:sz w:val="20"/>
          <w:szCs w:val="20"/>
          <w:color w:val="auto"/>
        </w:rPr>
      </w:pPr>
    </w:p>
    <w:p>
      <w:pPr>
        <w:ind w:firstLine="520"/>
        <w:spacing w:after="0" w:line="250" w:lineRule="auto"/>
        <w:rPr>
          <w:sz w:val="20"/>
          <w:szCs w:val="20"/>
          <w:color w:val="auto"/>
        </w:rPr>
      </w:pPr>
      <w:r>
        <w:rPr>
          <w:rFonts w:ascii="Arial" w:cs="Arial" w:eastAsia="Arial" w:hAnsi="Arial"/>
          <w:sz w:val="16"/>
          <w:szCs w:val="16"/>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xml:space="preserve">) in respect of shares held by us or our subsidiaries in our share capital are not excluded from the right to vote on such shares, if the right of usufruct (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980440</wp:posOffset>
            </wp:positionV>
            <wp:extent cx="71589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271" w:lineRule="auto"/>
        <w:rPr>
          <w:sz w:val="20"/>
          <w:szCs w:val="20"/>
          <w:color w:val="auto"/>
        </w:rPr>
      </w:pPr>
      <w:r>
        <w:rPr>
          <w:rFonts w:ascii="Arial" w:cs="Arial" w:eastAsia="Arial" w:hAnsi="Arial"/>
          <w:sz w:val="16"/>
          <w:szCs w:val="16"/>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141" w:lineRule="exact"/>
        <w:rPr>
          <w:sz w:val="20"/>
          <w:szCs w:val="20"/>
          <w:color w:val="auto"/>
        </w:rPr>
      </w:pPr>
    </w:p>
    <w:p>
      <w:pPr>
        <w:ind w:left="360" w:hanging="353"/>
        <w:spacing w:after="0"/>
        <w:tabs>
          <w:tab w:leader="none" w:pos="360"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Board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directors</w:t>
      </w:r>
    </w:p>
    <w:p>
      <w:pPr>
        <w:spacing w:after="0" w:line="216" w:lineRule="exact"/>
        <w:rPr>
          <w:sz w:val="20"/>
          <w:szCs w:val="20"/>
          <w:color w:val="auto"/>
        </w:rPr>
      </w:pPr>
    </w:p>
    <w:p>
      <w:pPr>
        <w:ind w:right="60" w:firstLine="520"/>
        <w:spacing w:after="0" w:line="257"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7" w:lineRule="exact"/>
        <w:rPr>
          <w:sz w:val="20"/>
          <w:szCs w:val="20"/>
          <w:color w:val="auto"/>
        </w:rPr>
      </w:pPr>
    </w:p>
    <w:p>
      <w:pPr>
        <w:ind w:right="260" w:firstLine="520"/>
        <w:spacing w:after="0" w:line="264"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and liabilities of directors</w:t>
      </w:r>
    </w:p>
    <w:p>
      <w:pPr>
        <w:spacing w:after="0" w:line="216" w:lineRule="exact"/>
        <w:rPr>
          <w:sz w:val="20"/>
          <w:szCs w:val="20"/>
          <w:color w:val="auto"/>
        </w:rPr>
      </w:pPr>
    </w:p>
    <w:p>
      <w:pPr>
        <w:ind w:right="280" w:firstLine="520"/>
        <w:spacing w:after="0" w:line="257" w:lineRule="auto"/>
        <w:rPr>
          <w:sz w:val="20"/>
          <w:szCs w:val="20"/>
          <w:color w:val="auto"/>
        </w:rPr>
      </w:pPr>
      <w:r>
        <w:rPr>
          <w:rFonts w:ascii="Arial" w:cs="Arial" w:eastAsia="Arial" w:hAnsi="Arial"/>
          <w:sz w:val="16"/>
          <w:szCs w:val="16"/>
          <w:color w:val="auto"/>
        </w:rPr>
        <w:t>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w:t>
      </w:r>
    </w:p>
    <w:p>
      <w:pPr>
        <w:spacing w:after="0" w:line="137" w:lineRule="exact"/>
        <w:rPr>
          <w:sz w:val="20"/>
          <w:szCs w:val="20"/>
          <w:color w:val="auto"/>
        </w:rPr>
      </w:pPr>
    </w:p>
    <w:p>
      <w:pPr>
        <w:ind w:right="20" w:firstLine="520"/>
        <w:spacing w:after="0" w:line="252" w:lineRule="auto"/>
        <w:rPr>
          <w:sz w:val="20"/>
          <w:szCs w:val="20"/>
          <w:color w:val="auto"/>
        </w:rPr>
      </w:pPr>
      <w:r>
        <w:rPr>
          <w:rFonts w:ascii="Arial" w:cs="Arial" w:eastAsia="Arial" w:hAnsi="Arial"/>
          <w:sz w:val="16"/>
          <w:szCs w:val="16"/>
          <w:color w:val="auto"/>
        </w:rPr>
        <w:t>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55" w:lineRule="exact"/>
        <w:rPr>
          <w:sz w:val="20"/>
          <w:szCs w:val="20"/>
          <w:color w:val="auto"/>
        </w:rPr>
      </w:pPr>
    </w:p>
    <w:p>
      <w:pPr>
        <w:ind w:right="80" w:firstLine="520"/>
        <w:spacing w:after="0" w:line="283" w:lineRule="auto"/>
        <w:rPr>
          <w:sz w:val="20"/>
          <w:szCs w:val="20"/>
          <w:color w:val="auto"/>
        </w:rPr>
      </w:pPr>
      <w:r>
        <w:rPr>
          <w:rFonts w:ascii="Arial" w:cs="Arial" w:eastAsia="Arial" w:hAnsi="Arial"/>
          <w:sz w:val="16"/>
          <w:szCs w:val="16"/>
          <w:color w:val="auto"/>
        </w:rPr>
        <w:t>Our Board is entitled to represent our company. The power to represent our company also vests in our chief executive officer individually, as well as in any other two executive directors acting jointly.</w:t>
      </w:r>
    </w:p>
    <w:p>
      <w:pPr>
        <w:spacing w:after="0" w:line="156" w:lineRule="exact"/>
        <w:rPr>
          <w:sz w:val="20"/>
          <w:szCs w:val="20"/>
          <w:color w:val="auto"/>
        </w:rPr>
      </w:pPr>
    </w:p>
    <w:p>
      <w:pPr>
        <w:ind w:left="360" w:hanging="353"/>
        <w:spacing w:after="0"/>
        <w:tabs>
          <w:tab w:leader="none" w:pos="36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Other Distributions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 available for distribution</w:t>
      </w:r>
    </w:p>
    <w:p>
      <w:pPr>
        <w:spacing w:after="0" w:line="216" w:lineRule="exact"/>
        <w:rPr>
          <w:sz w:val="20"/>
          <w:szCs w:val="20"/>
          <w:color w:val="auto"/>
        </w:rPr>
      </w:pPr>
    </w:p>
    <w:p>
      <w:pPr>
        <w:ind w:right="120" w:firstLine="749"/>
        <w:spacing w:after="0" w:line="257" w:lineRule="auto"/>
        <w:rPr>
          <w:sz w:val="20"/>
          <w:szCs w:val="20"/>
          <w:color w:val="auto"/>
        </w:rPr>
      </w:pPr>
      <w:r>
        <w:rPr>
          <w:rFonts w:ascii="Arial" w:cs="Arial" w:eastAsia="Arial" w:hAnsi="Arial"/>
          <w:sz w:val="16"/>
          <w:szCs w:val="16"/>
          <w:color w:val="auto"/>
        </w:rPr>
        <w:t>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77" w:lineRule="exact"/>
        <w:rPr>
          <w:sz w:val="20"/>
          <w:szCs w:val="20"/>
          <w:color w:val="auto"/>
        </w:rPr>
      </w:pPr>
    </w:p>
    <w:p>
      <w:pPr>
        <w:ind w:right="80" w:firstLine="749"/>
        <w:spacing w:after="0" w:line="264" w:lineRule="auto"/>
        <w:rPr>
          <w:sz w:val="20"/>
          <w:szCs w:val="20"/>
          <w:color w:val="auto"/>
        </w:rPr>
      </w:pPr>
      <w:r>
        <w:rPr>
          <w:rFonts w:ascii="Arial" w:cs="Arial" w:eastAsia="Arial" w:hAnsi="Arial"/>
          <w:sz w:val="16"/>
          <w:szCs w:val="16"/>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70" w:lineRule="exact"/>
        <w:rPr>
          <w:sz w:val="20"/>
          <w:szCs w:val="20"/>
          <w:color w:val="auto"/>
        </w:rPr>
      </w:pPr>
    </w:p>
    <w:p>
      <w:pPr>
        <w:ind w:right="40" w:firstLine="749"/>
        <w:spacing w:after="0" w:line="283" w:lineRule="auto"/>
        <w:rPr>
          <w:sz w:val="20"/>
          <w:szCs w:val="20"/>
          <w:color w:val="auto"/>
        </w:rPr>
      </w:pPr>
      <w:r>
        <w:rPr>
          <w:rFonts w:ascii="Arial" w:cs="Arial" w:eastAsia="Arial" w:hAnsi="Arial"/>
          <w:sz w:val="16"/>
          <w:szCs w:val="16"/>
          <w:color w:val="auto"/>
        </w:rPr>
        <w:t>Our Board is permitted, subject to certain requirements and applicable restrictions of Dutch law, to declare interim dividends without the approval of the general meeting.</w:t>
      </w:r>
    </w:p>
    <w:p>
      <w:pPr>
        <w:spacing w:after="0" w:line="156" w:lineRule="exact"/>
        <w:rPr>
          <w:sz w:val="20"/>
          <w:szCs w:val="20"/>
          <w:color w:val="auto"/>
        </w:rPr>
      </w:pPr>
    </w:p>
    <w:p>
      <w:pPr>
        <w:ind w:right="140" w:firstLine="749"/>
        <w:spacing w:after="0" w:line="283" w:lineRule="auto"/>
        <w:rPr>
          <w:sz w:val="20"/>
          <w:szCs w:val="20"/>
          <w:color w:val="auto"/>
        </w:rPr>
      </w:pPr>
      <w:r>
        <w:rPr>
          <w:rFonts w:ascii="Arial" w:cs="Arial" w:eastAsia="Arial" w:hAnsi="Arial"/>
          <w:sz w:val="16"/>
          <w:szCs w:val="16"/>
          <w:color w:val="auto"/>
        </w:rPr>
        <w:t>Dividends and other distributions shall be made payable no later than a date determined by the Board. Claims to dividends and other distributions not made within five years from the date that such dividends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827405</wp:posOffset>
            </wp:positionV>
            <wp:extent cx="71589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controls</w:t>
      </w:r>
    </w:p>
    <w:p>
      <w:pPr>
        <w:spacing w:after="0" w:line="216" w:lineRule="exact"/>
        <w:rPr>
          <w:sz w:val="20"/>
          <w:szCs w:val="20"/>
          <w:color w:val="auto"/>
        </w:rPr>
      </w:pPr>
    </w:p>
    <w:p>
      <w:pPr>
        <w:ind w:right="280" w:firstLine="520"/>
        <w:spacing w:after="0" w:line="252" w:lineRule="auto"/>
        <w:rPr>
          <w:sz w:val="20"/>
          <w:szCs w:val="20"/>
          <w:color w:val="auto"/>
        </w:rPr>
      </w:pPr>
      <w:r>
        <w:rPr>
          <w:rFonts w:ascii="Arial" w:cs="Arial" w:eastAsia="Arial" w:hAnsi="Arial"/>
          <w:sz w:val="16"/>
          <w:szCs w:val="16"/>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6"/>
          <w:szCs w:val="16"/>
          <w:i w:val="1"/>
          <w:iCs w:val="1"/>
          <w:color w:val="auto"/>
        </w:rPr>
        <w:t>Sanctiewet 1977</w:t>
      </w:r>
      <w:r>
        <w:rPr>
          <w:rFonts w:ascii="Arial" w:cs="Arial" w:eastAsia="Arial" w:hAnsi="Arial"/>
          <w:sz w:val="16"/>
          <w:szCs w:val="16"/>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Squeeze-out procedures</w:t>
      </w:r>
    </w:p>
    <w:p>
      <w:pPr>
        <w:spacing w:after="0" w:line="216" w:lineRule="exact"/>
        <w:rPr>
          <w:sz w:val="20"/>
          <w:szCs w:val="20"/>
          <w:color w:val="auto"/>
        </w:rPr>
      </w:pPr>
    </w:p>
    <w:p>
      <w:pPr>
        <w:ind w:firstLine="520"/>
        <w:spacing w:after="0" w:line="251" w:lineRule="auto"/>
        <w:rPr>
          <w:sz w:val="20"/>
          <w:szCs w:val="20"/>
          <w:color w:val="auto"/>
        </w:rPr>
      </w:pPr>
      <w:r>
        <w:rPr>
          <w:rFonts w:ascii="Arial" w:cs="Arial" w:eastAsia="Arial" w:hAnsi="Arial"/>
          <w:sz w:val="16"/>
          <w:szCs w:val="16"/>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58" w:lineRule="exact"/>
        <w:rPr>
          <w:sz w:val="20"/>
          <w:szCs w:val="20"/>
          <w:color w:val="auto"/>
        </w:rPr>
      </w:pPr>
    </w:p>
    <w:p>
      <w:pPr>
        <w:ind w:left="360" w:hanging="353"/>
        <w:spacing w:after="0"/>
        <w:tabs>
          <w:tab w:leader="none" w:pos="36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and Liquidation</w:t>
      </w:r>
    </w:p>
    <w:p>
      <w:pPr>
        <w:spacing w:after="0" w:line="218" w:lineRule="exact"/>
        <w:rPr>
          <w:sz w:val="20"/>
          <w:szCs w:val="20"/>
          <w:color w:val="auto"/>
        </w:rPr>
      </w:pPr>
    </w:p>
    <w:p>
      <w:pPr>
        <w:jc w:val="both"/>
        <w:ind w:right="240" w:firstLine="520"/>
        <w:spacing w:after="0" w:line="257" w:lineRule="auto"/>
        <w:rPr>
          <w:sz w:val="20"/>
          <w:szCs w:val="20"/>
          <w:color w:val="auto"/>
        </w:rPr>
      </w:pPr>
      <w:r>
        <w:rPr>
          <w:rFonts w:ascii="Arial" w:cs="Arial" w:eastAsia="Arial" w:hAnsi="Arial"/>
          <w:sz w:val="16"/>
          <w:szCs w:val="16"/>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365" w:lineRule="exact"/>
        <w:rPr>
          <w:sz w:val="20"/>
          <w:szCs w:val="20"/>
          <w:color w:val="auto"/>
        </w:rPr>
      </w:pPr>
    </w:p>
    <w:p>
      <w:pPr>
        <w:ind w:left="360" w:hanging="353"/>
        <w:spacing w:after="0"/>
        <w:tabs>
          <w:tab w:leader="none" w:pos="36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Dutch Financial Reporting Supervision Act</w:t>
      </w:r>
    </w:p>
    <w:p>
      <w:pPr>
        <w:spacing w:after="0" w:line="191" w:lineRule="exact"/>
        <w:rPr>
          <w:sz w:val="20"/>
          <w:szCs w:val="20"/>
          <w:color w:val="auto"/>
        </w:rPr>
      </w:pPr>
    </w:p>
    <w:p>
      <w:pPr>
        <w:jc w:val="both"/>
        <w:ind w:right="300" w:firstLine="749"/>
        <w:spacing w:after="0" w:line="264" w:lineRule="auto"/>
        <w:rPr>
          <w:sz w:val="20"/>
          <w:szCs w:val="20"/>
          <w:color w:val="auto"/>
        </w:rPr>
      </w:pPr>
      <w:r>
        <w:rPr>
          <w:rFonts w:ascii="Arial" w:cs="Arial" w:eastAsia="Arial" w:hAnsi="Arial"/>
          <w:sz w:val="16"/>
          <w:szCs w:val="16"/>
          <w:color w:val="auto"/>
        </w:rPr>
        <w:t>On the basis of the Dutch Financial Reporting Supervision Act (</w:t>
      </w:r>
      <w:r>
        <w:rPr>
          <w:rFonts w:ascii="Arial" w:cs="Arial" w:eastAsia="Arial" w:hAnsi="Arial"/>
          <w:sz w:val="16"/>
          <w:szCs w:val="16"/>
          <w:i w:val="1"/>
          <w:iCs w:val="1"/>
          <w:color w:val="auto"/>
        </w:rPr>
        <w:t>Wet toezicht financiële verslaggeving</w:t>
      </w:r>
      <w:r>
        <w:rPr>
          <w:rFonts w:ascii="Arial" w:cs="Arial" w:eastAsia="Arial" w:hAnsi="Arial"/>
          <w:sz w:val="16"/>
          <w:szCs w:val="16"/>
          <w:color w:val="auto"/>
        </w:rPr>
        <w:t>), or the FRSA, the Dutch Authority for the Financial Markets (</w:t>
      </w:r>
      <w:r>
        <w:rPr>
          <w:rFonts w:ascii="Arial" w:cs="Arial" w:eastAsia="Arial" w:hAnsi="Arial"/>
          <w:sz w:val="16"/>
          <w:szCs w:val="16"/>
          <w:i w:val="1"/>
          <w:iCs w:val="1"/>
          <w:color w:val="auto"/>
        </w:rPr>
        <w:t>Stichting Autoriteit Financiële Markten</w:t>
      </w:r>
      <w:r>
        <w:rPr>
          <w:rFonts w:ascii="Arial" w:cs="Arial" w:eastAsia="Arial" w:hAnsi="Arial"/>
          <w:sz w:val="16"/>
          <w:szCs w:val="16"/>
          <w:color w:val="auto"/>
        </w:rPr>
        <w:t>), or AFM, supervises the application of financial reporting standards by Dutch companies whose securities are listed on a Dutch or foreign stock exchange.</w:t>
      </w:r>
    </w:p>
    <w:p>
      <w:pPr>
        <w:spacing w:after="0" w:line="130" w:lineRule="exact"/>
        <w:rPr>
          <w:sz w:val="20"/>
          <w:szCs w:val="20"/>
          <w:color w:val="auto"/>
        </w:rPr>
      </w:pPr>
    </w:p>
    <w:p>
      <w:pPr>
        <w:ind w:right="60" w:firstLine="749"/>
        <w:spacing w:after="0" w:line="252" w:lineRule="auto"/>
        <w:rPr>
          <w:sz w:val="20"/>
          <w:szCs w:val="20"/>
          <w:color w:val="auto"/>
        </w:rPr>
      </w:pPr>
      <w:r>
        <w:rPr>
          <w:rFonts w:ascii="Arial" w:cs="Arial" w:eastAsia="Arial" w:hAnsi="Arial"/>
          <w:sz w:val="16"/>
          <w:szCs w:val="16"/>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 (ii) 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356" w:lineRule="exact"/>
        <w:rPr>
          <w:sz w:val="20"/>
          <w:szCs w:val="20"/>
          <w:color w:val="auto"/>
        </w:rPr>
      </w:pPr>
    </w:p>
    <w:p>
      <w:pPr>
        <w:ind w:left="360" w:hanging="353"/>
        <w:spacing w:after="0"/>
        <w:tabs>
          <w:tab w:leader="none" w:pos="36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Comparison of Dutch Corporate Law and U.S. Corporate Law</w:t>
      </w:r>
    </w:p>
    <w:p>
      <w:pPr>
        <w:spacing w:after="0" w:line="218" w:lineRule="exact"/>
        <w:rPr>
          <w:sz w:val="20"/>
          <w:szCs w:val="20"/>
          <w:color w:val="auto"/>
        </w:rPr>
      </w:pPr>
    </w:p>
    <w:p>
      <w:pPr>
        <w:ind w:right="40" w:firstLine="520"/>
        <w:spacing w:after="0" w:line="257" w:lineRule="auto"/>
        <w:rPr>
          <w:sz w:val="20"/>
          <w:szCs w:val="20"/>
          <w:color w:val="auto"/>
        </w:rPr>
      </w:pPr>
      <w:r>
        <w:rPr>
          <w:rFonts w:ascii="Arial" w:cs="Arial" w:eastAsia="Arial" w:hAnsi="Arial"/>
          <w:sz w:val="16"/>
          <w:szCs w:val="16"/>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840740</wp:posOffset>
            </wp:positionV>
            <wp:extent cx="71589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50" w:name="page151"/>
    <w:bookmarkEnd w:id="150"/>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of Directors</w:t>
      </w:r>
    </w:p>
    <w:p>
      <w:pPr>
        <w:spacing w:after="0" w:line="216" w:lineRule="exact"/>
        <w:rPr>
          <w:sz w:val="20"/>
          <w:szCs w:val="20"/>
          <w:color w:val="auto"/>
        </w:rPr>
      </w:pPr>
    </w:p>
    <w:p>
      <w:pPr>
        <w:ind w:firstLine="749"/>
        <w:spacing w:after="0" w:line="24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We have a one-tier board structure consisting of a board of directors comprising one or more executive directors and one or more non-executive directors. Under Dutch law, our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86" w:lineRule="exact"/>
        <w:rPr>
          <w:sz w:val="20"/>
          <w:szCs w:val="20"/>
          <w:color w:val="auto"/>
        </w:rPr>
      </w:pPr>
    </w:p>
    <w:p>
      <w:pPr>
        <w:ind w:right="200" w:firstLine="749"/>
        <w:spacing w:after="0" w:line="283" w:lineRule="auto"/>
        <w:rPr>
          <w:sz w:val="20"/>
          <w:szCs w:val="20"/>
          <w:color w:val="auto"/>
        </w:rPr>
      </w:pPr>
      <w:r>
        <w:rPr>
          <w:rFonts w:ascii="Arial" w:cs="Arial" w:eastAsia="Arial" w:hAnsi="Arial"/>
          <w:sz w:val="16"/>
          <w:szCs w:val="16"/>
          <w:color w:val="auto"/>
        </w:rPr>
        <w:t>Our Board is entitled to represent the Company. The power to represent our company also vests in our chief executive officer individually, as well as in any other two executive directors acting jointly.</w:t>
      </w:r>
    </w:p>
    <w:p>
      <w:pPr>
        <w:spacing w:after="0" w:line="49" w:lineRule="exact"/>
        <w:rPr>
          <w:sz w:val="20"/>
          <w:szCs w:val="20"/>
          <w:color w:val="auto"/>
        </w:rPr>
      </w:pPr>
    </w:p>
    <w:p>
      <w:pPr>
        <w:ind w:right="260" w:firstLine="520"/>
        <w:spacing w:after="0" w:line="264" w:lineRule="auto"/>
        <w:rPr>
          <w:sz w:val="20"/>
          <w:szCs w:val="20"/>
          <w:color w:val="auto"/>
        </w:rPr>
      </w:pPr>
      <w:r>
        <w:rPr>
          <w:rFonts w:ascii="Arial" w:cs="Arial" w:eastAsia="Arial" w:hAnsi="Arial"/>
          <w:sz w:val="16"/>
          <w:szCs w:val="16"/>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70" w:lineRule="exact"/>
        <w:rPr>
          <w:sz w:val="20"/>
          <w:szCs w:val="20"/>
          <w:color w:val="auto"/>
        </w:rPr>
      </w:pPr>
    </w:p>
    <w:p>
      <w:pPr>
        <w:ind w:right="140" w:firstLine="520"/>
        <w:spacing w:after="0" w:line="251"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terms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DCGC provides the following best practice recommendations on the terms for tenure of our directors:</w:t>
      </w:r>
    </w:p>
    <w:p>
      <w:pPr>
        <w:spacing w:after="0" w:line="218" w:lineRule="exact"/>
        <w:rPr>
          <w:sz w:val="20"/>
          <w:szCs w:val="20"/>
          <w:color w:val="auto"/>
        </w:rPr>
      </w:pPr>
    </w:p>
    <w:p>
      <w:pPr>
        <w:ind w:left="760" w:right="200" w:hanging="378"/>
        <w:spacing w:after="0" w:line="282" w:lineRule="auto"/>
        <w:tabs>
          <w:tab w:leader="none" w:pos="760" w:val="left"/>
        </w:tabs>
        <w:numPr>
          <w:ilvl w:val="0"/>
          <w:numId w:val="155"/>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executive directors may serve.</w:t>
      </w:r>
    </w:p>
    <w:p>
      <w:pPr>
        <w:spacing w:after="0" w:line="129" w:lineRule="exact"/>
        <w:rPr>
          <w:rFonts w:ascii="Times New Roman" w:cs="Times New Roman" w:eastAsia="Times New Roman" w:hAnsi="Times New Roman"/>
          <w:sz w:val="16"/>
          <w:szCs w:val="16"/>
          <w:color w:val="auto"/>
        </w:rPr>
      </w:pPr>
    </w:p>
    <w:p>
      <w:pPr>
        <w:jc w:val="both"/>
        <w:ind w:left="760" w:right="220" w:hanging="378"/>
        <w:spacing w:after="0" w:line="263" w:lineRule="auto"/>
        <w:tabs>
          <w:tab w:leader="none" w:pos="760" w:val="left"/>
        </w:tabs>
        <w:numPr>
          <w:ilvl w:val="0"/>
          <w:numId w:val="155"/>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72" w:lineRule="exact"/>
        <w:rPr>
          <w:sz w:val="20"/>
          <w:szCs w:val="20"/>
          <w:color w:val="auto"/>
        </w:rPr>
      </w:pPr>
    </w:p>
    <w:p>
      <w:pPr>
        <w:ind w:right="100" w:firstLine="520"/>
        <w:spacing w:after="0" w:line="254"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79" w:lineRule="exact"/>
        <w:rPr>
          <w:sz w:val="20"/>
          <w:szCs w:val="20"/>
          <w:color w:val="auto"/>
        </w:rPr>
      </w:pPr>
    </w:p>
    <w:p>
      <w:pPr>
        <w:ind w:right="120" w:firstLine="520"/>
        <w:spacing w:after="0" w:line="26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836295</wp:posOffset>
            </wp:positionV>
            <wp:extent cx="71589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ind w:right="120"/>
        <w:spacing w:after="0" w:line="283" w:lineRule="auto"/>
        <w:rPr>
          <w:sz w:val="20"/>
          <w:szCs w:val="20"/>
          <w:color w:val="auto"/>
        </w:rPr>
      </w:pPr>
      <w:r>
        <w:rPr>
          <w:rFonts w:ascii="Arial" w:cs="Arial" w:eastAsia="Arial" w:hAnsi="Arial"/>
          <w:sz w:val="16"/>
          <w:szCs w:val="16"/>
          <w:color w:val="auto"/>
        </w:rPr>
        <w:t>stockholders. A director elected to serve a term on a “classified” board may not be removed by stockholders without cause. There is no limit in the number of terms a director may serve.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vacancies</w:t>
      </w:r>
    </w:p>
    <w:p>
      <w:pPr>
        <w:spacing w:after="0" w:line="216" w:lineRule="exact"/>
        <w:rPr>
          <w:sz w:val="20"/>
          <w:szCs w:val="20"/>
          <w:color w:val="auto"/>
        </w:rPr>
      </w:pPr>
    </w:p>
    <w:p>
      <w:pPr>
        <w:ind w:right="80" w:firstLine="520"/>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55" w:lineRule="exact"/>
        <w:rPr>
          <w:sz w:val="20"/>
          <w:szCs w:val="20"/>
          <w:color w:val="auto"/>
        </w:rPr>
      </w:pPr>
    </w:p>
    <w:p>
      <w:pPr>
        <w:ind w:right="60" w:firstLine="520"/>
        <w:spacing w:after="0" w:line="257" w:lineRule="auto"/>
        <w:rPr>
          <w:sz w:val="20"/>
          <w:szCs w:val="20"/>
          <w:color w:val="auto"/>
        </w:rPr>
      </w:pPr>
      <w:r>
        <w:rPr>
          <w:rFonts w:ascii="Arial" w:cs="Arial" w:eastAsia="Arial" w:hAnsi="Arial"/>
          <w:sz w:val="16"/>
          <w:szCs w:val="16"/>
          <w:color w:val="auto"/>
        </w:rPr>
        <w:t>Under Dutch law, directors are appointed and re-appointed by the general meeting. Under our Articles of Association, directors are appointed by the general meeting upon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77" w:lineRule="exact"/>
        <w:rPr>
          <w:sz w:val="20"/>
          <w:szCs w:val="20"/>
          <w:color w:val="auto"/>
        </w:rPr>
      </w:pPr>
    </w:p>
    <w:p>
      <w:pPr>
        <w:ind w:right="20" w:firstLine="520"/>
        <w:spacing w:after="0" w:line="257"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Conflict-of-interest transactions</w:t>
      </w:r>
    </w:p>
    <w:p>
      <w:pPr>
        <w:spacing w:after="0" w:line="216"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DCGC provides the following best practice recommendations in relation to conflicts of interests in respect of directors:</w:t>
      </w:r>
    </w:p>
    <w:p>
      <w:pPr>
        <w:spacing w:after="0" w:line="20" w:lineRule="exact"/>
        <w:rPr>
          <w:sz w:val="20"/>
          <w:szCs w:val="20"/>
          <w:color w:val="auto"/>
        </w:rPr>
      </w:pPr>
    </w:p>
    <w:p>
      <w:pPr>
        <w:ind w:left="760" w:right="140" w:hanging="378"/>
        <w:spacing w:after="0" w:line="244" w:lineRule="auto"/>
        <w:tabs>
          <w:tab w:leader="none" w:pos="760" w:val="left"/>
        </w:tabs>
        <w:numPr>
          <w:ilvl w:val="0"/>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2" w:lineRule="exact"/>
        <w:rPr>
          <w:rFonts w:ascii="Times New Roman" w:cs="Times New Roman" w:eastAsia="Times New Roman" w:hAnsi="Times New Roman"/>
          <w:sz w:val="16"/>
          <w:szCs w:val="16"/>
          <w:color w:val="auto"/>
        </w:rPr>
      </w:pPr>
    </w:p>
    <w:p>
      <w:pPr>
        <w:ind w:left="780" w:hanging="384"/>
        <w:spacing w:after="0"/>
        <w:tabs>
          <w:tab w:leader="none" w:pos="780" w:val="left"/>
        </w:tabs>
        <w:numPr>
          <w:ilvl w:val="1"/>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should decide, outside the presence of the director concerned, whether there is a conflict of interest;</w:t>
      </w:r>
    </w:p>
    <w:p>
      <w:pPr>
        <w:spacing w:after="0" w:line="12" w:lineRule="exact"/>
        <w:rPr>
          <w:rFonts w:ascii="Times New Roman" w:cs="Times New Roman" w:eastAsia="Times New Roman" w:hAnsi="Times New Roman"/>
          <w:sz w:val="16"/>
          <w:szCs w:val="16"/>
          <w:color w:val="auto"/>
        </w:rPr>
      </w:pPr>
    </w:p>
    <w:p>
      <w:pPr>
        <w:ind w:left="780" w:hanging="384"/>
        <w:spacing w:after="0"/>
        <w:tabs>
          <w:tab w:leader="none" w:pos="780" w:val="left"/>
        </w:tabs>
        <w:numPr>
          <w:ilvl w:val="1"/>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Transactions in which there are conflicts of interest with directors should be agreed on terms that are customary in the market; and</w:t>
      </w:r>
    </w:p>
    <w:p>
      <w:pPr>
        <w:spacing w:after="0" w:line="16" w:lineRule="exact"/>
        <w:rPr>
          <w:rFonts w:ascii="Times New Roman" w:cs="Times New Roman" w:eastAsia="Times New Roman" w:hAnsi="Times New Roman"/>
          <w:sz w:val="16"/>
          <w:szCs w:val="16"/>
          <w:color w:val="auto"/>
        </w:rPr>
      </w:pPr>
    </w:p>
    <w:p>
      <w:pPr>
        <w:jc w:val="both"/>
        <w:ind w:left="780" w:right="100" w:hanging="384"/>
        <w:spacing w:after="0" w:line="255" w:lineRule="auto"/>
        <w:tabs>
          <w:tab w:leader="none" w:pos="780" w:val="left"/>
        </w:tabs>
        <w:numPr>
          <w:ilvl w:val="1"/>
          <w:numId w:val="156"/>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178" w:lineRule="exact"/>
        <w:rPr>
          <w:sz w:val="20"/>
          <w:szCs w:val="20"/>
          <w:color w:val="auto"/>
        </w:rPr>
      </w:pPr>
    </w:p>
    <w:p>
      <w:pPr>
        <w:ind w:right="18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transactions involving a Delaware corporation and an interested director of that corporation would not be voidable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963295</wp:posOffset>
            </wp:positionV>
            <wp:extent cx="71589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52" w:name="page153"/>
    <w:bookmarkEnd w:id="152"/>
    <w:p>
      <w:pPr>
        <w:ind w:left="780" w:right="60" w:hanging="384"/>
        <w:spacing w:after="0" w:line="282" w:lineRule="auto"/>
        <w:tabs>
          <w:tab w:leader="none" w:pos="78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29" w:lineRule="exact"/>
        <w:rPr>
          <w:rFonts w:ascii="Times New Roman" w:cs="Times New Roman" w:eastAsia="Times New Roman" w:hAnsi="Times New Roman"/>
          <w:sz w:val="16"/>
          <w:szCs w:val="16"/>
          <w:color w:val="auto"/>
        </w:rPr>
      </w:pPr>
    </w:p>
    <w:p>
      <w:pPr>
        <w:ind w:left="780" w:right="300" w:hanging="384"/>
        <w:spacing w:after="0" w:line="282" w:lineRule="auto"/>
        <w:tabs>
          <w:tab w:leader="none" w:pos="780" w:val="left"/>
        </w:tabs>
        <w:numPr>
          <w:ilvl w:val="0"/>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are disclosed or known as to the director’s relationship or interest and the transaction is specifically approved in good faith by vote of the majority of shares entitled to vote thereon; or</w:t>
      </w:r>
    </w:p>
    <w:p>
      <w:pPr>
        <w:spacing w:after="0" w:line="129" w:lineRule="exact"/>
        <w:rPr>
          <w:rFonts w:ascii="Times New Roman" w:cs="Times New Roman" w:eastAsia="Times New Roman" w:hAnsi="Times New Roman"/>
          <w:sz w:val="16"/>
          <w:szCs w:val="16"/>
          <w:color w:val="auto"/>
        </w:rPr>
      </w:pPr>
    </w:p>
    <w:p>
      <w:pPr>
        <w:ind w:left="780" w:right="840" w:hanging="368"/>
        <w:spacing w:after="0" w:line="282" w:lineRule="auto"/>
        <w:tabs>
          <w:tab w:leader="none" w:pos="780" w:val="left"/>
        </w:tabs>
        <w:numPr>
          <w:ilvl w:val="1"/>
          <w:numId w:val="157"/>
        </w:numPr>
        <w:rPr>
          <w:rFonts w:ascii="Times New Roman" w:cs="Times New Roman" w:eastAsia="Times New Roman" w:hAnsi="Times New Roman"/>
          <w:sz w:val="16"/>
          <w:szCs w:val="16"/>
          <w:color w:val="auto"/>
        </w:rPr>
      </w:pPr>
      <w:r>
        <w:rPr>
          <w:rFonts w:ascii="Arial" w:cs="Arial" w:eastAsia="Arial" w:hAnsi="Arial"/>
          <w:sz w:val="16"/>
          <w:szCs w:val="16"/>
          <w:color w:val="auto"/>
        </w:rPr>
        <w:t>the transaction is fair to the corporation at the time it is authorized by the board of directors, a committee of the board of directors or the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Proxy voting by directors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An absent director may issue a proxy for a specific board meeting but only to another director in writing or by electronic means.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 director of a Delaware corporation may not issue a proxy representing the director’s voting rights as a director.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Rights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In accordance with Dutch law and our Articles of Association, each issued ordinary share confers the right to cast one vote at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general meeting. No votes may be cast at a general meeting on shares held by us or our subsidiaries or on shares for which we or our subsidiaries hold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w:t>
      </w:r>
    </w:p>
    <w:p>
      <w:pPr>
        <w:spacing w:after="0" w:line="28"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25" w:lineRule="exact"/>
        <w:rPr>
          <w:sz w:val="20"/>
          <w:szCs w:val="20"/>
          <w:color w:val="auto"/>
        </w:rPr>
      </w:pPr>
    </w:p>
    <w:p>
      <w:pPr>
        <w:ind w:right="40" w:firstLine="520"/>
        <w:spacing w:after="0" w:line="251" w:lineRule="auto"/>
        <w:rPr>
          <w:sz w:val="20"/>
          <w:szCs w:val="20"/>
          <w:color w:val="auto"/>
        </w:rPr>
      </w:pPr>
      <w:r>
        <w:rPr>
          <w:rFonts w:ascii="Arial" w:cs="Arial" w:eastAsia="Arial" w:hAnsi="Arial"/>
          <w:sz w:val="16"/>
          <w:szCs w:val="16"/>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79"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842010</wp:posOffset>
            </wp:positionV>
            <wp:extent cx="71589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53" w:name="page154"/>
    <w:bookmarkEnd w:id="153"/>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proposals</w:t>
      </w:r>
    </w:p>
    <w:p>
      <w:pPr>
        <w:spacing w:after="0" w:line="216" w:lineRule="exact"/>
        <w:rPr>
          <w:sz w:val="20"/>
          <w:szCs w:val="20"/>
          <w:color w:val="auto"/>
        </w:rPr>
      </w:pPr>
    </w:p>
    <w:p>
      <w:pPr>
        <w:ind w:right="80" w:firstLine="749"/>
        <w:spacing w:after="0" w:line="25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1" w:lineRule="exact"/>
        <w:rPr>
          <w:sz w:val="20"/>
          <w:szCs w:val="20"/>
          <w:color w:val="auto"/>
        </w:rPr>
      </w:pPr>
    </w:p>
    <w:p>
      <w:pPr>
        <w:jc w:val="both"/>
        <w:ind w:right="60" w:firstLine="749"/>
        <w:spacing w:after="0" w:line="264" w:lineRule="auto"/>
        <w:rPr>
          <w:sz w:val="20"/>
          <w:szCs w:val="20"/>
          <w:color w:val="auto"/>
        </w:rPr>
      </w:pPr>
      <w:r>
        <w:rPr>
          <w:rFonts w:ascii="Arial" w:cs="Arial" w:eastAsia="Arial" w:hAnsi="Arial"/>
          <w:sz w:val="16"/>
          <w:szCs w:val="16"/>
          <w:color w:val="auto"/>
        </w:rPr>
        <w:t>The agenda for a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70" w:lineRule="exact"/>
        <w:rPr>
          <w:sz w:val="20"/>
          <w:szCs w:val="20"/>
          <w:color w:val="auto"/>
        </w:rPr>
      </w:pPr>
    </w:p>
    <w:p>
      <w:pPr>
        <w:ind w:right="60" w:firstLine="520"/>
        <w:spacing w:after="0" w:line="249" w:lineRule="auto"/>
        <w:rPr>
          <w:sz w:val="20"/>
          <w:szCs w:val="20"/>
          <w:color w:val="auto"/>
        </w:rPr>
      </w:pPr>
      <w:r>
        <w:rPr>
          <w:rFonts w:ascii="Arial" w:cs="Arial" w:eastAsia="Arial" w:hAnsi="Arial"/>
          <w:sz w:val="16"/>
          <w:szCs w:val="16"/>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59"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1" w:lineRule="exact"/>
        <w:rPr>
          <w:sz w:val="20"/>
          <w:szCs w:val="20"/>
          <w:color w:val="auto"/>
        </w:rPr>
      </w:pPr>
    </w:p>
    <w:p>
      <w:pPr>
        <w:ind w:right="140" w:firstLine="520"/>
        <w:spacing w:after="0" w:line="250"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56" w:lineRule="exact"/>
        <w:rPr>
          <w:sz w:val="20"/>
          <w:szCs w:val="20"/>
          <w:color w:val="auto"/>
        </w:rPr>
      </w:pPr>
    </w:p>
    <w:p>
      <w:pPr>
        <w:ind w:left="760" w:right="140" w:hanging="233"/>
        <w:spacing w:after="0" w:line="283" w:lineRule="auto"/>
        <w:tabs>
          <w:tab w:leader="none" w:pos="88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29" w:lineRule="exact"/>
        <w:rPr>
          <w:rFonts w:ascii="Arial" w:cs="Arial" w:eastAsia="Arial" w:hAnsi="Arial"/>
          <w:sz w:val="16"/>
          <w:szCs w:val="16"/>
          <w:color w:val="auto"/>
        </w:rPr>
      </w:pPr>
    </w:p>
    <w:p>
      <w:pPr>
        <w:ind w:left="760" w:right="260" w:hanging="233"/>
        <w:spacing w:after="0" w:line="264" w:lineRule="auto"/>
        <w:tabs>
          <w:tab w:leader="none" w:pos="88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 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0" w:lineRule="exact"/>
        <w:rPr>
          <w:sz w:val="20"/>
          <w:szCs w:val="20"/>
          <w:color w:val="auto"/>
        </w:rPr>
      </w:pPr>
    </w:p>
    <w:p>
      <w:pPr>
        <w:ind w:right="60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Delaware law does not specifically grant stockholders the right to bring business before an annual or special meeting. Delaware law provides that stockholders have the right to put any proposal before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827405</wp:posOffset>
            </wp:positionV>
            <wp:extent cx="71589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Action by written consent</w:t>
      </w:r>
    </w:p>
    <w:p>
      <w:pPr>
        <w:spacing w:after="0" w:line="216"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shareholders’ resolutions may be adopted in writing without 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79" w:lineRule="exact"/>
        <w:rPr>
          <w:sz w:val="20"/>
          <w:szCs w:val="20"/>
          <w:color w:val="auto"/>
        </w:rPr>
      </w:pPr>
    </w:p>
    <w:p>
      <w:pPr>
        <w:ind w:right="6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Although permitted by Delaware law, publicly listed companies do not typically permit stockholders of a corporation to take action by written consent.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Appraisal rights</w:t>
      </w:r>
    </w:p>
    <w:p>
      <w:pPr>
        <w:spacing w:after="0" w:line="216" w:lineRule="exact"/>
        <w:rPr>
          <w:sz w:val="20"/>
          <w:szCs w:val="20"/>
          <w:color w:val="auto"/>
        </w:rPr>
      </w:pPr>
    </w:p>
    <w:p>
      <w:pPr>
        <w:ind w:right="40"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79" w:lineRule="exact"/>
        <w:rPr>
          <w:sz w:val="20"/>
          <w:szCs w:val="20"/>
          <w:color w:val="auto"/>
        </w:rPr>
      </w:pPr>
    </w:p>
    <w:p>
      <w:pPr>
        <w:ind w:right="24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for stockholder appraisal rights, or the right to demand payment in cash of the judicially determined fair value of the stockholder’s shares, in connection with certain mergers and consolidations.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suits</w:t>
      </w:r>
    </w:p>
    <w:p>
      <w:pPr>
        <w:spacing w:after="0" w:line="216" w:lineRule="exact"/>
        <w:rPr>
          <w:sz w:val="20"/>
          <w:szCs w:val="20"/>
          <w:color w:val="auto"/>
        </w:rPr>
      </w:pPr>
    </w:p>
    <w:p>
      <w:pPr>
        <w:ind w:right="20" w:firstLine="520"/>
        <w:spacing w:after="0" w:line="248"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56" w:lineRule="exact"/>
        <w:rPr>
          <w:sz w:val="20"/>
          <w:szCs w:val="20"/>
          <w:color w:val="auto"/>
        </w:rPr>
      </w:pPr>
    </w:p>
    <w:p>
      <w:pPr>
        <w:ind w:firstLine="520"/>
        <w:spacing w:after="0" w:line="283" w:lineRule="auto"/>
        <w:rPr>
          <w:sz w:val="20"/>
          <w:szCs w:val="20"/>
          <w:color w:val="auto"/>
        </w:rPr>
      </w:pPr>
      <w:r>
        <w:rPr>
          <w:rFonts w:ascii="Arial" w:cs="Arial" w:eastAsia="Arial" w:hAnsi="Arial"/>
          <w:sz w:val="16"/>
          <w:szCs w:val="16"/>
          <w:color w:val="auto"/>
        </w:rPr>
        <w:t>Our Articles of Association provide that the sole and exclusive forum for any complaint asserting a cause of action arising under the U.S. Securities Act of 1933, as amended, to the fullest extent permitted by applicable law, shall be the U.S. federal district courts.</w:t>
      </w:r>
    </w:p>
    <w:p>
      <w:pPr>
        <w:spacing w:after="0" w:line="129" w:lineRule="exact"/>
        <w:rPr>
          <w:sz w:val="20"/>
          <w:szCs w:val="20"/>
          <w:color w:val="auto"/>
        </w:rPr>
      </w:pPr>
    </w:p>
    <w:p>
      <w:pPr>
        <w:ind w:right="20" w:firstLine="520"/>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842010</wp:posOffset>
            </wp:positionV>
            <wp:extent cx="71589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2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of shares</w:t>
      </w:r>
    </w:p>
    <w:p>
      <w:pPr>
        <w:spacing w:after="0" w:line="216" w:lineRule="exact"/>
        <w:rPr>
          <w:sz w:val="20"/>
          <w:szCs w:val="20"/>
          <w:color w:val="auto"/>
        </w:rPr>
      </w:pPr>
    </w:p>
    <w:p>
      <w:pPr>
        <w:ind w:right="40" w:firstLine="520"/>
        <w:spacing w:after="0" w:line="250"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vermogen </w:t>
      </w:r>
      <w:r>
        <w:rPr>
          <w:rFonts w:ascii="Arial" w:cs="Arial" w:eastAsia="Arial" w:hAnsi="Arial"/>
          <w:sz w:val="16"/>
          <w:szCs w:val="16"/>
          <w:color w:val="auto"/>
        </w:rPr>
        <w:t>) less the payment required to make the acquisition does not fall below the sum of paid-in and called-up share capital plus any reserves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Dutch law or its Articles of Association and (ii) the aggregate nominal value of shares of the company which the company acquires, holds or on which the company holds a pledge (</w:t>
      </w:r>
      <w:r>
        <w:rPr>
          <w:rFonts w:ascii="Arial" w:cs="Arial" w:eastAsia="Arial" w:hAnsi="Arial"/>
          <w:sz w:val="16"/>
          <w:szCs w:val="16"/>
          <w:i w:val="1"/>
          <w:iCs w:val="1"/>
          <w:color w:val="auto"/>
        </w:rPr>
        <w:t>pandrecht</w:t>
      </w:r>
      <w:r>
        <w:rPr>
          <w:rFonts w:ascii="Arial" w:cs="Arial" w:eastAsia="Arial" w:hAnsi="Arial"/>
          <w:sz w:val="16"/>
          <w:szCs w:val="16"/>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183" w:lineRule="exact"/>
        <w:rPr>
          <w:sz w:val="20"/>
          <w:szCs w:val="20"/>
          <w:color w:val="auto"/>
        </w:rPr>
      </w:pPr>
    </w:p>
    <w:p>
      <w:pPr>
        <w:ind w:firstLine="520"/>
        <w:spacing w:after="0" w:line="250" w:lineRule="auto"/>
        <w:rPr>
          <w:sz w:val="20"/>
          <w:szCs w:val="20"/>
          <w:color w:val="auto"/>
        </w:rPr>
      </w:pPr>
      <w:r>
        <w:rPr>
          <w:rFonts w:ascii="Arial" w:cs="Arial" w:eastAsia="Arial" w:hAnsi="Arial"/>
          <w:sz w:val="16"/>
          <w:szCs w:val="16"/>
          <w:color w:val="auto"/>
        </w:rPr>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56" w:lineRule="exact"/>
        <w:rPr>
          <w:sz w:val="20"/>
          <w:szCs w:val="20"/>
          <w:color w:val="auto"/>
        </w:rPr>
      </w:pPr>
    </w:p>
    <w:p>
      <w:pPr>
        <w:ind w:right="460" w:firstLine="520"/>
        <w:spacing w:after="0" w:line="283" w:lineRule="auto"/>
        <w:rPr>
          <w:sz w:val="20"/>
          <w:szCs w:val="20"/>
          <w:color w:val="auto"/>
        </w:rPr>
      </w:pPr>
      <w:r>
        <w:rPr>
          <w:rFonts w:ascii="Arial" w:cs="Arial" w:eastAsia="Arial" w:hAnsi="Arial"/>
          <w:sz w:val="16"/>
          <w:szCs w:val="16"/>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156"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various protective measures are possible and permissible within the boundaries set by Dutch law and Dutch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case law.</w:t>
      </w:r>
    </w:p>
    <w:p>
      <w:pPr>
        <w:spacing w:after="0" w:line="202" w:lineRule="exact"/>
        <w:rPr>
          <w:sz w:val="20"/>
          <w:szCs w:val="20"/>
          <w:color w:val="auto"/>
        </w:rPr>
      </w:pPr>
    </w:p>
    <w:p>
      <w:pPr>
        <w:ind w:right="40" w:firstLine="749"/>
        <w:spacing w:after="0" w:line="283"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 These include:</w:t>
      </w:r>
    </w:p>
    <w:p>
      <w:pPr>
        <w:spacing w:after="0" w:line="156" w:lineRule="exact"/>
        <w:rPr>
          <w:sz w:val="20"/>
          <w:szCs w:val="20"/>
          <w:color w:val="auto"/>
        </w:rPr>
      </w:pPr>
    </w:p>
    <w:p>
      <w:pPr>
        <w:ind w:left="680" w:right="120" w:hanging="373"/>
        <w:spacing w:after="0" w:line="282" w:lineRule="auto"/>
        <w:tabs>
          <w:tab w:leader="none" w:pos="68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dismissed at the general meeting by a two-thirds majority of votes cast representing more than half of our issued share capital, unless the dismissal is proposed by our Board in which latter case a simple majority of the votes cast would be sufficient;</w:t>
      </w:r>
    </w:p>
    <w:p>
      <w:pPr>
        <w:spacing w:after="0" w:line="129" w:lineRule="exact"/>
        <w:rPr>
          <w:rFonts w:ascii="Times New Roman" w:cs="Times New Roman" w:eastAsia="Times New Roman" w:hAnsi="Times New Roman"/>
          <w:sz w:val="16"/>
          <w:szCs w:val="16"/>
          <w:color w:val="auto"/>
        </w:rPr>
      </w:pPr>
    </w:p>
    <w:p>
      <w:pPr>
        <w:jc w:val="both"/>
        <w:ind w:left="680" w:right="100" w:hanging="373"/>
        <w:spacing w:after="0" w:line="251" w:lineRule="auto"/>
        <w:tabs>
          <w:tab w:leader="none" w:pos="68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1" w:lineRule="exact"/>
        <w:rPr>
          <w:rFonts w:ascii="Times New Roman" w:cs="Times New Roman" w:eastAsia="Times New Roman" w:hAnsi="Times New Roman"/>
          <w:sz w:val="16"/>
          <w:szCs w:val="16"/>
          <w:color w:val="auto"/>
        </w:rPr>
      </w:pPr>
    </w:p>
    <w:p>
      <w:pPr>
        <w:ind w:left="680" w:right="260" w:hanging="373"/>
        <w:spacing w:after="0" w:line="261" w:lineRule="auto"/>
        <w:tabs>
          <w:tab w:leader="none" w:pos="68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former chairperson of our Board or our former chief executive officer to be charged with our management if all of our directors are absent or incapacitated;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838200</wp:posOffset>
            </wp:positionV>
            <wp:extent cx="71589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6" w:name="page157"/>
    <w:bookmarkEnd w:id="156"/>
    <w:p>
      <w:pPr>
        <w:ind w:left="680" w:right="400" w:hanging="373"/>
        <w:spacing w:after="0" w:line="254" w:lineRule="auto"/>
        <w:tabs>
          <w:tab w:leader="none" w:pos="68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that certain matters, including an amendment of our Articles of Association, may only be resolved upon by our general meeting if proposed by our Board.</w:t>
      </w:r>
    </w:p>
    <w:p>
      <w:pPr>
        <w:spacing w:after="0" w:line="1"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Dutch law also allows for staggered multi-year terms of our directors, as a result of which only part of our directors may be subject to appointment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or re-appointment in any given year.</w:t>
      </w:r>
    </w:p>
    <w:p>
      <w:pPr>
        <w:spacing w:after="0" w:line="202" w:lineRule="exact"/>
        <w:rPr>
          <w:sz w:val="20"/>
          <w:szCs w:val="20"/>
          <w:color w:val="auto"/>
        </w:rPr>
      </w:pPr>
    </w:p>
    <w:p>
      <w:pPr>
        <w:ind w:firstLine="520"/>
        <w:spacing w:after="0" w:line="283" w:lineRule="auto"/>
        <w:rPr>
          <w:sz w:val="20"/>
          <w:szCs w:val="20"/>
          <w:color w:val="auto"/>
        </w:rPr>
      </w:pPr>
      <w:r>
        <w:rPr>
          <w:rFonts w:ascii="Arial" w:cs="Arial" w:eastAsia="Arial" w:hAnsi="Arial"/>
          <w:sz w:val="16"/>
          <w:szCs w:val="16"/>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56" w:lineRule="exact"/>
        <w:rPr>
          <w:sz w:val="20"/>
          <w:szCs w:val="20"/>
          <w:color w:val="auto"/>
        </w:rPr>
      </w:pPr>
    </w:p>
    <w:p>
      <w:pPr>
        <w:ind w:right="20" w:firstLine="520"/>
        <w:spacing w:after="0" w:line="26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0" w:lineRule="exact"/>
        <w:rPr>
          <w:sz w:val="20"/>
          <w:szCs w:val="20"/>
          <w:color w:val="auto"/>
        </w:rPr>
      </w:pPr>
    </w:p>
    <w:p>
      <w:pPr>
        <w:ind w:right="100" w:firstLine="520"/>
        <w:spacing w:after="0" w:line="264" w:lineRule="auto"/>
        <w:rPr>
          <w:sz w:val="20"/>
          <w:szCs w:val="20"/>
          <w:color w:val="auto"/>
        </w:rPr>
      </w:pPr>
      <w:r>
        <w:rPr>
          <w:rFonts w:ascii="Arial" w:cs="Arial" w:eastAsia="Arial" w:hAnsi="Arial"/>
          <w:sz w:val="16"/>
          <w:szCs w:val="16"/>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345" w:lineRule="exact"/>
        <w:rPr>
          <w:sz w:val="20"/>
          <w:szCs w:val="20"/>
          <w:color w:val="auto"/>
        </w:rPr>
      </w:pPr>
    </w:p>
    <w:p>
      <w:pPr>
        <w:ind w:left="780" w:right="540" w:hanging="368"/>
        <w:spacing w:after="0" w:line="282" w:lineRule="auto"/>
        <w:tabs>
          <w:tab w:leader="none" w:pos="78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prior to such time the board of directors of the corporation approved either the business combination or the transaction which resulted in the stockholder becoming an interested stockholder;</w:t>
      </w:r>
    </w:p>
    <w:p>
      <w:pPr>
        <w:spacing w:after="0" w:line="129" w:lineRule="exact"/>
        <w:rPr>
          <w:rFonts w:ascii="Times New Roman" w:cs="Times New Roman" w:eastAsia="Times New Roman" w:hAnsi="Times New Roman"/>
          <w:sz w:val="16"/>
          <w:szCs w:val="16"/>
          <w:color w:val="auto"/>
        </w:rPr>
      </w:pPr>
    </w:p>
    <w:p>
      <w:pPr>
        <w:jc w:val="both"/>
        <w:ind w:left="780" w:right="60" w:hanging="368"/>
        <w:spacing w:after="0" w:line="263" w:lineRule="auto"/>
        <w:tabs>
          <w:tab w:leader="none" w:pos="78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31" w:lineRule="exact"/>
        <w:rPr>
          <w:rFonts w:ascii="Times New Roman" w:cs="Times New Roman" w:eastAsia="Times New Roman" w:hAnsi="Times New Roman"/>
          <w:sz w:val="16"/>
          <w:szCs w:val="16"/>
          <w:color w:val="auto"/>
        </w:rPr>
      </w:pPr>
    </w:p>
    <w:p>
      <w:pPr>
        <w:ind w:left="780" w:right="60" w:hanging="368"/>
        <w:spacing w:after="0" w:line="282" w:lineRule="auto"/>
        <w:tabs>
          <w:tab w:leader="none" w:pos="78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57" w:lineRule="exact"/>
        <w:rPr>
          <w:sz w:val="20"/>
          <w:szCs w:val="20"/>
          <w:color w:val="auto"/>
        </w:rPr>
      </w:pPr>
    </w:p>
    <w:p>
      <w:pPr>
        <w:ind w:right="20" w:firstLine="520"/>
        <w:spacing w:after="0" w:line="257" w:lineRule="auto"/>
        <w:rPr>
          <w:sz w:val="20"/>
          <w:szCs w:val="20"/>
          <w:color w:val="auto"/>
        </w:rPr>
      </w:pPr>
      <w:r>
        <w:rPr>
          <w:rFonts w:ascii="Arial" w:cs="Arial" w:eastAsia="Arial" w:hAnsi="Arial"/>
          <w:sz w:val="16"/>
          <w:szCs w:val="16"/>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Inspection of books and records</w:t>
      </w:r>
    </w:p>
    <w:p>
      <w:pPr>
        <w:spacing w:after="0" w:line="216" w:lineRule="exact"/>
        <w:rPr>
          <w:sz w:val="20"/>
          <w:szCs w:val="20"/>
          <w:color w:val="auto"/>
        </w:rPr>
      </w:pPr>
    </w:p>
    <w:p>
      <w:pPr>
        <w:ind w:right="80" w:firstLine="520"/>
        <w:spacing w:after="0" w:line="28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Board must provide the general meeting all information that it requires, unless this would be contrary to an overriding interest of our Company. If the Board invokes such an overriding interest, it must give reasons.</w:t>
      </w:r>
    </w:p>
    <w:p>
      <w:pPr>
        <w:spacing w:after="0" w:line="156" w:lineRule="exact"/>
        <w:rPr>
          <w:sz w:val="20"/>
          <w:szCs w:val="20"/>
          <w:color w:val="auto"/>
        </w:rPr>
      </w:pPr>
    </w:p>
    <w:p>
      <w:pPr>
        <w:ind w:right="16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stockholder may inspect for any proper purpose certain of the corporation’s books and records during the corporation’s usual hours of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Dismissal of Directors</w:t>
      </w:r>
    </w:p>
    <w:p>
      <w:pPr>
        <w:spacing w:after="0" w:line="216" w:lineRule="exact"/>
        <w:rPr>
          <w:sz w:val="20"/>
          <w:szCs w:val="20"/>
          <w:color w:val="auto"/>
        </w:rPr>
      </w:pPr>
    </w:p>
    <w:p>
      <w:pPr>
        <w:jc w:val="both"/>
        <w:ind w:right="200" w:firstLine="520"/>
        <w:spacing w:after="0" w:line="257"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77" w:lineRule="exact"/>
        <w:rPr>
          <w:sz w:val="20"/>
          <w:szCs w:val="20"/>
          <w:color w:val="auto"/>
        </w:rPr>
      </w:pPr>
    </w:p>
    <w:p>
      <w:pPr>
        <w:ind w:right="180" w:firstLine="520"/>
        <w:spacing w:after="0" w:line="257"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840740</wp:posOffset>
            </wp:positionV>
            <wp:extent cx="71589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57" w:name="page158"/>
    <w:bookmarkEnd w:id="157"/>
    <w:p>
      <w:pPr>
        <w:ind w:right="20"/>
        <w:spacing w:after="0" w:line="283" w:lineRule="auto"/>
        <w:rPr>
          <w:sz w:val="20"/>
          <w:szCs w:val="20"/>
          <w:color w:val="auto"/>
        </w:rPr>
      </w:pPr>
      <w:r>
        <w:rPr>
          <w:rFonts w:ascii="Arial" w:cs="Arial" w:eastAsia="Arial" w:hAnsi="Arial"/>
          <w:sz w:val="16"/>
          <w:szCs w:val="16"/>
          <w:color w:val="auto"/>
        </w:rPr>
        <w:t>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Shares</w:t>
      </w:r>
    </w:p>
    <w:p>
      <w:pPr>
        <w:spacing w:after="0" w:line="216" w:lineRule="exact"/>
        <w:rPr>
          <w:sz w:val="20"/>
          <w:szCs w:val="20"/>
          <w:color w:val="auto"/>
        </w:rPr>
      </w:pPr>
    </w:p>
    <w:p>
      <w:pPr>
        <w:ind w:right="80" w:firstLine="520"/>
        <w:spacing w:after="0" w:line="27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179" w:lineRule="exact"/>
        <w:rPr>
          <w:sz w:val="20"/>
          <w:szCs w:val="20"/>
          <w:color w:val="auto"/>
        </w:rPr>
      </w:pPr>
    </w:p>
    <w:p>
      <w:pPr>
        <w:jc w:val="both"/>
        <w:ind w:firstLine="520"/>
        <w:spacing w:after="0" w:line="264" w:lineRule="auto"/>
        <w:rPr>
          <w:sz w:val="20"/>
          <w:szCs w:val="20"/>
          <w:color w:val="auto"/>
        </w:rPr>
      </w:pPr>
      <w:r>
        <w:rPr>
          <w:rFonts w:ascii="Arial" w:cs="Arial" w:eastAsia="Arial" w:hAnsi="Arial"/>
          <w:sz w:val="16"/>
          <w:szCs w:val="16"/>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70" w:lineRule="exact"/>
        <w:rPr>
          <w:sz w:val="20"/>
          <w:szCs w:val="20"/>
          <w:color w:val="auto"/>
        </w:rPr>
      </w:pPr>
    </w:p>
    <w:p>
      <w:pPr>
        <w:ind w:right="18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rights</w:t>
      </w:r>
    </w:p>
    <w:p>
      <w:pPr>
        <w:spacing w:after="0" w:line="216"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79" w:lineRule="exact"/>
        <w:rPr>
          <w:sz w:val="20"/>
          <w:szCs w:val="20"/>
          <w:color w:val="auto"/>
        </w:rPr>
      </w:pPr>
    </w:p>
    <w:p>
      <w:pPr>
        <w:ind w:right="100" w:firstLine="520"/>
        <w:spacing w:after="0" w:line="257" w:lineRule="auto"/>
        <w:rPr>
          <w:sz w:val="20"/>
          <w:szCs w:val="20"/>
          <w:color w:val="auto"/>
        </w:rPr>
      </w:pPr>
      <w:r>
        <w:rPr>
          <w:rFonts w:ascii="Arial" w:cs="Arial" w:eastAsia="Arial" w:hAnsi="Arial"/>
          <w:sz w:val="16"/>
          <w:szCs w:val="16"/>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77" w:lineRule="exact"/>
        <w:rPr>
          <w:sz w:val="20"/>
          <w:szCs w:val="20"/>
          <w:color w:val="auto"/>
        </w:rPr>
      </w:pPr>
    </w:p>
    <w:p>
      <w:pPr>
        <w:ind w:right="200" w:firstLine="520"/>
        <w:spacing w:after="0" w:line="264"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 Issuance of Shares.”</w:t>
      </w:r>
    </w:p>
    <w:p>
      <w:pPr>
        <w:spacing w:after="0" w:line="170" w:lineRule="exact"/>
        <w:rPr>
          <w:sz w:val="20"/>
          <w:szCs w:val="20"/>
          <w:color w:val="auto"/>
        </w:rPr>
      </w:pPr>
    </w:p>
    <w:p>
      <w:pPr>
        <w:ind w:right="120" w:firstLine="520"/>
        <w:spacing w:after="0" w:line="28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we may only pay dividends and other distributions from our reserves to the extent our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vermogen</w:t>
      </w:r>
      <w:r>
        <w:rPr>
          <w:rFonts w:ascii="Arial" w:cs="Arial" w:eastAsia="Arial" w:hAnsi="Arial"/>
          <w:sz w:val="16"/>
          <w:szCs w:val="16"/>
          <w:color w:val="auto"/>
        </w:rPr>
        <w:t>) exceeds the sum of our paid-in and called-up share capital plus the reserves we must maintain under Dutch law or our Articles of Association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74" w:lineRule="exact"/>
        <w:rPr>
          <w:sz w:val="20"/>
          <w:szCs w:val="20"/>
          <w:color w:val="auto"/>
        </w:rPr>
      </w:pPr>
    </w:p>
    <w:p>
      <w:pPr>
        <w:ind w:right="60" w:firstLine="749"/>
        <w:spacing w:after="0" w:line="257" w:lineRule="auto"/>
        <w:rPr>
          <w:sz w:val="20"/>
          <w:szCs w:val="20"/>
          <w:color w:val="auto"/>
        </w:rPr>
      </w:pPr>
      <w:r>
        <w:rPr>
          <w:rFonts w:ascii="Arial" w:cs="Arial" w:eastAsia="Arial" w:hAnsi="Arial"/>
          <w:sz w:val="16"/>
          <w:szCs w:val="16"/>
          <w:color w:val="auto"/>
        </w:rPr>
        <w:t>Under our Articles of Association, our Board may decide that all or part of the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908685</wp:posOffset>
            </wp:positionV>
            <wp:extent cx="71589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58" w:name="page159"/>
    <w:bookmarkEnd w:id="158"/>
    <w:p>
      <w:pPr>
        <w:ind w:right="100" w:firstLine="520"/>
        <w:spacing w:after="0" w:line="264" w:lineRule="auto"/>
        <w:rPr>
          <w:sz w:val="20"/>
          <w:szCs w:val="20"/>
          <w:color w:val="auto"/>
        </w:rPr>
      </w:pPr>
      <w:r>
        <w:rPr>
          <w:rFonts w:ascii="Arial" w:cs="Arial" w:eastAsia="Arial" w:hAnsi="Arial"/>
          <w:sz w:val="16"/>
          <w:szCs w:val="16"/>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70"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vote on Certain Reorganizations</w:t>
      </w:r>
    </w:p>
    <w:p>
      <w:pPr>
        <w:spacing w:after="0" w:line="216" w:lineRule="exact"/>
        <w:rPr>
          <w:sz w:val="20"/>
          <w:szCs w:val="20"/>
          <w:color w:val="auto"/>
        </w:rPr>
      </w:pPr>
    </w:p>
    <w:p>
      <w:pPr>
        <w:ind w:right="320" w:firstLine="520"/>
        <w:spacing w:after="0" w:line="28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the general meeting must approve resolutions of the Board relating to a significant change in the identity or the character of the Company or the business of the Company, which includes:</w:t>
      </w:r>
    </w:p>
    <w:p>
      <w:pPr>
        <w:spacing w:after="0" w:line="156" w:lineRule="exact"/>
        <w:rPr>
          <w:sz w:val="20"/>
          <w:szCs w:val="20"/>
          <w:color w:val="auto"/>
        </w:rPr>
      </w:pPr>
    </w:p>
    <w:p>
      <w:pPr>
        <w:ind w:left="760" w:hanging="378"/>
        <w:spacing w:after="0"/>
        <w:tabs>
          <w:tab w:leader="none" w:pos="760" w:val="left"/>
        </w:tabs>
        <w:numPr>
          <w:ilvl w:val="0"/>
          <w:numId w:val="162"/>
        </w:numPr>
        <w:rPr>
          <w:rFonts w:ascii="Times New Roman" w:cs="Times New Roman" w:eastAsia="Times New Roman" w:hAnsi="Times New Roman"/>
          <w:sz w:val="16"/>
          <w:szCs w:val="16"/>
          <w:color w:val="auto"/>
        </w:rPr>
      </w:pPr>
      <w:r>
        <w:rPr>
          <w:rFonts w:ascii="Arial" w:cs="Arial" w:eastAsia="Arial" w:hAnsi="Arial"/>
          <w:sz w:val="16"/>
          <w:szCs w:val="16"/>
          <w:color w:val="auto"/>
        </w:rPr>
        <w:t>a transfer of the business or virtually the entire business to a third-party;</w:t>
      </w:r>
    </w:p>
    <w:p>
      <w:pPr>
        <w:spacing w:after="0" w:line="204" w:lineRule="exact"/>
        <w:rPr>
          <w:rFonts w:ascii="Times New Roman" w:cs="Times New Roman" w:eastAsia="Times New Roman" w:hAnsi="Times New Roman"/>
          <w:sz w:val="16"/>
          <w:szCs w:val="16"/>
          <w:color w:val="auto"/>
        </w:rPr>
      </w:pPr>
    </w:p>
    <w:p>
      <w:pPr>
        <w:jc w:val="both"/>
        <w:ind w:left="760" w:right="380" w:hanging="378"/>
        <w:spacing w:after="0" w:line="282" w:lineRule="auto"/>
        <w:tabs>
          <w:tab w:leader="none" w:pos="760" w:val="left"/>
        </w:tabs>
        <w:numPr>
          <w:ilvl w:val="0"/>
          <w:numId w:val="162"/>
        </w:numPr>
        <w:rPr>
          <w:rFonts w:ascii="Times New Roman" w:cs="Times New Roman" w:eastAsia="Times New Roman" w:hAnsi="Times New Roman"/>
          <w:sz w:val="16"/>
          <w:szCs w:val="16"/>
          <w:color w:val="auto"/>
        </w:rPr>
      </w:pPr>
      <w:r>
        <w:rPr>
          <w:rFonts w:ascii="Arial" w:cs="Arial" w:eastAsia="Arial" w:hAnsi="Arial"/>
          <w:sz w:val="16"/>
          <w:szCs w:val="16"/>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29" w:lineRule="exact"/>
        <w:rPr>
          <w:rFonts w:ascii="Times New Roman" w:cs="Times New Roman" w:eastAsia="Times New Roman" w:hAnsi="Times New Roman"/>
          <w:sz w:val="16"/>
          <w:szCs w:val="16"/>
          <w:color w:val="auto"/>
        </w:rPr>
      </w:pPr>
    </w:p>
    <w:p>
      <w:pPr>
        <w:jc w:val="both"/>
        <w:ind w:left="780" w:right="180" w:hanging="384"/>
        <w:spacing w:after="0" w:line="251" w:lineRule="auto"/>
        <w:tabs>
          <w:tab w:leader="none" w:pos="780" w:val="left"/>
        </w:tabs>
        <w:numPr>
          <w:ilvl w:val="1"/>
          <w:numId w:val="162"/>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absence of such approval shall result in the relevant resolution being null and void but shall not affect the powers of representation of the Board or of the executive directors.</w:t>
      </w:r>
    </w:p>
    <w:p>
      <w:pPr>
        <w:spacing w:after="0" w:line="172" w:lineRule="exact"/>
        <w:rPr>
          <w:sz w:val="20"/>
          <w:szCs w:val="20"/>
          <w:color w:val="auto"/>
        </w:rPr>
      </w:pPr>
    </w:p>
    <w:p>
      <w:pPr>
        <w:ind w:right="180" w:firstLine="520"/>
        <w:spacing w:after="0" w:line="257"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37" w:lineRule="exact"/>
        <w:rPr>
          <w:sz w:val="20"/>
          <w:szCs w:val="20"/>
          <w:color w:val="auto"/>
        </w:rPr>
      </w:pPr>
    </w:p>
    <w:p>
      <w:pPr>
        <w:ind w:right="20" w:firstLine="520"/>
        <w:spacing w:after="0" w:line="251" w:lineRule="auto"/>
        <w:rPr>
          <w:sz w:val="20"/>
          <w:szCs w:val="20"/>
          <w:color w:val="auto"/>
        </w:rPr>
      </w:pPr>
      <w:r>
        <w:rPr>
          <w:rFonts w:ascii="Arial" w:cs="Arial" w:eastAsia="Arial" w:hAnsi="Arial"/>
          <w:sz w:val="16"/>
          <w:szCs w:val="16"/>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Remuneration of Directors</w:t>
      </w:r>
    </w:p>
    <w:p>
      <w:pPr>
        <w:spacing w:after="0" w:line="216" w:lineRule="exact"/>
        <w:rPr>
          <w:sz w:val="20"/>
          <w:szCs w:val="20"/>
          <w:color w:val="auto"/>
        </w:rPr>
      </w:pPr>
    </w:p>
    <w:p>
      <w:pPr>
        <w:ind w:right="100" w:firstLine="520"/>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979805</wp:posOffset>
            </wp:positionV>
            <wp:extent cx="71589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59" w:name="page160"/>
    <w:bookmarkEnd w:id="159"/>
    <w:p>
      <w:pPr>
        <w:jc w:val="both"/>
        <w:ind w:firstLine="520"/>
        <w:spacing w:after="0" w:line="26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972820</wp:posOffset>
            </wp:positionV>
            <wp:extent cx="71589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00"/>
          </w:cols>
          <w:pgMar w:left="320" w:top="1385" w:right="6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8.1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8020" w:type="dxa"/>
            <w:vAlign w:val="bottom"/>
            <w:gridSpan w:val="3"/>
          </w:tcPr>
          <w:p>
            <w:pPr>
              <w:ind w:left="1260"/>
              <w:spacing w:after="0"/>
              <w:rPr>
                <w:sz w:val="20"/>
                <w:szCs w:val="20"/>
                <w:color w:val="auto"/>
              </w:rPr>
            </w:pPr>
            <w:r>
              <w:rPr>
                <w:rFonts w:ascii="Arial" w:cs="Arial" w:eastAsia="Arial" w:hAnsi="Arial"/>
                <w:sz w:val="16"/>
                <w:szCs w:val="16"/>
                <w:b w:val="1"/>
                <w:bCs w:val="1"/>
                <w:color w:val="auto"/>
              </w:rPr>
              <w:t>Subsidiaries of Pharvaris N.V.</w:t>
            </w:r>
          </w:p>
        </w:tc>
      </w:tr>
      <w:tr>
        <w:trPr>
          <w:trHeight w:val="26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2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207"/>
        </w:trPr>
        <w:tc>
          <w:tcPr>
            <w:tcW w:w="3220" w:type="dxa"/>
            <w:vAlign w:val="bottom"/>
          </w:tcPr>
          <w:p>
            <w:pPr>
              <w:ind w:left="20"/>
              <w:spacing w:after="0"/>
              <w:rPr>
                <w:sz w:val="20"/>
                <w:szCs w:val="20"/>
                <w:color w:val="auto"/>
              </w:rPr>
            </w:pPr>
            <w:r>
              <w:rPr>
                <w:rFonts w:ascii="Arial" w:cs="Arial" w:eastAsia="Arial" w:hAnsi="Arial"/>
                <w:sz w:val="16"/>
                <w:szCs w:val="16"/>
                <w:color w:val="auto"/>
              </w:rPr>
              <w:t>Pharvaris Holdings B.V.</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28"/>
        </w:trPr>
        <w:tc>
          <w:tcPr>
            <w:tcW w:w="322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Zug, Switzerland</w:t>
            </w:r>
          </w:p>
        </w:tc>
      </w:tr>
      <w:tr>
        <w:trPr>
          <w:trHeight w:val="241"/>
        </w:trPr>
        <w:tc>
          <w:tcPr>
            <w:tcW w:w="322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Delaware, United States of America</w:t>
            </w:r>
          </w:p>
        </w:tc>
      </w:tr>
      <w:tr>
        <w:trPr>
          <w:trHeight w:val="1617"/>
        </w:trPr>
        <w:tc>
          <w:tcPr>
            <w:tcW w:w="3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1"/>
          <w:szCs w:val="21"/>
          <w:color w:val="auto"/>
        </w:rPr>
        <w:t>Exhibit 12.1</w:t>
      </w:r>
    </w:p>
    <w:p>
      <w:pPr>
        <w:spacing w:after="0" w:line="398" w:lineRule="exact"/>
        <w:rPr>
          <w:sz w:val="20"/>
          <w:szCs w:val="20"/>
          <w:color w:val="auto"/>
        </w:rPr>
      </w:pPr>
    </w:p>
    <w:p>
      <w:pPr>
        <w:jc w:val="both"/>
        <w:ind w:left="1280" w:hanging="1268"/>
        <w:spacing w:after="0" w:line="281" w:lineRule="auto"/>
        <w:rPr>
          <w:sz w:val="20"/>
          <w:szCs w:val="20"/>
          <w:color w:val="auto"/>
        </w:rPr>
      </w:pPr>
      <w:r>
        <w:rPr>
          <w:rFonts w:ascii="Times New Roman" w:cs="Times New Roman" w:eastAsia="Times New Roman" w:hAnsi="Times New Roman"/>
          <w:sz w:val="21"/>
          <w:szCs w:val="21"/>
          <w:b w:val="1"/>
          <w:bCs w:val="1"/>
          <w:color w:val="auto"/>
        </w:rPr>
        <w:t>CERTIFICATION OF THE PRINCIPAL EXECUTIVE OFFICER PURSUANT TO EXCHANGE ACT RULE 13A-14(A) OR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Berndt Modig, certify that:</w:t>
      </w:r>
    </w:p>
    <w:p>
      <w:pPr>
        <w:spacing w:after="0" w:line="214" w:lineRule="exact"/>
        <w:rPr>
          <w:sz w:val="20"/>
          <w:szCs w:val="20"/>
          <w:color w:val="auto"/>
        </w:rPr>
      </w:pPr>
    </w:p>
    <w:p>
      <w:pPr>
        <w:ind w:left="760" w:hanging="753"/>
        <w:spacing w:after="0"/>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have reviewed this annual report on Form 20-F of Pharvaris N.V.;</w:t>
      </w:r>
    </w:p>
    <w:p>
      <w:pPr>
        <w:spacing w:after="0" w:line="214" w:lineRule="exact"/>
        <w:rPr>
          <w:rFonts w:ascii="Times New Roman" w:cs="Times New Roman" w:eastAsia="Times New Roman" w:hAnsi="Times New Roman"/>
          <w:sz w:val="21"/>
          <w:szCs w:val="21"/>
          <w:color w:val="010000"/>
        </w:rPr>
      </w:pPr>
    </w:p>
    <w:p>
      <w:pPr>
        <w:jc w:val="both"/>
        <w:ind w:left="760" w:right="300" w:hanging="753"/>
        <w:spacing w:after="0" w:line="258"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21"/>
          <w:szCs w:val="21"/>
          <w:color w:val="010000"/>
        </w:rPr>
      </w:pPr>
    </w:p>
    <w:p>
      <w:pPr>
        <w:ind w:left="760" w:right="40" w:hanging="753"/>
        <w:spacing w:after="0" w:line="258"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Times New Roman" w:cs="Times New Roman" w:eastAsia="Times New Roman" w:hAnsi="Times New Roman"/>
          <w:sz w:val="21"/>
          <w:szCs w:val="21"/>
          <w:color w:val="010000"/>
        </w:rPr>
      </w:pPr>
    </w:p>
    <w:p>
      <w:pPr>
        <w:ind w:left="760" w:right="180" w:hanging="753"/>
        <w:spacing w:after="0" w:line="258"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9" w:lineRule="exact"/>
        <w:rPr>
          <w:rFonts w:ascii="Times New Roman" w:cs="Times New Roman" w:eastAsia="Times New Roman" w:hAnsi="Times New Roman"/>
          <w:sz w:val="21"/>
          <w:szCs w:val="21"/>
          <w:color w:val="010000"/>
        </w:rPr>
      </w:pPr>
    </w:p>
    <w:p>
      <w:pPr>
        <w:ind w:left="1500" w:right="240" w:hanging="744"/>
        <w:spacing w:after="0" w:line="252"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21"/>
          <w:szCs w:val="21"/>
          <w:color w:val="010000"/>
        </w:rPr>
      </w:pPr>
    </w:p>
    <w:p>
      <w:pPr>
        <w:ind w:left="1500" w:right="60" w:hanging="744"/>
        <w:spacing w:after="0" w:line="252"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21"/>
          <w:szCs w:val="21"/>
          <w:color w:val="010000"/>
        </w:rPr>
      </w:pPr>
    </w:p>
    <w:p>
      <w:pPr>
        <w:jc w:val="both"/>
        <w:ind w:left="1500" w:right="60" w:hanging="744"/>
        <w:spacing w:after="0" w:line="258"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21"/>
          <w:szCs w:val="21"/>
          <w:color w:val="010000"/>
        </w:rPr>
      </w:pPr>
    </w:p>
    <w:p>
      <w:pPr>
        <w:ind w:left="1500" w:right="220" w:hanging="744"/>
        <w:spacing w:after="0" w:line="258" w:lineRule="auto"/>
        <w:tabs>
          <w:tab w:leader="none" w:pos="1500" w:val="left"/>
        </w:tabs>
        <w:numPr>
          <w:ilvl w:val="1"/>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59" w:lineRule="exact"/>
        <w:rPr>
          <w:rFonts w:ascii="Times New Roman" w:cs="Times New Roman" w:eastAsia="Times New Roman" w:hAnsi="Times New Roman"/>
          <w:sz w:val="21"/>
          <w:szCs w:val="21"/>
          <w:color w:val="010000"/>
        </w:rPr>
      </w:pPr>
    </w:p>
    <w:p>
      <w:pPr>
        <w:ind w:left="760" w:right="120" w:hanging="753"/>
        <w:spacing w:after="0" w:line="277" w:lineRule="auto"/>
        <w:tabs>
          <w:tab w:leader="none" w:pos="760" w:val="left"/>
        </w:tabs>
        <w:numPr>
          <w:ilvl w:val="0"/>
          <w:numId w:val="1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have disclosed, based on our most recent evaluation of internal control over financial reporting, to the company’s auditors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978535</wp:posOffset>
            </wp:positionV>
            <wp:extent cx="715899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2" w:name="page163"/>
    <w:bookmarkEnd w:id="162"/>
    <w:p>
      <w:pPr>
        <w:ind w:left="760"/>
        <w:spacing w:after="0"/>
        <w:rPr>
          <w:sz w:val="20"/>
          <w:szCs w:val="20"/>
          <w:color w:val="auto"/>
        </w:rPr>
      </w:pPr>
      <w:r>
        <w:rPr>
          <w:rFonts w:ascii="Times New Roman" w:cs="Times New Roman" w:eastAsia="Times New Roman" w:hAnsi="Times New Roman"/>
          <w:sz w:val="21"/>
          <w:szCs w:val="21"/>
          <w:color w:val="auto"/>
        </w:rPr>
        <w:t>audit committee of the company’s board of directors (or persons performing the equivalent functions):</w:t>
      </w:r>
    </w:p>
    <w:p>
      <w:pPr>
        <w:spacing w:after="0" w:line="214" w:lineRule="exact"/>
        <w:rPr>
          <w:sz w:val="20"/>
          <w:szCs w:val="20"/>
          <w:color w:val="auto"/>
        </w:rPr>
      </w:pPr>
    </w:p>
    <w:p>
      <w:pPr>
        <w:ind w:left="1500" w:right="20" w:hanging="744"/>
        <w:spacing w:after="0" w:line="258" w:lineRule="auto"/>
        <w:tabs>
          <w:tab w:leader="none" w:pos="1500" w:val="left"/>
        </w:tabs>
        <w:numPr>
          <w:ilvl w:val="0"/>
          <w:numId w:val="1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9" w:lineRule="exact"/>
        <w:rPr>
          <w:rFonts w:ascii="Times New Roman" w:cs="Times New Roman" w:eastAsia="Times New Roman" w:hAnsi="Times New Roman"/>
          <w:sz w:val="21"/>
          <w:szCs w:val="21"/>
          <w:color w:val="010000"/>
        </w:rPr>
      </w:pPr>
    </w:p>
    <w:p>
      <w:pPr>
        <w:ind w:left="1500" w:right="100" w:hanging="744"/>
        <w:spacing w:after="0" w:line="277" w:lineRule="auto"/>
        <w:tabs>
          <w:tab w:leader="none" w:pos="1500" w:val="left"/>
        </w:tabs>
        <w:numPr>
          <w:ilvl w:val="0"/>
          <w:numId w:val="1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fraud, whether or not material, that involves management or other employees who have a significant role in the company’s internal control over financial reporting.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10, 2024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Berndt Modig</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Director and Chief Executive Officer</w:t>
            </w:r>
          </w:p>
        </w:tc>
      </w:tr>
      <w:tr>
        <w:trPr>
          <w:trHeight w:val="160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1"/>
          <w:szCs w:val="21"/>
          <w:color w:val="auto"/>
        </w:rPr>
        <w:t>Exhibit 12.2</w:t>
      </w:r>
    </w:p>
    <w:p>
      <w:pPr>
        <w:spacing w:after="0" w:line="39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21"/>
          <w:szCs w:val="21"/>
          <w:b w:val="1"/>
          <w:bCs w:val="1"/>
          <w:color w:val="auto"/>
        </w:rPr>
        <w:t>CERTIFICATION OF THE PRINCIPAL FINANCIAL OFFICER PURSUANT TO EXCHANGE ACT RULE 13A-14(A) OR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Anna Nijdam, certify that:</w:t>
      </w:r>
    </w:p>
    <w:p>
      <w:pPr>
        <w:spacing w:after="0" w:line="214" w:lineRule="exact"/>
        <w:rPr>
          <w:sz w:val="20"/>
          <w:szCs w:val="20"/>
          <w:color w:val="auto"/>
        </w:rPr>
      </w:pPr>
    </w:p>
    <w:p>
      <w:pPr>
        <w:ind w:left="760" w:hanging="753"/>
        <w:spacing w:after="0"/>
        <w:tabs>
          <w:tab w:leader="none" w:pos="760" w:val="left"/>
        </w:tabs>
        <w:numPr>
          <w:ilvl w:val="0"/>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have reviewed this annual report on Form 20-F of Pharvaris N.V.;</w:t>
      </w:r>
    </w:p>
    <w:p>
      <w:pPr>
        <w:spacing w:after="0" w:line="214" w:lineRule="exact"/>
        <w:rPr>
          <w:rFonts w:ascii="Times New Roman" w:cs="Times New Roman" w:eastAsia="Times New Roman" w:hAnsi="Times New Roman"/>
          <w:sz w:val="21"/>
          <w:szCs w:val="21"/>
          <w:color w:val="010000"/>
        </w:rPr>
      </w:pPr>
    </w:p>
    <w:p>
      <w:pPr>
        <w:jc w:val="both"/>
        <w:ind w:left="760" w:right="300" w:hanging="753"/>
        <w:spacing w:after="0" w:line="258" w:lineRule="auto"/>
        <w:tabs>
          <w:tab w:leader="none" w:pos="760" w:val="left"/>
        </w:tabs>
        <w:numPr>
          <w:ilvl w:val="0"/>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21"/>
          <w:szCs w:val="21"/>
          <w:color w:val="010000"/>
        </w:rPr>
      </w:pPr>
    </w:p>
    <w:p>
      <w:pPr>
        <w:ind w:left="760" w:right="40" w:hanging="753"/>
        <w:spacing w:after="0" w:line="258" w:lineRule="auto"/>
        <w:tabs>
          <w:tab w:leader="none" w:pos="760" w:val="left"/>
        </w:tabs>
        <w:numPr>
          <w:ilvl w:val="0"/>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Times New Roman" w:cs="Times New Roman" w:eastAsia="Times New Roman" w:hAnsi="Times New Roman"/>
          <w:sz w:val="21"/>
          <w:szCs w:val="21"/>
          <w:color w:val="010000"/>
        </w:rPr>
      </w:pPr>
    </w:p>
    <w:p>
      <w:pPr>
        <w:ind w:left="760" w:right="180" w:hanging="753"/>
        <w:spacing w:after="0" w:line="258" w:lineRule="auto"/>
        <w:tabs>
          <w:tab w:leader="none" w:pos="760" w:val="left"/>
        </w:tabs>
        <w:numPr>
          <w:ilvl w:val="0"/>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9" w:lineRule="exact"/>
        <w:rPr>
          <w:rFonts w:ascii="Times New Roman" w:cs="Times New Roman" w:eastAsia="Times New Roman" w:hAnsi="Times New Roman"/>
          <w:sz w:val="21"/>
          <w:szCs w:val="21"/>
          <w:color w:val="010000"/>
        </w:rPr>
      </w:pPr>
    </w:p>
    <w:p>
      <w:pPr>
        <w:ind w:left="1500" w:right="240" w:hanging="744"/>
        <w:spacing w:after="0" w:line="252" w:lineRule="auto"/>
        <w:tabs>
          <w:tab w:leader="none" w:pos="1500" w:val="left"/>
        </w:tabs>
        <w:numPr>
          <w:ilvl w:val="1"/>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21"/>
          <w:szCs w:val="21"/>
          <w:color w:val="010000"/>
        </w:rPr>
      </w:pPr>
    </w:p>
    <w:p>
      <w:pPr>
        <w:ind w:left="1500" w:right="60" w:hanging="744"/>
        <w:spacing w:after="0" w:line="252" w:lineRule="auto"/>
        <w:tabs>
          <w:tab w:leader="none" w:pos="1500" w:val="left"/>
        </w:tabs>
        <w:numPr>
          <w:ilvl w:val="1"/>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21"/>
          <w:szCs w:val="21"/>
          <w:color w:val="010000"/>
        </w:rPr>
      </w:pPr>
    </w:p>
    <w:p>
      <w:pPr>
        <w:jc w:val="both"/>
        <w:ind w:left="1500" w:right="60" w:hanging="744"/>
        <w:spacing w:after="0" w:line="258" w:lineRule="auto"/>
        <w:tabs>
          <w:tab w:leader="none" w:pos="1500" w:val="left"/>
        </w:tabs>
        <w:numPr>
          <w:ilvl w:val="1"/>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21"/>
          <w:szCs w:val="21"/>
          <w:color w:val="010000"/>
        </w:rPr>
      </w:pPr>
    </w:p>
    <w:p>
      <w:pPr>
        <w:ind w:left="1500" w:right="220" w:hanging="744"/>
        <w:spacing w:after="0" w:line="258" w:lineRule="auto"/>
        <w:tabs>
          <w:tab w:leader="none" w:pos="1500" w:val="left"/>
        </w:tabs>
        <w:numPr>
          <w:ilvl w:val="1"/>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991235</wp:posOffset>
            </wp:positionV>
            <wp:extent cx="71589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4" w:name="page165"/>
    <w:bookmarkEnd w:id="164"/>
    <w:p>
      <w:pPr>
        <w:ind w:left="760" w:right="120" w:hanging="753"/>
        <w:spacing w:after="0" w:line="258" w:lineRule="auto"/>
        <w:tabs>
          <w:tab w:leader="none" w:pos="760" w:val="left"/>
        </w:tabs>
        <w:numPr>
          <w:ilvl w:val="0"/>
          <w:numId w:val="1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9" w:lineRule="exact"/>
        <w:rPr>
          <w:rFonts w:ascii="Times New Roman" w:cs="Times New Roman" w:eastAsia="Times New Roman" w:hAnsi="Times New Roman"/>
          <w:sz w:val="21"/>
          <w:szCs w:val="21"/>
          <w:color w:val="010000"/>
        </w:rPr>
      </w:pPr>
    </w:p>
    <w:p>
      <w:pPr>
        <w:ind w:left="1500" w:right="20" w:hanging="744"/>
        <w:spacing w:after="0" w:line="258" w:lineRule="auto"/>
        <w:tabs>
          <w:tab w:leader="none" w:pos="1500" w:val="left"/>
        </w:tabs>
        <w:numPr>
          <w:ilvl w:val="1"/>
          <w:numId w:val="1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9" w:lineRule="exact"/>
        <w:rPr>
          <w:rFonts w:ascii="Times New Roman" w:cs="Times New Roman" w:eastAsia="Times New Roman" w:hAnsi="Times New Roman"/>
          <w:sz w:val="21"/>
          <w:szCs w:val="21"/>
          <w:color w:val="010000"/>
        </w:rPr>
      </w:pPr>
    </w:p>
    <w:p>
      <w:pPr>
        <w:ind w:left="1500" w:right="100" w:hanging="744"/>
        <w:spacing w:after="0" w:line="277" w:lineRule="auto"/>
        <w:tabs>
          <w:tab w:leader="none" w:pos="1500" w:val="left"/>
        </w:tabs>
        <w:numPr>
          <w:ilvl w:val="1"/>
          <w:numId w:val="1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fraud, whether or not material, that involves management or other employees who have a significant role in the company’s internal control over financial reporting.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10, 2024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Anna Nijdam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Anna Nijdam</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Head of Strategic Finance and Principal Accounting Officer</w:t>
            </w:r>
          </w:p>
        </w:tc>
      </w:tr>
      <w:tr>
        <w:trPr>
          <w:trHeight w:val="160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1"/>
          <w:szCs w:val="21"/>
          <w:color w:val="auto"/>
        </w:rPr>
        <w:t>Exhibit 13.1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by the Principal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906 of the Sarbanes-Oxley Act of 2002</w:t>
      </w:r>
    </w:p>
    <w:p>
      <w:pPr>
        <w:spacing w:after="0" w:line="190" w:lineRule="exact"/>
        <w:rPr>
          <w:sz w:val="20"/>
          <w:szCs w:val="20"/>
          <w:color w:val="auto"/>
        </w:rPr>
      </w:pPr>
    </w:p>
    <w:p>
      <w:pPr>
        <w:ind w:right="300" w:firstLine="749"/>
        <w:spacing w:after="0" w:line="252" w:lineRule="auto"/>
        <w:rPr>
          <w:sz w:val="20"/>
          <w:szCs w:val="20"/>
          <w:color w:val="auto"/>
        </w:rPr>
      </w:pPr>
      <w:r>
        <w:rPr>
          <w:rFonts w:ascii="Times New Roman" w:cs="Times New Roman" w:eastAsia="Times New Roman" w:hAnsi="Times New Roman"/>
          <w:sz w:val="21"/>
          <w:szCs w:val="21"/>
          <w:color w:val="auto"/>
        </w:rPr>
        <w:t>In connection with the Annual Report of Pharvaris N.V. (the “Company”) on Form 20-F for the fiscal year ended December 31, 2023 as filed with the Securities and Exchange Commission on the date hereof (the “Report”), I, Berndt Modig,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1500" w:right="420" w:hanging="744"/>
        <w:spacing w:after="0" w:line="277" w:lineRule="auto"/>
        <w:tabs>
          <w:tab w:leader="none" w:pos="150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21"/>
          <w:szCs w:val="21"/>
          <w:color w:val="auto"/>
        </w:rPr>
      </w:pPr>
    </w:p>
    <w:p>
      <w:pPr>
        <w:ind w:left="1500" w:right="560" w:hanging="744"/>
        <w:spacing w:after="0" w:line="277" w:lineRule="auto"/>
        <w:tabs>
          <w:tab w:leader="none" w:pos="150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10, 2024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Berndt Modig</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Director and Chief Executive Officer</w:t>
            </w:r>
          </w:p>
        </w:tc>
      </w:tr>
      <w:tr>
        <w:trPr>
          <w:trHeight w:val="160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1"/>
          <w:szCs w:val="21"/>
          <w:color w:val="auto"/>
        </w:rPr>
        <w:t>Exhibit 13.2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by the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906 of the Sarbanes-Oxley Act of 2002</w:t>
      </w:r>
    </w:p>
    <w:p>
      <w:pPr>
        <w:spacing w:after="0" w:line="190" w:lineRule="exact"/>
        <w:rPr>
          <w:sz w:val="20"/>
          <w:szCs w:val="20"/>
          <w:color w:val="auto"/>
        </w:rPr>
      </w:pPr>
    </w:p>
    <w:p>
      <w:pPr>
        <w:ind w:right="440" w:firstLine="749"/>
        <w:spacing w:after="0" w:line="252" w:lineRule="auto"/>
        <w:rPr>
          <w:sz w:val="20"/>
          <w:szCs w:val="20"/>
          <w:color w:val="auto"/>
        </w:rPr>
      </w:pPr>
      <w:r>
        <w:rPr>
          <w:rFonts w:ascii="Times New Roman" w:cs="Times New Roman" w:eastAsia="Times New Roman" w:hAnsi="Times New Roman"/>
          <w:sz w:val="21"/>
          <w:szCs w:val="21"/>
          <w:color w:val="auto"/>
        </w:rPr>
        <w:t>In connection with the Annual Report of Pharvaris N.V. (the “Company”) on Form 20-F for the fiscal year ended December 31, 2023 as filed with the Securities and Exchange Commission on the date hereof (the “Report”), I, Anna Nijdam, Head of Strategic Finance and Principal Accounting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1500" w:right="420" w:hanging="744"/>
        <w:spacing w:after="0" w:line="277" w:lineRule="auto"/>
        <w:tabs>
          <w:tab w:leader="none" w:pos="150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21"/>
          <w:szCs w:val="21"/>
          <w:color w:val="auto"/>
        </w:rPr>
      </w:pPr>
    </w:p>
    <w:p>
      <w:pPr>
        <w:ind w:left="1500" w:right="560" w:hanging="744"/>
        <w:spacing w:after="0" w:line="277" w:lineRule="auto"/>
        <w:tabs>
          <w:tab w:leader="none" w:pos="150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10, 2024</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Anna Nijdam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0896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Anna Nijdam</w:t>
            </w:r>
          </w:p>
        </w:tc>
      </w:tr>
      <w:tr>
        <w:trPr>
          <w:trHeight w:val="279"/>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5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Head of Strategic Finance and Principal Accounting Officer</w:t>
            </w:r>
          </w:p>
        </w:tc>
      </w:tr>
      <w:tr>
        <w:trPr>
          <w:trHeight w:val="160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4"/>
          <w:szCs w:val="24"/>
          <w:color w:val="auto"/>
        </w:rPr>
        <w:t>Exhibit 15.1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CONSENT OF INDEPENDENT REGISTERED PUBLIC ACCOUNTING FIRM</w:t>
      </w:r>
    </w:p>
    <w:p>
      <w:pPr>
        <w:spacing w:after="0" w:line="244" w:lineRule="exact"/>
        <w:rPr>
          <w:sz w:val="20"/>
          <w:szCs w:val="20"/>
          <w:color w:val="auto"/>
        </w:rPr>
      </w:pPr>
    </w:p>
    <w:p>
      <w:pPr>
        <w:ind w:left="20" w:right="420" w:hanging="9"/>
        <w:spacing w:after="0" w:line="23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333-252897) and Form F-3 (Nos 333-263198, 333-273757 and 333-277705) of Pharvaris N.V. of our report dated April 10, 2024 relating to the financial statements, which appears in this Form 20-F.</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Accountants N.V.</w:t>
      </w:r>
    </w:p>
    <w:p>
      <w:pPr>
        <w:spacing w:after="0" w:line="197" w:lineRule="exact"/>
        <w:rPr>
          <w:sz w:val="20"/>
          <w:szCs w:val="20"/>
          <w:color w:val="auto"/>
        </w:rPr>
      </w:pPr>
    </w:p>
    <w:p>
      <w:pPr>
        <w:spacing w:after="0"/>
        <w:rPr>
          <w:sz w:val="20"/>
          <w:szCs w:val="20"/>
          <w:color w:val="auto"/>
        </w:rPr>
      </w:pPr>
      <w:r>
        <w:rPr>
          <w:rFonts w:ascii="Georgia" w:cs="Georgia" w:eastAsia="Georgia" w:hAnsi="Georgia"/>
          <w:sz w:val="18"/>
          <w:szCs w:val="18"/>
          <w:color w:val="auto"/>
        </w:rPr>
        <w:t>Amsterdam, The Netherlands</w:t>
      </w:r>
    </w:p>
    <w:p>
      <w:pPr>
        <w:spacing w:after="0" w:line="236" w:lineRule="auto"/>
        <w:rPr>
          <w:sz w:val="20"/>
          <w:szCs w:val="20"/>
          <w:color w:val="auto"/>
        </w:rPr>
      </w:pPr>
      <w:r>
        <w:rPr>
          <w:rFonts w:ascii="Georgia" w:cs="Georgia" w:eastAsia="Georgia" w:hAnsi="Georgia"/>
          <w:sz w:val="18"/>
          <w:szCs w:val="18"/>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1546860</wp:posOffset>
            </wp:positionV>
            <wp:extent cx="71589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8" w:name="page169"/>
    <w:bookmarkEnd w:id="168"/>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469265</wp:posOffset>
            </wp:positionV>
            <wp:extent cx="715899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69" w:name="page170"/>
    <w:bookmarkEnd w:id="169"/>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 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365760</wp:posOffset>
            </wp:positionV>
            <wp:extent cx="71589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170" w:name="page171"/>
    <w:bookmarkEnd w:id="170"/>
    <w:p>
      <w:pPr>
        <w:spacing w:after="0" w:line="200" w:lineRule="exact"/>
        <w:rPr>
          <w:sz w:val="20"/>
          <w:szCs w:val="20"/>
          <w:color w:val="auto"/>
        </w:rPr>
      </w:pPr>
    </w:p>
    <w:p>
      <w:pPr>
        <w:spacing w:after="0" w:line="400" w:lineRule="exact"/>
        <w:rPr>
          <w:sz w:val="20"/>
          <w:szCs w:val="20"/>
          <w:color w:val="auto"/>
        </w:rPr>
      </w:pPr>
    </w:p>
    <w:p>
      <w:pPr>
        <w:jc w:val="both"/>
        <w:ind w:firstLine="728"/>
        <w:spacing w:after="0" w:line="243" w:lineRule="auto"/>
        <w:rPr>
          <w:sz w:val="20"/>
          <w:szCs w:val="20"/>
          <w:color w:val="auto"/>
        </w:rPr>
      </w:pPr>
      <w:r>
        <w:rPr>
          <w:rFonts w:ascii="Times New Roman" w:cs="Times New Roman" w:eastAsia="Times New Roman" w:hAnsi="Times New Roman"/>
          <w:sz w:val="21"/>
          <w:szCs w:val="21"/>
          <w:color w:val="auto"/>
        </w:rPr>
        <w:t>Pharvaris N.V.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is designed to comply with Section 10D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 rules promulgated thereunder, and the listing standards of the national securities exchange on which the Company’s securities are listed.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18" w:lineRule="exact"/>
        <w:rPr>
          <w:sz w:val="20"/>
          <w:szCs w:val="20"/>
          <w:color w:val="auto"/>
        </w:rPr>
      </w:pPr>
    </w:p>
    <w:p>
      <w:pPr>
        <w:jc w:val="both"/>
        <w:ind w:firstLine="728"/>
        <w:spacing w:after="0" w:line="265" w:lineRule="auto"/>
        <w:rPr>
          <w:sz w:val="20"/>
          <w:szCs w:val="20"/>
          <w:color w:val="auto"/>
        </w:rPr>
      </w:pPr>
      <w:r>
        <w:rPr>
          <w:rFonts w:ascii="Times New Roman" w:cs="Times New Roman" w:eastAsia="Times New Roman" w:hAnsi="Times New Roman"/>
          <w:sz w:val="21"/>
          <w:szCs w:val="21"/>
          <w:color w:val="auto"/>
        </w:rPr>
        <w:t>This Policy shall be administered by the Compensation Committee of the Board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Any determinations made by the Compensation Committee shall be final and binding on all affected individuals.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18" w:lineRule="exact"/>
        <w:rPr>
          <w:sz w:val="20"/>
          <w:szCs w:val="20"/>
          <w:color w:val="auto"/>
        </w:rPr>
      </w:pPr>
    </w:p>
    <w:p>
      <w:pPr>
        <w:jc w:val="both"/>
        <w:ind w:firstLine="728"/>
        <w:spacing w:after="0" w:line="246"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This Policy shall be binding and enforceable against all Covered Executives.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18" w:lineRule="exact"/>
        <w:rPr>
          <w:sz w:val="20"/>
          <w:szCs w:val="20"/>
          <w:color w:val="auto"/>
        </w:rPr>
      </w:pPr>
    </w:p>
    <w:p>
      <w:pPr>
        <w:jc w:val="both"/>
        <w:ind w:firstLine="728"/>
        <w:spacing w:after="0" w:line="242" w:lineRule="auto"/>
        <w:rPr>
          <w:sz w:val="20"/>
          <w:szCs w:val="20"/>
          <w:color w:val="auto"/>
        </w:rPr>
      </w:pPr>
      <w:r>
        <w:rPr>
          <w:rFonts w:ascii="Times New Roman" w:cs="Times New Roman" w:eastAsia="Times New Roman" w:hAnsi="Times New Roman"/>
          <w:sz w:val="21"/>
          <w:szCs w:val="21"/>
          <w:color w:val="auto"/>
        </w:rPr>
        <w:t>In the event that the Company is required to prepare an accounting restatement of its financial statements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such Incentive-Based Compensation,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597535</wp:posOffset>
            </wp:positionV>
            <wp:extent cx="71589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71" w:name="page172"/>
    <w:bookmarkEnd w:id="171"/>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foregoing, this Policy shall only apply to Incentive-Based Compensation received on or after June 9, 2023.</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INCENTIVE-BASED COMPENSATION</w:t>
      </w:r>
    </w:p>
    <w:p>
      <w:pPr>
        <w:spacing w:after="0" w:line="218" w:lineRule="exact"/>
        <w:rPr>
          <w:sz w:val="20"/>
          <w:szCs w:val="20"/>
          <w:color w:val="auto"/>
        </w:rPr>
      </w:pPr>
    </w:p>
    <w:p>
      <w:pPr>
        <w:jc w:val="both"/>
        <w:ind w:left="60" w:firstLine="728"/>
        <w:spacing w:after="0" w:line="257"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measures,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w:t>
      </w:r>
    </w:p>
    <w:p>
      <w:pPr>
        <w:spacing w:after="0" w:line="2" w:lineRule="exact"/>
        <w:rPr>
          <w:sz w:val="20"/>
          <w:szCs w:val="20"/>
          <w:color w:val="auto"/>
        </w:rPr>
      </w:pPr>
    </w:p>
    <w:p>
      <w:pPr>
        <w:jc w:val="both"/>
        <w:ind w:left="60" w:hanging="8"/>
        <w:spacing w:after="0" w:line="257" w:lineRule="auto"/>
        <w:tabs>
          <w:tab w:leader="none" w:pos="43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59" w:lineRule="exact"/>
        <w:rPr>
          <w:sz w:val="20"/>
          <w:szCs w:val="20"/>
          <w:color w:val="auto"/>
        </w:rPr>
      </w:pPr>
    </w:p>
    <w:p>
      <w:pPr>
        <w:jc w:val="both"/>
        <w:ind w:left="60" w:firstLine="728"/>
        <w:spacing w:after="0" w:line="246" w:lineRule="auto"/>
        <w:rPr>
          <w:sz w:val="20"/>
          <w:szCs w:val="20"/>
          <w:color w:val="auto"/>
        </w:rPr>
      </w:pPr>
      <w:r>
        <w:rPr>
          <w:rFonts w:ascii="Times New Roman" w:cs="Times New Roman" w:eastAsia="Times New Roman" w:hAnsi="Times New Roman"/>
          <w:sz w:val="21"/>
          <w:szCs w:val="21"/>
          <w:color w:val="auto"/>
        </w:rPr>
        <w:t>Compensation that would not be considered Incentive-Based Compensation includes, but is not limited to: (a) salaries; (b) bonuses paid solely based on satisfaction of subjective standards, such as demonstrating leadership, and/or completion of a specified employment period; (c) non- equity incentive plan awards earned solely based on satisfaction of strategic or operational measures; (d) wholly time-based equity awards; and (e) discretionary bonuses or other compensation that is not paid from a bonus pool that is determined by satisfying a financial reporting measure performance goal.</w:t>
      </w:r>
    </w:p>
    <w:p>
      <w:pPr>
        <w:spacing w:after="0" w:line="291" w:lineRule="exact"/>
        <w:rPr>
          <w:sz w:val="20"/>
          <w:szCs w:val="20"/>
          <w:color w:val="auto"/>
        </w:rPr>
      </w:pPr>
    </w:p>
    <w:p>
      <w:pPr>
        <w:jc w:val="both"/>
        <w:ind w:left="60" w:firstLine="728"/>
        <w:spacing w:after="0" w:line="242" w:lineRule="auto"/>
        <w:rPr>
          <w:sz w:val="20"/>
          <w:szCs w:val="20"/>
          <w:color w:val="auto"/>
        </w:rPr>
      </w:pPr>
      <w:r>
        <w:rPr>
          <w:rFonts w:ascii="Times New Roman" w:cs="Times New Roman" w:eastAsia="Times New Roman" w:hAnsi="Times New Roman"/>
          <w:sz w:val="21"/>
          <w:szCs w:val="21"/>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OVERPAYMENT: AMOUNT SUBJECT TO RECOVERY</w:t>
      </w:r>
    </w:p>
    <w:p>
      <w:pPr>
        <w:spacing w:after="0" w:line="218" w:lineRule="exact"/>
        <w:rPr>
          <w:sz w:val="20"/>
          <w:szCs w:val="20"/>
          <w:color w:val="auto"/>
        </w:rPr>
      </w:pPr>
    </w:p>
    <w:p>
      <w:pPr>
        <w:jc w:val="both"/>
        <w:ind w:left="60" w:firstLine="728"/>
        <w:spacing w:after="0" w:line="248" w:lineRule="auto"/>
        <w:rPr>
          <w:sz w:val="20"/>
          <w:szCs w:val="20"/>
          <w:color w:val="auto"/>
        </w:rPr>
      </w:pPr>
      <w:r>
        <w:rPr>
          <w:rFonts w:ascii="Times New Roman" w:cs="Times New Roman" w:eastAsia="Times New Roman" w:hAnsi="Times New Roman"/>
          <w:sz w:val="21"/>
          <w:szCs w:val="21"/>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 the “</w:t>
      </w: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Incentive-Based Compensation is deemed received in the Company’s fiscal period during which the financial reporting measure specified in the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886460</wp:posOffset>
            </wp:positionV>
            <wp:extent cx="71589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72" w:name="page173"/>
    <w:bookmarkEnd w:id="172"/>
    <w:p>
      <w:pPr>
        <w:spacing w:after="0" w:line="200" w:lineRule="exact"/>
        <w:rPr>
          <w:sz w:val="20"/>
          <w:szCs w:val="20"/>
          <w:color w:val="auto"/>
        </w:rPr>
      </w:pPr>
    </w:p>
    <w:p>
      <w:pPr>
        <w:spacing w:after="0" w:line="360" w:lineRule="exact"/>
        <w:rPr>
          <w:sz w:val="20"/>
          <w:szCs w:val="20"/>
          <w:color w:val="auto"/>
        </w:rPr>
      </w:pPr>
    </w:p>
    <w:p>
      <w:pPr>
        <w:ind w:left="60" w:right="320"/>
        <w:spacing w:after="0" w:line="265" w:lineRule="auto"/>
        <w:rPr>
          <w:sz w:val="20"/>
          <w:szCs w:val="20"/>
          <w:color w:val="auto"/>
        </w:rPr>
      </w:pPr>
      <w:r>
        <w:rPr>
          <w:rFonts w:ascii="Times New Roman" w:cs="Times New Roman" w:eastAsia="Times New Roman" w:hAnsi="Times New Roman"/>
          <w:sz w:val="21"/>
          <w:szCs w:val="21"/>
          <w:color w:val="auto"/>
        </w:rPr>
        <w:t>incentive-based compensation award is attained, even if the vesting, payment or grant of the incentive-based compensation occurs after the end of that period.</w:t>
      </w:r>
    </w:p>
    <w:p>
      <w:pPr>
        <w:spacing w:after="0" w:line="164" w:lineRule="exact"/>
        <w:rPr>
          <w:sz w:val="20"/>
          <w:szCs w:val="20"/>
          <w:color w:val="auto"/>
        </w:rPr>
      </w:pPr>
    </w:p>
    <w:p>
      <w:pPr>
        <w:jc w:val="both"/>
        <w:ind w:left="60" w:firstLine="728"/>
        <w:spacing w:after="0" w:line="244" w:lineRule="auto"/>
        <w:rPr>
          <w:sz w:val="20"/>
          <w:szCs w:val="20"/>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18" w:lineRule="exact"/>
        <w:rPr>
          <w:sz w:val="20"/>
          <w:szCs w:val="20"/>
          <w:color w:val="auto"/>
        </w:rPr>
      </w:pPr>
    </w:p>
    <w:p>
      <w:pPr>
        <w:jc w:val="both"/>
        <w:ind w:left="60" w:firstLine="728"/>
        <w:spacing w:after="0" w:line="265" w:lineRule="auto"/>
        <w:rPr>
          <w:sz w:val="20"/>
          <w:szCs w:val="20"/>
          <w:color w:val="auto"/>
        </w:rPr>
      </w:pPr>
      <w:r>
        <w:rPr>
          <w:rFonts w:ascii="Times New Roman" w:cs="Times New Roman" w:eastAsia="Times New Roman" w:hAnsi="Times New Roman"/>
          <w:sz w:val="21"/>
          <w:szCs w:val="21"/>
          <w:color w:val="auto"/>
        </w:rPr>
        <w:t>The Compensation Committee will determine, in its sole discretion, the method or methods for recouping any Overpayment hereunder which may include, without limitation:</w:t>
      </w:r>
    </w:p>
    <w:p>
      <w:pPr>
        <w:spacing w:after="0" w:line="164" w:lineRule="exact"/>
        <w:rPr>
          <w:sz w:val="20"/>
          <w:szCs w:val="20"/>
          <w:color w:val="auto"/>
        </w:rPr>
      </w:pPr>
    </w:p>
    <w:p>
      <w:pPr>
        <w:ind w:left="780" w:hanging="429"/>
        <w:spacing w:after="0"/>
        <w:tabs>
          <w:tab w:leader="none" w:pos="78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93" w:lineRule="exact"/>
        <w:rPr>
          <w:rFonts w:ascii="Times New Roman" w:cs="Times New Roman" w:eastAsia="Times New Roman" w:hAnsi="Times New Roman"/>
          <w:sz w:val="21"/>
          <w:szCs w:val="21"/>
          <w:color w:val="auto"/>
        </w:rPr>
      </w:pPr>
    </w:p>
    <w:p>
      <w:pPr>
        <w:ind w:left="780" w:right="220" w:hanging="429"/>
        <w:spacing w:after="0" w:line="265" w:lineRule="auto"/>
        <w:tabs>
          <w:tab w:leader="none" w:pos="78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 granted as Incentive-Based Compensation;</w:t>
      </w:r>
    </w:p>
    <w:p>
      <w:pPr>
        <w:spacing w:after="0" w:line="56" w:lineRule="exact"/>
        <w:rPr>
          <w:rFonts w:ascii="Times New Roman" w:cs="Times New Roman" w:eastAsia="Times New Roman" w:hAnsi="Times New Roman"/>
          <w:sz w:val="21"/>
          <w:szCs w:val="21"/>
          <w:color w:val="auto"/>
        </w:rPr>
      </w:pPr>
    </w:p>
    <w:p>
      <w:pPr>
        <w:ind w:left="780" w:hanging="429"/>
        <w:spacing w:after="0"/>
        <w:tabs>
          <w:tab w:leader="none" w:pos="78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any or all of the Overpayment from any compensation otherwise owed by the Company to the Covered Executive;</w:t>
      </w:r>
    </w:p>
    <w:p>
      <w:pPr>
        <w:spacing w:after="0" w:line="118" w:lineRule="exact"/>
        <w:rPr>
          <w:rFonts w:ascii="Times New Roman" w:cs="Times New Roman" w:eastAsia="Times New Roman" w:hAnsi="Times New Roman"/>
          <w:sz w:val="20"/>
          <w:szCs w:val="20"/>
          <w:color w:val="auto"/>
        </w:rPr>
      </w:pPr>
    </w:p>
    <w:p>
      <w:pPr>
        <w:ind w:left="780" w:hanging="429"/>
        <w:spacing w:after="0"/>
        <w:tabs>
          <w:tab w:leader="none" w:pos="78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outstanding vested or unvested equity awards; and/or</w:t>
      </w:r>
    </w:p>
    <w:p>
      <w:pPr>
        <w:spacing w:after="0" w:line="107" w:lineRule="exact"/>
        <w:rPr>
          <w:rFonts w:ascii="Times New Roman" w:cs="Times New Roman" w:eastAsia="Times New Roman" w:hAnsi="Times New Roman"/>
          <w:sz w:val="21"/>
          <w:szCs w:val="21"/>
          <w:color w:val="auto"/>
        </w:rPr>
      </w:pPr>
    </w:p>
    <w:p>
      <w:pPr>
        <w:ind w:left="780" w:hanging="429"/>
        <w:spacing w:after="0"/>
        <w:tabs>
          <w:tab w:leader="none" w:pos="78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any other remedial and recovery action permitted by law, as determined by the Compensation Committee.</w:t>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LIMITATION ON RECOVERY; NO ADDITIONAL PAYMENTS</w:t>
      </w:r>
    </w:p>
    <w:p>
      <w:pPr>
        <w:spacing w:after="0" w:line="218" w:lineRule="exact"/>
        <w:rPr>
          <w:sz w:val="20"/>
          <w:szCs w:val="20"/>
          <w:color w:val="auto"/>
        </w:rPr>
      </w:pPr>
    </w:p>
    <w:p>
      <w:pPr>
        <w:jc w:val="both"/>
        <w:ind w:left="60" w:firstLine="728"/>
        <w:spacing w:after="0" w:line="246" w:lineRule="auto"/>
        <w:rPr>
          <w:sz w:val="20"/>
          <w:szCs w:val="20"/>
          <w:color w:val="auto"/>
        </w:rPr>
      </w:pPr>
      <w:r>
        <w:rPr>
          <w:rFonts w:ascii="Times New Roman" w:cs="Times New Roman" w:eastAsia="Times New Roman" w:hAnsi="Times New Roman"/>
          <w:sz w:val="21"/>
          <w:szCs w:val="21"/>
          <w:color w:val="auto"/>
        </w:rPr>
        <w:t>The right to recovery will be limited to Overpayments received during the three (3)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18" w:lineRule="exact"/>
        <w:rPr>
          <w:sz w:val="20"/>
          <w:szCs w:val="20"/>
          <w:color w:val="auto"/>
        </w:rPr>
      </w:pPr>
    </w:p>
    <w:p>
      <w:pPr>
        <w:jc w:val="both"/>
        <w:ind w:left="60" w:firstLine="728"/>
        <w:spacing w:after="0" w:line="265" w:lineRule="auto"/>
        <w:rPr>
          <w:sz w:val="20"/>
          <w:szCs w:val="20"/>
          <w:color w:val="auto"/>
        </w:rPr>
      </w:pPr>
      <w:r>
        <w:rPr>
          <w:rFonts w:ascii="Times New Roman" w:cs="Times New Roman" w:eastAsia="Times New Roman" w:hAnsi="Times New Roman"/>
          <w:sz w:val="21"/>
          <w:szCs w:val="21"/>
          <w:color w:val="auto"/>
        </w:rPr>
        <w:t>The Company shall not indemnify any Covered Executives against the loss of any incorrectly awarded Incentive-Based Compensation.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INTERPRETATION</w:t>
      </w:r>
    </w:p>
    <w:p>
      <w:pPr>
        <w:spacing w:after="0" w:line="205" w:lineRule="exact"/>
        <w:rPr>
          <w:sz w:val="20"/>
          <w:szCs w:val="20"/>
          <w:color w:val="auto"/>
        </w:rPr>
      </w:pPr>
    </w:p>
    <w:p>
      <w:pPr>
        <w:jc w:val="both"/>
        <w:ind w:left="60" w:firstLine="728"/>
        <w:spacing w:after="0" w:line="271" w:lineRule="auto"/>
        <w:rPr>
          <w:sz w:val="20"/>
          <w:szCs w:val="20"/>
          <w:color w:val="auto"/>
        </w:rPr>
      </w:pPr>
      <w:r>
        <w:rPr>
          <w:rFonts w:ascii="Times New Roman" w:cs="Times New Roman" w:eastAsia="Times New Roman" w:hAnsi="Times New Roman"/>
          <w:sz w:val="20"/>
          <w:szCs w:val="20"/>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886460</wp:posOffset>
            </wp:positionV>
            <wp:extent cx="71589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73" w:name="page174"/>
    <w:bookmarkEnd w:id="173"/>
    <w:p>
      <w:pPr>
        <w:spacing w:after="0" w:line="200" w:lineRule="exact"/>
        <w:rPr>
          <w:sz w:val="20"/>
          <w:szCs w:val="20"/>
          <w:color w:val="auto"/>
        </w:rPr>
      </w:pPr>
    </w:p>
    <w:p>
      <w:pPr>
        <w:spacing w:after="0" w:line="360" w:lineRule="exact"/>
        <w:rPr>
          <w:sz w:val="20"/>
          <w:szCs w:val="20"/>
          <w:color w:val="auto"/>
        </w:rPr>
      </w:pPr>
    </w:p>
    <w:p>
      <w:pPr>
        <w:ind w:left="60" w:right="2040"/>
        <w:spacing w:after="0" w:line="452" w:lineRule="auto"/>
        <w:rPr>
          <w:sz w:val="20"/>
          <w:szCs w:val="20"/>
          <w:color w:val="auto"/>
        </w:rPr>
      </w:pPr>
      <w:r>
        <w:rPr>
          <w:rFonts w:ascii="Times New Roman" w:cs="Times New Roman" w:eastAsia="Times New Roman" w:hAnsi="Times New Roman"/>
          <w:sz w:val="21"/>
          <w:szCs w:val="21"/>
          <w:color w:val="auto"/>
        </w:rPr>
        <w:t xml:space="preserve">and Exchange Commission or any national securities exchange on which the Company’s securities are listed. </w:t>
      </w:r>
      <w:r>
        <w:rPr>
          <w:rFonts w:ascii="Times New Roman" w:cs="Times New Roman" w:eastAsia="Times New Roman" w:hAnsi="Times New Roman"/>
          <w:sz w:val="21"/>
          <w:szCs w:val="21"/>
          <w:b w:val="1"/>
          <w:bCs w:val="1"/>
          <w:color w:val="auto"/>
        </w:rPr>
        <w:t>EFFECTIVE DATE</w:t>
      </w:r>
    </w:p>
    <w:p>
      <w:pPr>
        <w:spacing w:after="0" w:line="2" w:lineRule="exact"/>
        <w:rPr>
          <w:sz w:val="20"/>
          <w:szCs w:val="20"/>
          <w:color w:val="auto"/>
        </w:rPr>
      </w:pPr>
    </w:p>
    <w:p>
      <w:pPr>
        <w:jc w:val="both"/>
        <w:ind w:left="60" w:firstLine="728"/>
        <w:spacing w:after="0" w:line="252"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Incentive-Based Compensation (including Incentive-Based Compensation granted pursuant to arrangements existing prior to the Effective 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The Board may amend this Policy from time to time in its discretion. The Board may terminate this Policy at any time.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18" w:lineRule="exact"/>
        <w:rPr>
          <w:sz w:val="20"/>
          <w:szCs w:val="20"/>
          <w:color w:val="auto"/>
        </w:rPr>
      </w:pPr>
    </w:p>
    <w:p>
      <w:pPr>
        <w:jc w:val="both"/>
        <w:ind w:left="60" w:firstLine="728"/>
        <w:spacing w:after="0" w:line="244" w:lineRule="auto"/>
        <w:rPr>
          <w:sz w:val="20"/>
          <w:szCs w:val="20"/>
          <w:color w:val="auto"/>
        </w:rPr>
      </w:pPr>
      <w:r>
        <w:rPr>
          <w:rFonts w:ascii="Times New Roman" w:cs="Times New Roman" w:eastAsia="Times New Roman" w:hAnsi="Times New Roman"/>
          <w:sz w:val="21"/>
          <w:szCs w:val="21"/>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The Compensation Committee shall recover any Overpayment in accordance with this Policy except to the extent that the</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Compensation Committee determines such recovery would be impracticable because:</w:t>
      </w:r>
    </w:p>
    <w:p>
      <w:pPr>
        <w:spacing w:after="0" w:line="179" w:lineRule="exact"/>
        <w:rPr>
          <w:sz w:val="20"/>
          <w:szCs w:val="20"/>
          <w:color w:val="auto"/>
        </w:rPr>
      </w:pPr>
    </w:p>
    <w:p>
      <w:pPr>
        <w:ind w:left="780" w:right="160"/>
        <w:spacing w:after="0" w:line="468" w:lineRule="auto"/>
        <w:rPr>
          <w:sz w:val="20"/>
          <w:szCs w:val="20"/>
          <w:color w:val="auto"/>
        </w:rPr>
      </w:pPr>
      <w:r>
        <w:rPr>
          <w:rFonts w:ascii="Times New Roman" w:cs="Times New Roman" w:eastAsia="Times New Roman" w:hAnsi="Times New Roman"/>
          <w:sz w:val="20"/>
          <w:szCs w:val="20"/>
          <w:color w:val="auto"/>
        </w:rPr>
        <w:t>(A)The direct expense paid to a third party to assist in enforcing this Policy would exceed the amount to be recovered; (B)Recovery would violate home country law of the Company where that law was adopted prior to November 28, 2022; or</w:t>
      </w:r>
    </w:p>
    <w:p>
      <w:pPr>
        <w:spacing w:after="0" w:line="1" w:lineRule="exact"/>
        <w:rPr>
          <w:sz w:val="20"/>
          <w:szCs w:val="20"/>
          <w:color w:val="auto"/>
        </w:rPr>
      </w:pPr>
    </w:p>
    <w:p>
      <w:pPr>
        <w:ind w:left="60" w:right="320" w:firstLine="734"/>
        <w:spacing w:after="0" w:line="250" w:lineRule="auto"/>
        <w:rPr>
          <w:sz w:val="20"/>
          <w:szCs w:val="20"/>
          <w:color w:val="auto"/>
        </w:rPr>
      </w:pPr>
      <w:r>
        <w:rPr>
          <w:rFonts w:ascii="Times New Roman" w:cs="Times New Roman" w:eastAsia="Times New Roman" w:hAnsi="Times New Roman"/>
          <w:sz w:val="21"/>
          <w:szCs w:val="21"/>
          <w:color w:val="auto"/>
        </w:rPr>
        <w:t>(C)Recovery would likely cause an otherwise tax-qualified retirement plan, under which benefits are broadly available to employees of the Company, to fail to meet the requirements of 26</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U.S.C. 401(a)(13) or 26 U.S.C. 411(a) and regulations thereunder.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18" w:lineRule="exact"/>
        <w:rPr>
          <w:sz w:val="20"/>
          <w:szCs w:val="20"/>
          <w:color w:val="auto"/>
        </w:rPr>
      </w:pPr>
    </w:p>
    <w:p>
      <w:pPr>
        <w:ind w:left="60" w:firstLine="728"/>
        <w:spacing w:after="0" w:line="265"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886460</wp:posOffset>
            </wp:positionV>
            <wp:extent cx="71589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1."/>
      <w:numFmt w:val="upperLetter"/>
      <w:start w:val="1"/>
    </w:lvl>
  </w:abstractNum>
  <w:abstractNum w:abstractNumId="8">
    <w:nsid w:val="74DE0EE3"/>
    <w:multiLevelType w:val="hybridMultilevel"/>
    <w:lvl w:ilvl="0">
      <w:lvlJc w:val="left"/>
      <w:lvlText w:val="%1."/>
      <w:numFmt w:val="upperLetter"/>
      <w:start w:val="2"/>
    </w:lvl>
  </w:abstractNum>
  <w:abstractNum w:abstractNumId="9">
    <w:nsid w:val="68EBC550"/>
    <w:multiLevelType w:val="hybridMultilevel"/>
    <w:lvl w:ilvl="0">
      <w:lvlJc w:val="left"/>
      <w:lvlText w:val="%1."/>
      <w:numFmt w:val="upperLetter"/>
      <w:start w:val="3"/>
    </w:lvl>
  </w:abstractNum>
  <w:abstractNum w:abstractNumId="10">
    <w:nsid w:val="2DF6D648"/>
    <w:multiLevelType w:val="hybridMultilevel"/>
    <w:lvl w:ilvl="0">
      <w:lvlJc w:val="left"/>
      <w:lvlText w:val="%1."/>
      <w:numFmt w:val="upperLetter"/>
      <w:start w:val="1"/>
    </w:lvl>
  </w:abstractNum>
  <w:abstractNum w:abstractNumId="11">
    <w:nsid w:val="46B7D447"/>
    <w:multiLevelType w:val="hybridMultilevel"/>
    <w:lvl w:ilvl="0">
      <w:lvlJc w:val="left"/>
      <w:lvlText w:val="%1."/>
      <w:numFmt w:val="upperLetter"/>
      <w:start w:val="2"/>
    </w:lvl>
  </w:abstractNum>
  <w:abstractNum w:abstractNumId="12">
    <w:nsid w:val="4A2AC315"/>
    <w:multiLevelType w:val="hybridMultilevel"/>
    <w:lvl w:ilvl="0">
      <w:lvlJc w:val="left"/>
      <w:lvlText w:val="%1."/>
      <w:numFmt w:val="upperLetter"/>
      <w:start w:val="1"/>
    </w:lvl>
  </w:abstractNum>
  <w:abstractNum w:abstractNumId="13">
    <w:nsid w:val="39EE015C"/>
    <w:multiLevelType w:val="hybridMultilevel"/>
    <w:lvl w:ilvl="0">
      <w:lvlJc w:val="left"/>
      <w:lvlText w:val="%1."/>
      <w:numFmt w:val="upperLetter"/>
      <w:start w:val="3"/>
    </w:lvl>
  </w:abstractNum>
  <w:abstractNum w:abstractNumId="14">
    <w:nsid w:val="57FC4FBB"/>
    <w:multiLevelType w:val="hybridMultilevel"/>
    <w:lvl w:ilvl="0">
      <w:lvlJc w:val="left"/>
      <w:lvlText w:val="%1."/>
      <w:numFmt w:val="upperLetter"/>
      <w:start w:val="4"/>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1)"/>
      <w:numFmt w:val="lowerRoman"/>
      <w:start w:val="4"/>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1."/>
      <w:numFmt w:val="upperLetter"/>
      <w:start w:val="1"/>
    </w:lvl>
  </w:abstractNum>
  <w:abstractNum w:abstractNumId="42">
    <w:nsid w:val="5092CA79"/>
    <w:multiLevelType w:val="hybridMultilevel"/>
    <w:lvl w:ilvl="0">
      <w:lvlJc w:val="left"/>
      <w:lvlText w:val="%1."/>
      <w:numFmt w:val="upperLetter"/>
      <w:start w:val="2"/>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1)"/>
      <w:numFmt w:val="decimal"/>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1."/>
      <w:numFmt w:val="upperLetter"/>
      <w:start w:val="3"/>
    </w:lvl>
  </w:abstractNum>
  <w:abstractNum w:abstractNumId="66">
    <w:nsid w:val="2C27173B"/>
    <w:multiLevelType w:val="hybridMultilevel"/>
    <w:lvl w:ilvl="0">
      <w:lvlJc w:val="left"/>
      <w:lvlText w:val="%1."/>
      <w:numFmt w:val="upperLetter"/>
      <w:start w:val="4"/>
    </w:lvl>
  </w:abstractNum>
  <w:abstractNum w:abstractNumId="67">
    <w:nsid w:val="4C9B0904"/>
    <w:multiLevelType w:val="hybridMultilevel"/>
    <w:lvl w:ilvl="0">
      <w:lvlJc w:val="left"/>
      <w:lvlText w:val="%1."/>
      <w:numFmt w:val="upperLetter"/>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1."/>
      <w:numFmt w:val="upperLetter"/>
      <w:start w:val="2"/>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1."/>
      <w:numFmt w:val="upperLetter"/>
      <w:start w:val="3"/>
    </w:lvl>
  </w:abstractNum>
  <w:abstractNum w:abstractNumId="75">
    <w:nsid w:val="175DFCF0"/>
    <w:multiLevelType w:val="hybridMultilevel"/>
    <w:lvl w:ilvl="0">
      <w:lvlJc w:val="left"/>
      <w:lvlText w:val="%1."/>
      <w:numFmt w:val="upperLetter"/>
      <w:start w:val="4"/>
    </w:lvl>
  </w:abstractNum>
  <w:abstractNum w:abstractNumId="76">
    <w:nsid w:val="4F97E3E4"/>
    <w:multiLevelType w:val="hybridMultilevel"/>
    <w:lvl w:ilvl="0">
      <w:lvlJc w:val="left"/>
      <w:lvlText w:val="%1."/>
      <w:numFmt w:val="upperLetter"/>
      <w:start w:val="5"/>
    </w:lvl>
  </w:abstractNum>
  <w:abstractNum w:abstractNumId="77">
    <w:nsid w:val="53B0A9E"/>
    <w:multiLevelType w:val="hybridMultilevel"/>
    <w:lvl w:ilvl="0">
      <w:lvlJc w:val="left"/>
      <w:lvlText w:val="%1."/>
      <w:numFmt w:val="upperLetter"/>
      <w:start w:val="1"/>
    </w:lvl>
  </w:abstractNum>
  <w:abstractNum w:abstractNumId="78">
    <w:nsid w:val="34FD6B4F"/>
    <w:multiLevelType w:val="hybridMultilevel"/>
    <w:lvl w:ilvl="0">
      <w:lvlJc w:val="left"/>
      <w:lvlText w:val="%1."/>
      <w:numFmt w:val="upperLetter"/>
      <w:start w:val="2"/>
    </w:lvl>
  </w:abstractNum>
  <w:abstractNum w:abstractNumId="79">
    <w:nsid w:val="5915FF32"/>
    <w:multiLevelType w:val="hybridMultilevel"/>
    <w:lvl w:ilvl="0">
      <w:lvlJc w:val="left"/>
      <w:lvlText w:val="1"/>
      <w:numFmt w:val="bullet"/>
      <w:start w:val="1"/>
    </w:lvl>
  </w:abstractNum>
  <w:abstractNum w:abstractNumId="80">
    <w:nsid w:val="56438D15"/>
    <w:multiLevelType w:val="hybridMultilevel"/>
    <w:lvl w:ilvl="0">
      <w:lvlJc w:val="left"/>
      <w:lvlText w:val="2"/>
      <w:numFmt w:val="bullet"/>
      <w:start w:val="1"/>
    </w:lvl>
  </w:abstractNum>
  <w:abstractNum w:abstractNumId="81">
    <w:nsid w:val="519E3149"/>
    <w:multiLevelType w:val="hybridMultilevel"/>
    <w:lvl w:ilvl="0">
      <w:lvlJc w:val="left"/>
      <w:lvlText w:val="3"/>
      <w:numFmt w:val="bullet"/>
      <w:start w:val="1"/>
    </w:lvl>
  </w:abstractNum>
  <w:abstractNum w:abstractNumId="82">
    <w:nsid w:val="2C6E4AFD"/>
    <w:multiLevelType w:val="hybridMultilevel"/>
    <w:lvl w:ilvl="0">
      <w:lvlJc w:val="left"/>
      <w:lvlText w:val="%1."/>
      <w:numFmt w:val="upperLetter"/>
      <w:start w:val="3"/>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1."/>
      <w:numFmt w:val="upperLetter"/>
      <w:start w:val="4"/>
    </w:lvl>
  </w:abstractNum>
  <w:abstractNum w:abstractNumId="86">
    <w:nsid w:val="5D888A08"/>
    <w:multiLevelType w:val="hybridMultilevel"/>
    <w:lvl w:ilvl="0">
      <w:lvlJc w:val="left"/>
      <w:lvlText w:val="%1."/>
      <w:numFmt w:val="upperLetter"/>
      <w:start w:val="5"/>
    </w:lvl>
  </w:abstractNum>
  <w:abstractNum w:abstractNumId="87">
    <w:nsid w:val="2A082C70"/>
    <w:multiLevelType w:val="hybridMultilevel"/>
    <w:lvl w:ilvl="0">
      <w:lvlJc w:val="left"/>
      <w:lvlText w:val="%1."/>
      <w:numFmt w:val="upperLetter"/>
      <w:start w:val="6"/>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1)"/>
      <w:numFmt w:val="decimal"/>
      <w:start w:val="1"/>
    </w:lvl>
  </w:abstractNum>
  <w:abstractNum w:abstractNumId="90">
    <w:nsid w:val="75E0858A"/>
    <w:multiLevelType w:val="hybridMultilevel"/>
    <w:lvl w:ilvl="0">
      <w:lvlJc w:val="left"/>
      <w:lvlText w:val="(%1)"/>
      <w:numFmt w:val="decimal"/>
      <w:start w:val="4"/>
    </w:lvl>
    <w:lvl w:ilvl="1">
      <w:lvlJc w:val="left"/>
      <w:lvlText w:val="(%2)"/>
      <w:numFmt w:val="lowerRoman"/>
      <w:start w:val="1"/>
    </w:lvl>
  </w:abstractNum>
  <w:abstractNum w:abstractNumId="91">
    <w:nsid w:val="57A61A29"/>
    <w:multiLevelType w:val="hybridMultilevel"/>
    <w:lvl w:ilvl="0">
      <w:lvlJc w:val="left"/>
      <w:lvlText w:val="(%1)"/>
      <w:numFmt w:val="decimal"/>
      <w:start w:val="11"/>
    </w:lvl>
  </w:abstractNum>
  <w:abstractNum w:abstractNumId="92">
    <w:nsid w:val="5399C654"/>
    <w:multiLevelType w:val="hybridMultilevel"/>
    <w:lvl w:ilvl="0">
      <w:lvlJc w:val="left"/>
      <w:lvlText w:val="&amp;"/>
      <w:numFmt w:val="bullet"/>
      <w:start w:val="1"/>
    </w:lvl>
  </w:abstractNum>
  <w:abstractNum w:abstractNumId="93">
    <w:nsid w:val="20EE1348"/>
    <w:multiLevelType w:val="hybridMultilevel"/>
    <w:lvl w:ilvl="0">
      <w:lvlJc w:val="left"/>
      <w:lvlText w:val="%1."/>
      <w:numFmt w:val="upperLetter"/>
      <w:start w:val="1"/>
    </w:lvl>
  </w:abstractNum>
  <w:abstractNum w:abstractNumId="94">
    <w:nsid w:val="4427069A"/>
    <w:multiLevelType w:val="hybridMultilevel"/>
    <w:lvl w:ilvl="0">
      <w:lvlJc w:val="left"/>
      <w:lvlText w:val="%1."/>
      <w:numFmt w:val="upperLetter"/>
      <w:start w:val="2"/>
    </w:lvl>
  </w:abstractNum>
  <w:abstractNum w:abstractNumId="95">
    <w:nsid w:val="B37E80A"/>
    <w:multiLevelType w:val="hybridMultilevel"/>
    <w:lvl w:ilvl="0">
      <w:lvlJc w:val="left"/>
      <w:lvlText w:val="%1."/>
      <w:numFmt w:val="upperLetter"/>
      <w:start w:val="1"/>
    </w:lvl>
  </w:abstractNum>
  <w:abstractNum w:abstractNumId="96">
    <w:nsid w:val="2157F6BC"/>
    <w:multiLevelType w:val="hybridMultilevel"/>
    <w:lvl w:ilvl="0">
      <w:lvlJc w:val="left"/>
      <w:lvlText w:val="%1."/>
      <w:numFmt w:val="upperLetter"/>
      <w:start w:val="2"/>
    </w:lvl>
  </w:abstractNum>
  <w:abstractNum w:abstractNumId="97">
    <w:nsid w:val="704E1DD5"/>
    <w:multiLevelType w:val="hybridMultilevel"/>
    <w:lvl w:ilvl="0">
      <w:lvlJc w:val="left"/>
      <w:lvlText w:val="%1."/>
      <w:numFmt w:val="upperLetter"/>
      <w:start w:val="3"/>
    </w:lvl>
  </w:abstractNum>
  <w:abstractNum w:abstractNumId="98">
    <w:nsid w:val="57D2F10E"/>
    <w:multiLevelType w:val="hybridMultilevel"/>
    <w:lvl w:ilvl="0">
      <w:lvlJc w:val="left"/>
      <w:lvlText w:val="%1."/>
      <w:numFmt w:val="upperLetter"/>
      <w:start w:val="4"/>
    </w:lvl>
  </w:abstractNum>
  <w:abstractNum w:abstractNumId="99">
    <w:nsid w:val="BFFAE18"/>
    <w:multiLevelType w:val="hybridMultilevel"/>
    <w:lvl w:ilvl="0">
      <w:lvlJc w:val="left"/>
      <w:lvlText w:val="%1."/>
      <w:numFmt w:val="upperLetter"/>
      <w:start w:val="5"/>
    </w:lvl>
  </w:abstractNum>
  <w:abstractNum w:abstractNumId="100">
    <w:nsid w:val="E3E47A8"/>
    <w:multiLevelType w:val="hybridMultilevel"/>
    <w:lvl w:ilvl="0">
      <w:lvlJc w:val="left"/>
      <w:lvlText w:val="%1."/>
      <w:numFmt w:val="upperLetter"/>
      <w:start w:val="6"/>
    </w:lvl>
  </w:abstractNum>
  <w:abstractNum w:abstractNumId="101">
    <w:nsid w:val="2E48F044"/>
    <w:multiLevelType w:val="hybridMultilevel"/>
    <w:lvl w:ilvl="0">
      <w:lvlJc w:val="left"/>
      <w:lvlText w:val="%1."/>
      <w:numFmt w:val="upperLetter"/>
      <w:start w:val="1"/>
    </w:lvl>
  </w:abstractNum>
  <w:abstractNum w:abstractNumId="102">
    <w:nsid w:val="49D0FEAC"/>
    <w:multiLevelType w:val="hybridMultilevel"/>
    <w:lvl w:ilvl="0">
      <w:lvlJc w:val="left"/>
      <w:lvlText w:val="%1."/>
      <w:numFmt w:val="upperLetter"/>
      <w:start w:val="2"/>
    </w:lvl>
  </w:abstractNum>
  <w:abstractNum w:abstractNumId="103">
    <w:nsid w:val="4BEE5A5B"/>
    <w:multiLevelType w:val="hybridMultilevel"/>
    <w:lvl w:ilvl="0">
      <w:lvlJc w:val="left"/>
      <w:lvlText w:val="%1."/>
      <w:numFmt w:val="upperLetter"/>
      <w:start w:val="3"/>
    </w:lvl>
  </w:abstractNum>
  <w:abstractNum w:abstractNumId="104">
    <w:nsid w:val="5551B9F3"/>
    <w:multiLevelType w:val="hybridMultilevel"/>
    <w:lvl w:ilvl="0">
      <w:lvlJc w:val="left"/>
      <w:lvlText w:val="%1."/>
      <w:numFmt w:val="upperLetter"/>
      <w:start w:val="4"/>
    </w:lvl>
  </w:abstractNum>
  <w:abstractNum w:abstractNumId="105">
    <w:nsid w:val="24F6AB8E"/>
    <w:multiLevelType w:val="hybridMultilevel"/>
    <w:lvl w:ilvl="0">
      <w:lvlJc w:val="left"/>
      <w:lvlText w:val="%1."/>
      <w:numFmt w:val="upperLetter"/>
      <w:start w:val="5"/>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1)"/>
      <w:numFmt w:val="lowerRoman"/>
      <w:start w:val="1"/>
    </w:lvl>
  </w:abstractNum>
  <w:abstractNum w:abstractNumId="109">
    <w:nsid w:val="1849C29B"/>
    <w:multiLevelType w:val="hybridMultilevel"/>
    <w:lvl w:ilvl="0">
      <w:lvlJc w:val="left"/>
      <w:lvlText w:val="%1."/>
      <w:numFmt w:val="lowerRoman"/>
      <w:start w:val="1"/>
    </w:lvl>
  </w:abstractNum>
  <w:abstractNum w:abstractNumId="110">
    <w:nsid w:val="7DFF9D09"/>
    <w:multiLevelType w:val="hybridMultilevel"/>
    <w:lvl w:ilvl="0">
      <w:lvlJc w:val="left"/>
      <w:lvlText w:val="%1."/>
      <w:numFmt w:val="lowerRoman"/>
      <w:start w:val="4"/>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1."/>
      <w:numFmt w:val="lowerRoman"/>
      <w:start w:val="1"/>
    </w:lvl>
  </w:abstractNum>
  <w:abstractNum w:abstractNumId="113">
    <w:nsid w:val="2A6DE806"/>
    <w:multiLevelType w:val="hybridMultilevel"/>
    <w:lvl w:ilvl="0">
      <w:lvlJc w:val="left"/>
      <w:lvlText w:val="%1."/>
      <w:numFmt w:val="lowerRoman"/>
      <w:start w:val="1"/>
    </w:lvl>
  </w:abstractNum>
  <w:abstractNum w:abstractNumId="114">
    <w:nsid w:val="1816F8C4"/>
    <w:multiLevelType w:val="hybridMultilevel"/>
    <w:lvl w:ilvl="0">
      <w:lvlJc w:val="left"/>
      <w:lvlText w:val="%1."/>
      <w:numFmt w:val="lowerRoman"/>
      <w:start w:val="1"/>
    </w:lvl>
  </w:abstractNum>
  <w:abstractNum w:abstractNumId="115">
    <w:nsid w:val="37DF2233"/>
    <w:multiLevelType w:val="hybridMultilevel"/>
    <w:lvl w:ilvl="0">
      <w:lvlJc w:val="left"/>
      <w:lvlText w:val="%1."/>
      <w:numFmt w:val="lowerRoman"/>
      <w:start w:val="1"/>
    </w:lvl>
  </w:abstractNum>
  <w:abstractNum w:abstractNumId="116">
    <w:nsid w:val="7AB49DAF"/>
    <w:multiLevelType w:val="hybridMultilevel"/>
    <w:lvl w:ilvl="0">
      <w:lvlJc w:val="left"/>
      <w:lvlText w:val="%1."/>
      <w:numFmt w:val="upperLetter"/>
      <w:start w:val="6"/>
    </w:lvl>
  </w:abstractNum>
  <w:abstractNum w:abstractNumId="117">
    <w:nsid w:val="759F82CD"/>
    <w:multiLevelType w:val="hybridMultilevel"/>
    <w:lvl w:ilvl="0">
      <w:lvlJc w:val="left"/>
      <w:lvlText w:val="%1."/>
      <w:numFmt w:val="upperLetter"/>
      <w:start w:val="7"/>
    </w:lvl>
  </w:abstractNum>
  <w:abstractNum w:abstractNumId="118">
    <w:nsid w:val="61E74EA3"/>
    <w:multiLevelType w:val="hybridMultilevel"/>
    <w:lvl w:ilvl="0">
      <w:lvlJc w:val="left"/>
      <w:lvlText w:val="%1."/>
      <w:numFmt w:val="upperLetter"/>
      <w:start w:val="8"/>
    </w:lvl>
  </w:abstractNum>
  <w:abstractNum w:abstractNumId="119">
    <w:nsid w:val="597B4D84"/>
    <w:multiLevelType w:val="hybridMultilevel"/>
    <w:lvl w:ilvl="0">
      <w:lvlJc w:val="left"/>
      <w:lvlText w:val="%1."/>
      <w:numFmt w:val="upperLetter"/>
      <w:start w:val="9"/>
    </w:lvl>
  </w:abstractNum>
  <w:abstractNum w:abstractNumId="120">
    <w:nsid w:val="F819E7F"/>
    <w:multiLevelType w:val="hybridMultilevel"/>
    <w:lvl w:ilvl="0">
      <w:lvlJc w:val="left"/>
      <w:lvlText w:val="%1."/>
      <w:numFmt w:val="upperLetter"/>
      <w:start w:val="1"/>
    </w:lvl>
  </w:abstractNum>
  <w:abstractNum w:abstractNumId="121">
    <w:nsid w:val="57C7D42D"/>
    <w:multiLevelType w:val="hybridMultilevel"/>
    <w:lvl w:ilvl="0">
      <w:lvlJc w:val="left"/>
      <w:lvlText w:val="%1."/>
      <w:numFmt w:val="upperLetter"/>
      <w:start w:val="2"/>
    </w:lvl>
  </w:abstractNum>
  <w:abstractNum w:abstractNumId="122">
    <w:nsid w:val="312167AD"/>
    <w:multiLevelType w:val="hybridMultilevel"/>
    <w:lvl w:ilvl="0">
      <w:lvlJc w:val="left"/>
      <w:lvlText w:val="%1."/>
      <w:numFmt w:val="upperLetter"/>
      <w:start w:val="3"/>
    </w:lvl>
  </w:abstractNum>
  <w:abstractNum w:abstractNumId="123">
    <w:nsid w:val="631B64D4"/>
    <w:multiLevelType w:val="hybridMultilevel"/>
    <w:lvl w:ilvl="0">
      <w:lvlJc w:val="left"/>
      <w:lvlText w:val="%1."/>
      <w:numFmt w:val="upperLetter"/>
      <w:start w:val="4"/>
    </w:lvl>
  </w:abstractNum>
  <w:abstractNum w:abstractNumId="124">
    <w:nsid w:val="78B5E776"/>
    <w:multiLevelType w:val="hybridMultilevel"/>
    <w:lvl w:ilvl="0">
      <w:lvlJc w:val="left"/>
      <w:lvlText w:val="-"/>
      <w:numFmt w:val="bullet"/>
      <w:start w:val="1"/>
    </w:lvl>
  </w:abstractNum>
  <w:abstractNum w:abstractNumId="125">
    <w:nsid w:val="75486E47"/>
    <w:multiLevelType w:val="hybridMultilevel"/>
    <w:lvl w:ilvl="0">
      <w:lvlJc w:val="left"/>
      <w:lvlText w:val="•"/>
      <w:numFmt w:val="bullet"/>
      <w:start w:val="1"/>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
      <w:numFmt w:val="bullet"/>
      <w:start w:val="1"/>
    </w:lvl>
    <w:lvl w:ilvl="1">
      <w:lvlJc w:val="left"/>
      <w:lvlText w:val="%2"/>
      <w:numFmt w:val="decimal"/>
      <w:start w:val="104"/>
    </w:lvl>
  </w:abstractNum>
  <w:abstractNum w:abstractNumId="128">
    <w:nsid w:val="65968C1C"/>
    <w:multiLevelType w:val="hybridMultilevel"/>
    <w:lvl w:ilvl="0">
      <w:lvlJc w:val="left"/>
      <w:lvlText w:val="†"/>
      <w:numFmt w:val="bullet"/>
      <w:start w:val="1"/>
    </w:lvl>
  </w:abstractNum>
  <w:abstractNum w:abstractNumId="129">
    <w:nsid w:val="46263DEC"/>
    <w:multiLevelType w:val="hybridMultilevel"/>
    <w:lvl w:ilvl="0">
      <w:lvlJc w:val="left"/>
      <w:lvlText w:val="%1."/>
      <w:numFmt w:val="decimal"/>
      <w:start w:val="2"/>
    </w:lvl>
  </w:abstractNum>
  <w:abstractNum w:abstractNumId="130">
    <w:nsid w:val="260D8C4A"/>
    <w:multiLevelType w:val="hybridMultilevel"/>
    <w:lvl w:ilvl="0">
      <w:lvlJc w:val="left"/>
      <w:lvlText w:val="•"/>
      <w:numFmt w:val="bullet"/>
      <w:start w:val="1"/>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
      <w:numFmt w:val="bullet"/>
      <w:start w:val="1"/>
    </w:lvl>
  </w:abstractNum>
  <w:abstractNum w:abstractNumId="133">
    <w:nsid w:val="6FDE8AF6"/>
    <w:multiLevelType w:val="hybridMultilevel"/>
    <w:lvl w:ilvl="0">
      <w:lvlJc w:val="left"/>
      <w:lvlText w:val="•"/>
      <w:numFmt w:val="bullet"/>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
      <w:numFmt w:val="bullet"/>
      <w:start w:val="1"/>
    </w:lvl>
  </w:abstractNum>
  <w:abstractNum w:abstractNumId="136">
    <w:nsid w:val="14D53685"/>
    <w:multiLevelType w:val="hybridMultilevel"/>
    <w:lvl w:ilvl="0">
      <w:lvlJc w:val="left"/>
      <w:lvlText w:val="(%1)"/>
      <w:numFmt w:val="lowerRoman"/>
      <w:start w:val="2"/>
    </w:lvl>
  </w:abstractNum>
  <w:abstractNum w:abstractNumId="137">
    <w:nsid w:val="230F856C"/>
    <w:multiLevelType w:val="hybridMultilevel"/>
    <w:lvl w:ilvl="0">
      <w:lvlJc w:val="left"/>
      <w:lvlText w:val="%1."/>
      <w:numFmt w:val="upperLetter"/>
      <w:start w:val="1"/>
    </w:lvl>
  </w:abstractNum>
  <w:abstractNum w:abstractNumId="138">
    <w:nsid w:val="6EAA85FB"/>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39">
    <w:nsid w:val="3F06ECB2"/>
    <w:multiLevelType w:val="hybridMultilevel"/>
    <w:lvl w:ilvl="0">
      <w:lvlJc w:val="left"/>
      <w:lvlText w:val="%1"/>
      <w:numFmt w:val="upperLetter"/>
      <w:start w:val="1"/>
    </w:lvl>
    <w:lvl w:ilvl="1">
      <w:lvlJc w:val="left"/>
      <w:lvlText w:val="%2."/>
      <w:numFmt w:val="decimal"/>
      <w:start w:val="2"/>
    </w:lvl>
    <w:lvl w:ilvl="2">
      <w:lvlJc w:val="left"/>
      <w:lvlText w:val="%3."/>
      <w:numFmt w:val="decimal"/>
      <w:start w:val="3"/>
    </w:lvl>
  </w:abstractNum>
  <w:abstractNum w:abstractNumId="140">
    <w:nsid w:val="3B594807"/>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141">
    <w:nsid w:val="6CAA2304"/>
    <w:multiLevelType w:val="hybridMultilevel"/>
    <w:lvl w:ilvl="0">
      <w:lvlJc w:val="left"/>
      <w:lvlText w:val="%1."/>
      <w:numFmt w:val="upperLetter"/>
      <w:start w:val="3"/>
    </w:lvl>
  </w:abstractNum>
  <w:abstractNum w:abstractNumId="142">
    <w:nsid w:val="3F7C2FF4"/>
    <w:multiLevelType w:val="hybridMultilevel"/>
    <w:lvl w:ilvl="0">
      <w:lvlJc w:val="left"/>
      <w:lvlText w:val="%1"/>
      <w:numFmt w:val="upperLetter"/>
      <w:start w:val="1"/>
    </w:lvl>
    <w:lvl w:ilvl="1">
      <w:lvlJc w:val="left"/>
      <w:lvlText w:val="•"/>
      <w:numFmt w:val="bullet"/>
      <w:start w:val="1"/>
    </w:lvl>
  </w:abstractNum>
  <w:abstractNum w:abstractNumId="143">
    <w:nsid w:val="25413BEC"/>
    <w:multiLevelType w:val="hybridMultilevel"/>
    <w:lvl w:ilvl="0">
      <w:lvlJc w:val="left"/>
      <w:lvlText w:val="%1."/>
      <w:numFmt w:val="upperLetter"/>
      <w:start w:val="5"/>
    </w:lvl>
  </w:abstractNum>
  <w:abstractNum w:abstractNumId="144">
    <w:nsid w:val="17180B0B"/>
    <w:multiLevelType w:val="hybridMultilevel"/>
    <w:lvl w:ilvl="0">
      <w:lvlJc w:val="left"/>
      <w:lvlText w:val="%1."/>
      <w:numFmt w:val="upperLetter"/>
      <w:start w:val="6"/>
    </w:lvl>
  </w:abstractNum>
  <w:abstractNum w:abstractNumId="145">
    <w:nsid w:val="579328B9"/>
    <w:multiLevelType w:val="hybridMultilevel"/>
    <w:lvl w:ilvl="0">
      <w:lvlJc w:val="left"/>
      <w:lvlText w:val="•"/>
      <w:numFmt w:val="bullet"/>
      <w:start w:val="1"/>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1."/>
      <w:numFmt w:val="upperLetter"/>
      <w:start w:val="7"/>
    </w:lvl>
  </w:abstractNum>
  <w:abstractNum w:abstractNumId="148">
    <w:nsid w:val="4D32AB86"/>
    <w:multiLevelType w:val="hybridMultilevel"/>
    <w:lvl w:ilvl="0">
      <w:lvlJc w:val="left"/>
      <w:lvlText w:val="•"/>
      <w:numFmt w:val="bullet"/>
      <w:start w:val="1"/>
    </w:lvl>
    <w:lvl w:ilvl="1">
      <w:lvlJc w:val="left"/>
      <w:lvlText w:val="•"/>
      <w:numFmt w:val="bullet"/>
      <w:start w:val="1"/>
    </w:lvl>
  </w:abstractNum>
  <w:abstractNum w:abstractNumId="149">
    <w:nsid w:val="3F07ACC3"/>
    <w:multiLevelType w:val="hybridMultilevel"/>
    <w:lvl w:ilvl="0">
      <w:lvlJc w:val="left"/>
      <w:lvlText w:val="%1."/>
      <w:numFmt w:val="upperLetter"/>
      <w:start w:val="8"/>
    </w:lvl>
  </w:abstractNum>
  <w:abstractNum w:abstractNumId="150">
    <w:nsid w:val="6B47F63E"/>
    <w:multiLevelType w:val="hybridMultilevel"/>
    <w:lvl w:ilvl="0">
      <w:lvlJc w:val="left"/>
      <w:lvlText w:val="%1."/>
      <w:numFmt w:val="upperLetter"/>
      <w:start w:val="9"/>
    </w:lvl>
  </w:abstractNum>
  <w:abstractNum w:abstractNumId="151">
    <w:nsid w:val="5CB44A05"/>
    <w:multiLevelType w:val="hybridMultilevel"/>
    <w:lvl w:ilvl="0">
      <w:lvlJc w:val="left"/>
      <w:lvlText w:val="%1."/>
      <w:numFmt w:val="upperLetter"/>
      <w:start w:val="10"/>
    </w:lvl>
  </w:abstractNum>
  <w:abstractNum w:abstractNumId="152">
    <w:nsid w:val="16CF80F1"/>
    <w:multiLevelType w:val="hybridMultilevel"/>
    <w:lvl w:ilvl="0">
      <w:lvlJc w:val="left"/>
      <w:lvlText w:val="%1."/>
      <w:numFmt w:val="upperLetter"/>
      <w:start w:val="11"/>
    </w:lvl>
  </w:abstractNum>
  <w:abstractNum w:abstractNumId="153">
    <w:nsid w:val="1C695DEC"/>
    <w:multiLevelType w:val="hybridMultilevel"/>
    <w:lvl w:ilvl="0">
      <w:lvlJc w:val="left"/>
      <w:lvlText w:val="%1."/>
      <w:numFmt w:val="upperLetter"/>
      <w:start w:val="12"/>
    </w:lvl>
  </w:abstractNum>
  <w:abstractNum w:abstractNumId="154">
    <w:nsid w:val="3FCFAED9"/>
    <w:multiLevelType w:val="hybridMultilevel"/>
    <w:lvl w:ilvl="0">
      <w:lvlJc w:val="left"/>
      <w:lvlText w:val="•"/>
      <w:numFmt w:val="bullet"/>
      <w:start w:val="1"/>
    </w:lvl>
  </w:abstractNum>
  <w:abstractNum w:abstractNumId="155">
    <w:nsid w:val="F856867"/>
    <w:multiLevelType w:val="hybridMultilevel"/>
    <w:lvl w:ilvl="0">
      <w:lvlJc w:val="left"/>
      <w:lvlText w:val="•"/>
      <w:numFmt w:val="bullet"/>
      <w:start w:val="1"/>
    </w:lvl>
    <w:lvl w:ilvl="1">
      <w:lvlJc w:val="left"/>
      <w:lvlText w:val="•"/>
      <w:numFmt w:val="bullet"/>
      <w:start w:val="1"/>
    </w:lvl>
  </w:abstractNum>
  <w:abstractNum w:abstractNumId="156">
    <w:nsid w:val="11B1CC33"/>
    <w:multiLevelType w:val="hybridMultilevel"/>
    <w:lvl w:ilvl="0">
      <w:lvlJc w:val="left"/>
      <w:lvlText w:val="•"/>
      <w:numFmt w:val="bullet"/>
      <w:start w:val="1"/>
    </w:lvl>
    <w:lvl w:ilvl="1">
      <w:lvlJc w:val="left"/>
      <w:lvlText w:val="•"/>
      <w:numFmt w:val="bullet"/>
      <w:start w:val="1"/>
    </w:lvl>
  </w:abstractNum>
  <w:abstractNum w:abstractNumId="157">
    <w:nsid w:val="2E22FBB7"/>
    <w:multiLevelType w:val="hybridMultilevel"/>
    <w:lvl w:ilvl="0">
      <w:lvlJc w:val="left"/>
      <w:lvlText w:val="•"/>
      <w:numFmt w:val="bullet"/>
      <w:start w:val="1"/>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
      <w:numFmt w:val="bullet"/>
      <w:start w:val="1"/>
    </w:lvl>
  </w:abstractNum>
  <w:abstractNum w:abstractNumId="160">
    <w:nsid w:val="744939A3"/>
    <w:multiLevelType w:val="hybridMultilevel"/>
    <w:lvl w:ilvl="0">
      <w:lvlJc w:val="left"/>
      <w:lvlText w:val="•"/>
      <w:numFmt w:val="bullet"/>
      <w:start w:val="1"/>
    </w:lvl>
  </w:abstractNum>
  <w:abstractNum w:abstractNumId="161">
    <w:nsid w:val="4FA0D2E3"/>
    <w:multiLevelType w:val="hybridMultilevel"/>
    <w:lvl w:ilvl="0">
      <w:lvlJc w:val="left"/>
      <w:lvlText w:val="•"/>
      <w:numFmt w:val="bullet"/>
      <w:start w:val="1"/>
    </w:lvl>
    <w:lvl w:ilvl="1">
      <w:lvlJc w:val="left"/>
      <w:lvlText w:val="•"/>
      <w:numFmt w:val="bullet"/>
      <w:start w:val="1"/>
    </w:lvl>
  </w:abstractNum>
  <w:abstractNum w:abstractNumId="162">
    <w:nsid w:val="6B1D2C14"/>
    <w:multiLevelType w:val="hybridMultilevel"/>
    <w:lvl w:ilvl="0">
      <w:lvlJc w:val="left"/>
      <w:lvlText w:val="%1."/>
      <w:numFmt w:val="decimal"/>
      <w:start w:val="1"/>
    </w:lvl>
    <w:lvl w:ilvl="1">
      <w:lvlJc w:val="left"/>
      <w:lvlText w:val="(%2)"/>
      <w:numFmt w:val="lowerLetter"/>
      <w:start w:val="1"/>
    </w:lvl>
  </w:abstractNum>
  <w:abstractNum w:abstractNumId="163">
    <w:nsid w:val="68B867D3"/>
    <w:multiLevelType w:val="hybridMultilevel"/>
    <w:lvl w:ilvl="0">
      <w:lvlJc w:val="left"/>
      <w:lvlText w:val="(%1)"/>
      <w:numFmt w:val="lowerLetter"/>
      <w:start w:val="1"/>
    </w:lvl>
  </w:abstractNum>
  <w:abstractNum w:abstractNumId="164">
    <w:nsid w:val="3F7F5DD9"/>
    <w:multiLevelType w:val="hybridMultilevel"/>
    <w:lvl w:ilvl="0">
      <w:lvlJc w:val="left"/>
      <w:lvlText w:val="%1."/>
      <w:numFmt w:val="decimal"/>
      <w:start w:val="1"/>
    </w:lvl>
    <w:lvl w:ilvl="1">
      <w:lvlJc w:val="left"/>
      <w:lvlText w:val="(%2)"/>
      <w:numFmt w:val="lowerLetter"/>
      <w:start w:val="1"/>
    </w:lvl>
  </w:abstractNum>
  <w:abstractNum w:abstractNumId="165">
    <w:nsid w:val="2AE05A34"/>
    <w:multiLevelType w:val="hybridMultilevel"/>
    <w:lvl w:ilvl="0">
      <w:lvlJc w:val="left"/>
      <w:lvlText w:val="%1."/>
      <w:numFmt w:val="decimal"/>
      <w:start w:val="5"/>
    </w:lvl>
    <w:lvl w:ilvl="1">
      <w:lvlJc w:val="left"/>
      <w:lvlText w:val="(%2)"/>
      <w:numFmt w:val="lowerLetter"/>
      <w:start w:val="1"/>
    </w:lvl>
  </w:abstractNum>
  <w:abstractNum w:abstractNumId="166">
    <w:nsid w:val="32794FF7"/>
    <w:multiLevelType w:val="hybridMultilevel"/>
    <w:lvl w:ilvl="0">
      <w:lvlJc w:val="left"/>
      <w:lvlText w:val="(%1)"/>
      <w:numFmt w:val="decimal"/>
      <w:start w:val="1"/>
    </w:lvl>
  </w:abstractNum>
  <w:abstractNum w:abstractNumId="167">
    <w:nsid w:val="5454945E"/>
    <w:multiLevelType w:val="hybridMultilevel"/>
    <w:lvl w:ilvl="0">
      <w:lvlJc w:val="left"/>
      <w:lvlText w:val="(%1)"/>
      <w:numFmt w:val="decimal"/>
      <w:start w:val="1"/>
    </w:lvl>
  </w:abstractNum>
  <w:abstractNum w:abstractNumId="168">
    <w:nsid w:val="4DEFDFA0"/>
    <w:multiLevelType w:val="hybridMultilevel"/>
    <w:lvl w:ilvl="0">
      <w:lvlJc w:val="left"/>
      <w:lvlText w:val="(%1)"/>
      <w:numFmt w:val="lowerRoman"/>
      <w:start w:val="3"/>
    </w:lvl>
  </w:abstractNum>
  <w:abstractNum w:abstractNumId="169">
    <w:nsid w:val="2123D5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1" Type="http://schemas.openxmlformats.org/officeDocument/2006/relationships/image" Target="media/image529.png"/><Relationship Id="rId552" Type="http://schemas.openxmlformats.org/officeDocument/2006/relationships/image" Target="media/image530.png"/><Relationship Id="rId553" Type="http://schemas.openxmlformats.org/officeDocument/2006/relationships/image" Target="media/image531.png"/><Relationship Id="rId554"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6" Type="http://schemas.openxmlformats.org/officeDocument/2006/relationships/image" Target="media/image544.png"/><Relationship Id="rId567" Type="http://schemas.openxmlformats.org/officeDocument/2006/relationships/image" Target="media/image545.png"/><Relationship Id="rId568" Type="http://schemas.openxmlformats.org/officeDocument/2006/relationships/image" Target="media/image546.png"/><Relationship Id="rId569" Type="http://schemas.openxmlformats.org/officeDocument/2006/relationships/image" Target="media/image547.png"/><Relationship Id="rId570" Type="http://schemas.openxmlformats.org/officeDocument/2006/relationships/image" Target="media/image548.png"/><Relationship Id="rId571" Type="http://schemas.openxmlformats.org/officeDocument/2006/relationships/image" Target="media/image549.png"/><Relationship Id="rId572" Type="http://schemas.openxmlformats.org/officeDocument/2006/relationships/image" Target="media/image550.png"/><Relationship Id="rId573" Type="http://schemas.openxmlformats.org/officeDocument/2006/relationships/image" Target="media/image551.png"/><Relationship Id="rId574"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291" Type="http://schemas.openxmlformats.org/officeDocument/2006/relationships/hyperlink" Target="https://www.sec.gov/Archives/edgar/data/1830487/000095017024027155/phvs-ex3_1.htm" TargetMode="External"/><Relationship Id="rId295" Type="http://schemas.openxmlformats.org/officeDocument/2006/relationships/hyperlink" Target="https://www.sec.gov/Archives/edgar/data/1830487/000119312521010126/d50231dex101.htm" TargetMode="External"/><Relationship Id="rId298" Type="http://schemas.openxmlformats.org/officeDocument/2006/relationships/hyperlink" Target="https://www.sec.gov/Archives/edgar/data/1830487/000119312521010126/d50231dex102.htm" TargetMode="External"/><Relationship Id="rId302" Type="http://schemas.openxmlformats.org/officeDocument/2006/relationships/hyperlink" Target="https://www.sec.gov/Archives/edgar/data/1830487/000119312521010126/d50231dex103.htm" TargetMode="External"/><Relationship Id="rId306" Type="http://schemas.openxmlformats.org/officeDocument/2006/relationships/hyperlink" Target="https://www.sec.gov/Archives/edgar/data/1830487/000119312521010126/d50231dex104.htm" TargetMode="External"/><Relationship Id="rId310" Type="http://schemas.openxmlformats.org/officeDocument/2006/relationships/hyperlink" Target="https://www.sec.gov/Archives/edgar/data/1830487/000119312521010126/d50231dex105.htm" TargetMode="External"/><Relationship Id="rId314" Type="http://schemas.openxmlformats.org/officeDocument/2006/relationships/hyperlink" Target="https://www.sec.gov/Archives/edgar/data/1830487/000119312521014933/d50231dex106.htm" TargetMode="External"/><Relationship Id="rId318" Type="http://schemas.openxmlformats.org/officeDocument/2006/relationships/hyperlink" Target="https://www.sec.gov/Archives/edgar/data/1830487/000119312521014933/d50231dex107.htm" TargetMode="External"/><Relationship Id="rId322" Type="http://schemas.openxmlformats.org/officeDocument/2006/relationships/hyperlink" Target="https://www.sec.gov/Archives/edgar/data/1830487/000119312521034489/d31744dex101.htm" TargetMode="External"/><Relationship Id="rId325" Type="http://schemas.openxmlformats.org/officeDocument/2006/relationships/hyperlink" Target="https://www.sec.gov/Archives/edgar/data/1830487/000119312521023578/d50231dex108.htm" TargetMode="External"/><Relationship Id="rId328" Type="http://schemas.openxmlformats.org/officeDocument/2006/relationships/hyperlink" Target="https://www.sec.gov/Archives/edgar/data/1830487/000119312521023578/d50231dex1010.htm" TargetMode="External"/><Relationship Id="rId331" Type="http://schemas.openxmlformats.org/officeDocument/2006/relationships/hyperlink" Target="https://www.sec.gov/Archives/edgar/data/1830487/000119312521023578/d50231dex1011.htm" TargetMode="External"/><Relationship Id="rId334" Type="http://schemas.openxmlformats.org/officeDocument/2006/relationships/hyperlink" Target="https://www.sec.gov/Archives/edgar/data/1830487/000095017023028765/phvs-ex99_1.htm" TargetMode="External"/><Relationship Id="rId337" Type="http://schemas.openxmlformats.org/officeDocument/2006/relationships/hyperlink" Target="https://www.sec.gov/Archives/edgar/data/1830487/000095017023069083/phvs-ex1_1.htm" TargetMode="External"/><Relationship Id="rId341" Type="http://schemas.openxmlformats.org/officeDocument/2006/relationships/hyperlink" Target="https://www.sec.gov/Archives/edgar/data/1830487/000095017024012166/phvs-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2024-04-10T15:28:05Z</dcterms:created>
  <dcterms:modified xsi:type="dcterms:W3CDTF">2024-04-10T15:28:05Z</dcterms:modified>
</cp:coreProperties>
</file>