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5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Emmy Noetherweg 2</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2333 BK Leiden</w:t>
      </w:r>
    </w:p>
    <w:p>
      <w:pPr>
        <w:spacing w:after="0" w:line="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19"/>
        <w:spacing w:after="0" w:line="207" w:lineRule="exact"/>
        <w:tabs>
          <w:tab w:leader="none" w:pos="120" w:val="left"/>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187960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80"/>
          </w:cols>
          <w:pgMar w:left="440" w:top="376" w:right="67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2, 2025, Pharvaris N.V. (the “Company”) entered into a registration rights agreement (the “Registration Rights Agreement”) with General Atlantic PH B.V. (the “Investor”) relating to the exercised pre-funded warrants (the “Pre-Funded Warrants”) to purchase up to 500,000 ordinary shares of the Company, par value €0.12 per share (the “Ordinary Shares”), which Pre-Funded Warrants were acquired by the Investor in an underwritten offering that closed on July 24, 2025.</w:t>
      </w:r>
    </w:p>
    <w:p>
      <w:pPr>
        <w:spacing w:after="0" w:line="18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Registration Rights Agreement contains customary registration rights, including demand registration rights, with respect to the Ordinary Shares, as well as customary indemnification provisions. The foregoing is a summary description of the Registration Rights Agreement and is qualified in its entirety by the text of the Registration Rights Agreement filed as Exhibit 99.1 to this Current Report on Form 6-K and incorporated herein by reference.</w:t>
      </w:r>
    </w:p>
    <w:p>
      <w:pPr>
        <w:spacing w:after="0" w:line="15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Company’s registration statements on Form F-3 (Registration Numbers 333-273757, 333-277705 and 333-278650) and Form S-8 (Registration Number 333-252897).</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Registration Rights Agreement, dated September 2, 2025.</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PHARVARIS N.V.</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2025</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Berndt Modig</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Berndt Modig</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07"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w:t>
      </w:r>
      <w:r>
        <w:rPr>
          <w:rFonts w:ascii="Times New Roman" w:cs="Times New Roman" w:eastAsia="Times New Roman" w:hAnsi="Times New Roman"/>
          <w:sz w:val="18"/>
          <w:szCs w:val="18"/>
          <w:color w:val="auto"/>
        </w:rPr>
        <w:t>t”) is made as of September 2, 2025 between Pharvaris N.V., a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General Atlantic PH B.V.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Except as otherwise specified herein, all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herein and other good and valuable consideration, the receipt and sufficiency of which are hereby acknowledged, the parties to this Agreement hereby agree as follows: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69" w:lineRule="auto"/>
        <w:tabs>
          <w:tab w:leader="none" w:pos="12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The Company shall use its reasonable best efforts to file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within 30 calendar days after the date hereof and use its reasonable best efforts to have declared effective as soon as practicable after the filing thereof a registration statement on Form F-3 or any comparable or successor form or forms or a post-effective amendment to an existing automatic registration statement on Form F-3ASR, pursuant to Rule 413(b) or otherwise, or any similar short-form registration constituting a “shelf” registration statement providing for the registration of, and the sale by the Investor, or its affiliates, as applicable, on a continuous or delayed basis of, all of the Registrable Securities, pursuant to Rule 415 or otherwise (a “</w:t>
      </w:r>
      <w:r>
        <w:rPr>
          <w:rFonts w:ascii="Times New Roman" w:cs="Times New Roman" w:eastAsia="Times New Roman" w:hAnsi="Times New Roman"/>
          <w:sz w:val="17"/>
          <w:szCs w:val="17"/>
          <w:u w:val="single" w:color="auto"/>
          <w:color w:val="auto"/>
        </w:rPr>
        <w:t>Shelf Registration Statement</w:t>
      </w:r>
      <w:r>
        <w:rPr>
          <w:rFonts w:ascii="Times New Roman" w:cs="Times New Roman" w:eastAsia="Times New Roman" w:hAnsi="Times New Roman"/>
          <w:sz w:val="17"/>
          <w:szCs w:val="17"/>
          <w:color w:val="auto"/>
        </w:rPr>
        <w:t>”). The Company shall keep current the Shelf Registration Statement (or, if the Company is not eligible to file a registration statement on Form F-3 or a post-effective amendment to an existing automatic registration statement on Form F-3ASR, pursuant to Rule 413(b) or otherwise, a successor effective registration statement on Form F-1 providing for the registration of, and the sale by the Investor on a continuous or delayed basis of, all of the Registrable Securities, pursuant to Rule 415 or otherwise) for three years following the effective date of the initial Shelf Registration Statement (or such earlier time as the Investor no longer holds any Registrable Securities). Any such successor registration statement shall be considered a “Shelf Registration Statement” for the purposes of this Agreement. In the event the Company files a Shelf Registration Statement on Form F-1, the Company shall use its reasonable best efforts to convert it to a Shelf Registration Statement on Form F-1 to a registration statement on Form F-3 as soon as practicable after the Company is eligible to use Form F-3.</w:t>
      </w:r>
    </w:p>
    <w:p>
      <w:pPr>
        <w:spacing w:after="0" w:line="6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53" w:lineRule="auto"/>
        <w:tabs>
          <w:tab w:leader="none" w:pos="1607"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Shelf Registration Statement is and remains effective, the Investor will have the right at any time or from time to time to elect to sell pursuant to an offering (including an Underwritten Offering) Registrable Securities pursuant to such registration statement (“</w:t>
      </w:r>
      <w:r>
        <w:rPr>
          <w:rFonts w:ascii="Times New Roman" w:cs="Times New Roman" w:eastAsia="Times New Roman" w:hAnsi="Times New Roman"/>
          <w:sz w:val="18"/>
          <w:szCs w:val="18"/>
          <w:u w:val="single" w:color="auto"/>
          <w:color w:val="auto"/>
        </w:rPr>
        <w:t>Shelf Registrable Securities</w:t>
      </w:r>
      <w:r>
        <w:rPr>
          <w:rFonts w:ascii="Times New Roman" w:cs="Times New Roman" w:eastAsia="Times New Roman" w:hAnsi="Times New Roman"/>
          <w:sz w:val="18"/>
          <w:szCs w:val="18"/>
          <w:color w:val="auto"/>
        </w:rPr>
        <w:t>”). If the Investor desires to sell Registrable Securities pursuant to an Underwritten Offering, then the Investor may deliver to the Company a written notice (a “</w:t>
      </w:r>
      <w:r>
        <w:rPr>
          <w:rFonts w:ascii="Times New Roman" w:cs="Times New Roman" w:eastAsia="Times New Roman" w:hAnsi="Times New Roman"/>
          <w:sz w:val="18"/>
          <w:szCs w:val="18"/>
          <w:u w:val="single" w:color="auto"/>
          <w:color w:val="auto"/>
        </w:rPr>
        <w:t>Shelf Offering Notice</w:t>
      </w:r>
      <w:r>
        <w:rPr>
          <w:rFonts w:ascii="Times New Roman" w:cs="Times New Roman" w:eastAsia="Times New Roman" w:hAnsi="Times New Roman"/>
          <w:sz w:val="18"/>
          <w:szCs w:val="18"/>
          <w:color w:val="auto"/>
        </w:rPr>
        <w:t>”) specifying the number of Registrable Securities that the Investor desires to sell pursuant to such Underwritten Offering (the “</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The number of Shelf Offerings that the Investor may effect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not be limited, provided that the number of Underwritten Offerings shall be limited to a total of two (2) in any calendar year, it being understood, for the avoidance of doubt, any Underwritten Block Trade (as defined below) effected pursuant to a Shelf Offering shall be considered an Underwritten Offering for the purposes hereof. The Company, subject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will include in such Shelf Offering all Registrable Securities with respect to which the Company has received timely written requests for inclusion. The Company will, as expeditiously as possible (and in any event within fourteen (14) days after the receipt of a Shelf Offering Notice), but subject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use its reasonable best efforts to consummate such Shelf Offering.</w:t>
      </w:r>
    </w:p>
    <w:p>
      <w:pPr>
        <w:sectPr>
          <w:pgSz w:w="11900" w:h="16838" w:orient="portrait"/>
          <w:cols w:equalWidth="0" w:num="1">
            <w:col w:w="11020"/>
          </w:cols>
          <w:pgMar w:left="440" w:top="117" w:right="439" w:bottom="1440" w:gutter="0" w:footer="0" w:header="0"/>
        </w:sectPr>
      </w:pPr>
    </w:p>
    <w:bookmarkStart w:id="5" w:name="page6"/>
    <w:bookmarkEnd w:id="5"/>
    <w:p>
      <w:pPr>
        <w:ind w:left="440" w:right="180" w:firstLine="948"/>
        <w:spacing w:after="0" w:line="270" w:lineRule="auto"/>
        <w:tabs>
          <w:tab w:leader="none" w:pos="1657"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Investor desires to engage in an underwritten block trade or bought deal pursuant to a Shelf Registration Statement (each, an “</w:t>
      </w:r>
      <w:r>
        <w:rPr>
          <w:rFonts w:ascii="Times New Roman" w:cs="Times New Roman" w:eastAsia="Times New Roman" w:hAnsi="Times New Roman"/>
          <w:sz w:val="17"/>
          <w:szCs w:val="17"/>
          <w:u w:val="single" w:color="auto"/>
          <w:color w:val="auto"/>
        </w:rPr>
        <w:t>Underwritten Block Trade</w:t>
      </w:r>
      <w:r>
        <w:rPr>
          <w:rFonts w:ascii="Times New Roman" w:cs="Times New Roman" w:eastAsia="Times New Roman" w:hAnsi="Times New Roman"/>
          <w:sz w:val="17"/>
          <w:szCs w:val="17"/>
          <w:color w:val="auto"/>
        </w:rPr>
        <w:t xml:space="preserve">”), then notwithstanding the time periods set forth in </w:t>
      </w:r>
      <w:r>
        <w:rPr>
          <w:rFonts w:ascii="Times New Roman" w:cs="Times New Roman" w:eastAsia="Times New Roman" w:hAnsi="Times New Roman"/>
          <w:sz w:val="17"/>
          <w:szCs w:val="17"/>
          <w:u w:val="single" w:color="auto"/>
          <w:color w:val="auto"/>
        </w:rPr>
        <w:t>Section 1(b)(i)</w:t>
      </w:r>
      <w:r>
        <w:rPr>
          <w:rFonts w:ascii="Times New Roman" w:cs="Times New Roman" w:eastAsia="Times New Roman" w:hAnsi="Times New Roman"/>
          <w:sz w:val="17"/>
          <w:szCs w:val="17"/>
          <w:color w:val="auto"/>
        </w:rPr>
        <w:t>, the Investor may notify the Company of the Underwritten Block Trade not less than two (2) Business Days prior to the day such offering is first anticipated to commence, and the Company will as expeditiously as possible use its reasonable best efforts to facilitate such Underwritten Block Trade (which may close as early as two</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it commences).</w:t>
      </w:r>
    </w:p>
    <w:p>
      <w:pPr>
        <w:spacing w:after="0" w:line="98" w:lineRule="exact"/>
        <w:rPr>
          <w:rFonts w:ascii="Times New Roman" w:cs="Times New Roman" w:eastAsia="Times New Roman" w:hAnsi="Times New Roman"/>
          <w:sz w:val="18"/>
          <w:szCs w:val="18"/>
          <w:color w:val="auto"/>
        </w:rPr>
      </w:pPr>
    </w:p>
    <w:p>
      <w:pPr>
        <w:jc w:val="both"/>
        <w:ind w:left="440" w:right="40" w:firstLine="948"/>
        <w:spacing w:after="0" w:line="266" w:lineRule="auto"/>
        <w:tabs>
          <w:tab w:leader="none" w:pos="1707"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as to whether to complete any Shelf Offering and as to the timing, manner, price and other terms of any Shelf Offering contemplated by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shall be determined by the Investor, and the Company shall use its reasonable best efforts to cause any Shelf Offering to occur in accordance with such determinations as promptly as practicable.</w:t>
      </w:r>
    </w:p>
    <w:p>
      <w:pPr>
        <w:spacing w:after="0" w:line="6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on Demand Registrations and Shelf Offerings</w:t>
      </w:r>
      <w:r>
        <w:rPr>
          <w:rFonts w:ascii="Times New Roman" w:cs="Times New Roman" w:eastAsia="Times New Roman" w:hAnsi="Times New Roman"/>
          <w:sz w:val="18"/>
          <w:szCs w:val="18"/>
          <w:color w:val="auto"/>
        </w:rPr>
        <w:t>. The Company may include in any Shelf Offering securities which are not Registrable Securities. If a Shelf Offering is an Underwritten Offering and the managing underwriters advise the Company in writing that in their opinion the number of Registrable Securities and other securities (if any) requested to be included in such offering exceeds the number of Registrable Securities and other securities (if any), which can be sold therein without adversely affecting the marketability, proposed offering price, timing or method of distribution of the offering, then the Company will include in such offering (prior to the inclusion of any securities which are not Registrable Securities) the number of Registrable Securities requested to be included by the Investor which, in the opinion of such underwriters, can be sold, without any such adverse effect.</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Shelf Offerings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948"/>
        <w:spacing w:after="0" w:line="252" w:lineRule="auto"/>
        <w:tabs>
          <w:tab w:leader="none" w:pos="160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postpone, for up to 60 days (or with the consent of the Investor, a longer period) from the date of the request (the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filing or the effectiveness of a Shelf Registration Statement or suspend the use of a prospectus that is part of a Shelf Registration Statement (and therefore suspend sales of the Registrable Securities) by providing written notice to the Investor if the following conditions are met: (A) the Company determines that the offer or sale of Registrable Securities would reasonably be expected to have a material adverse effect on any proposal or plan by the Company or any Subsidiary to engage in any material acquisition of assets or shares (other than in the ordinary course of business) or any material merger, consolidation, tender offer, recapitalization, reorganization, financing or other transaction involving the Company and (B) upon advice of counsel, the sale of Registrable Securities pursuant to the registration statement would require disclosure of material non-public information not otherwise required to be disclosed under applicable law, and either (x) the Company has a bona fide business purpose for preserving the confidentiality of such transaction, (y) disclosure would have a material adverse effect on the Company or the Company’s ability to consummate such transaction, or (z) such transaction renders the Company unable to comply with SEC requirements, in each case under circumstances that would make it impractical or inadvisable to cause the registration statement (or such filings) to become effective or to promptly amend or supplement the registration statement on a post effective basis, as applicable. The Company may delay or suspend the effectiveness of a Shelf Registration Statement pursuant to this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 xml:space="preserve"> only once in any twelve (12)-month period (for avoidance of doubt, in addition to the Company’s rights and obligations under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unless additional delays or suspensions are approved by the Investor.</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left="1640" w:hanging="272"/>
        <w:spacing w:after="0"/>
        <w:tabs>
          <w:tab w:leader="none" w:pos="164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 event that causes the Company to suspend the use of a Shelf Registration Statement as set forth in </w:t>
      </w:r>
      <w:r>
        <w:rPr>
          <w:rFonts w:ascii="Times New Roman" w:cs="Times New Roman" w:eastAsia="Times New Roman" w:hAnsi="Times New Roman"/>
          <w:sz w:val="18"/>
          <w:szCs w:val="18"/>
          <w:u w:val="single" w:color="auto"/>
          <w:color w:val="auto"/>
        </w:rPr>
        <w:t>Section 1(d)</w:t>
      </w:r>
    </w:p>
    <w:p>
      <w:pPr>
        <w:spacing w:after="0" w:line="27" w:lineRule="exact"/>
        <w:rPr>
          <w:rFonts w:ascii="Times New Roman" w:cs="Times New Roman" w:eastAsia="Times New Roman" w:hAnsi="Times New Roman"/>
          <w:sz w:val="18"/>
          <w:szCs w:val="18"/>
          <w:color w:val="auto"/>
        </w:rPr>
      </w:pPr>
    </w:p>
    <w:p>
      <w:pPr>
        <w:ind w:left="420" w:hanging="4"/>
        <w:spacing w:after="0" w:line="251" w:lineRule="auto"/>
        <w:tabs>
          <w:tab w:leader="none" w:pos="635"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pursuant to </w:t>
      </w:r>
      <w:r>
        <w:rPr>
          <w:rFonts w:ascii="Times New Roman" w:cs="Times New Roman" w:eastAsia="Times New Roman" w:hAnsi="Times New Roman"/>
          <w:sz w:val="18"/>
          <w:szCs w:val="18"/>
          <w:u w:val="single" w:color="auto"/>
          <w:color w:val="auto"/>
        </w:rPr>
        <w:t>Section 2(a)(vi)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the Company will give a notice to the Investor (a “</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to suspend sales of the Registrable Securities and such notice must state generally the basis for the notice and that such suspension will continue only for so long as the Suspension Event or its effect is continuing. The Investor agrees not to effect any sales of its Registrable Securities pursuant to such Shelf Registration Statement (or such filings) at any time after it has received a Suspension Notice from the Company and prior to receipt of an End of Suspension Notice. The Investor may recommence effecting sales of the Registrable Securities pursuant to the Shelf Registration Statement (or such filings) following further written notice to such effect (an “</w:t>
      </w:r>
      <w:r>
        <w:rPr>
          <w:rFonts w:ascii="Times New Roman" w:cs="Times New Roman" w:eastAsia="Times New Roman" w:hAnsi="Times New Roman"/>
          <w:sz w:val="18"/>
          <w:szCs w:val="18"/>
          <w:u w:val="single" w:color="auto"/>
          <w:color w:val="auto"/>
        </w:rPr>
        <w:t>End of Suspension Notice</w:t>
      </w:r>
      <w:r>
        <w:rPr>
          <w:rFonts w:ascii="Times New Roman" w:cs="Times New Roman" w:eastAsia="Times New Roman" w:hAnsi="Times New Roman"/>
          <w:sz w:val="18"/>
          <w:szCs w:val="18"/>
          <w:color w:val="auto"/>
        </w:rPr>
        <w:t>”) from the Company, which End of Suspension Notice will be given by the Company to the Investor promptly following the conclusion of any Suspension Event (and in any event during the permitted Suspension Period).</w:t>
      </w:r>
    </w:p>
    <w:p>
      <w:pPr>
        <w:spacing w:after="0" w:line="85" w:lineRule="exact"/>
        <w:rPr>
          <w:rFonts w:ascii="Times New Roman" w:cs="Times New Roman" w:eastAsia="Times New Roman" w:hAnsi="Times New Roman"/>
          <w:sz w:val="18"/>
          <w:szCs w:val="18"/>
          <w:u w:val="single" w:color="auto"/>
          <w:color w:val="auto"/>
        </w:rPr>
      </w:pPr>
    </w:p>
    <w:p>
      <w:pPr>
        <w:ind w:left="420" w:right="20" w:firstLine="948"/>
        <w:spacing w:after="0" w:line="270" w:lineRule="auto"/>
        <w:tabs>
          <w:tab w:leader="none" w:pos="1687"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may deliver written notice (including via email) (an “</w:t>
      </w:r>
      <w:r>
        <w:rPr>
          <w:rFonts w:ascii="Times New Roman" w:cs="Times New Roman" w:eastAsia="Times New Roman" w:hAnsi="Times New Roman"/>
          <w:sz w:val="17"/>
          <w:szCs w:val="17"/>
          <w:u w:val="single" w:color="auto"/>
          <w:color w:val="auto"/>
        </w:rPr>
        <w:t>Opt-Out Notice</w:t>
      </w:r>
      <w:r>
        <w:rPr>
          <w:rFonts w:ascii="Times New Roman" w:cs="Times New Roman" w:eastAsia="Times New Roman" w:hAnsi="Times New Roman"/>
          <w:sz w:val="17"/>
          <w:szCs w:val="17"/>
          <w:color w:val="auto"/>
        </w:rPr>
        <w:t>”) to the Company requesting that the Investor not receive notices from the Company otherwise required by this Section 1(d); provided, however, that the Investor may later revoke any such Opt-Out Notice in writing. Following receipt of an Opt-Out Notice from the Investor (unless and until subsequently revoked), (i) the Company shall not deliver any such notices to the Investor and the Investor shall no longer be entitled to the rights associated with any such notice and</w:t>
      </w:r>
    </w:p>
    <w:p>
      <w:pPr>
        <w:spacing w:after="0" w:line="2"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time prior to the Investor’s intended use of an effective registration statement, the Investor will notify the Company in writing at least two</w:t>
      </w:r>
    </w:p>
    <w:p>
      <w:pPr>
        <w:spacing w:after="0" w:line="20" w:lineRule="exact"/>
        <w:rPr>
          <w:rFonts w:ascii="Times New Roman" w:cs="Times New Roman" w:eastAsia="Times New Roman" w:hAnsi="Times New Roman"/>
          <w:sz w:val="17"/>
          <w:szCs w:val="17"/>
          <w:color w:val="auto"/>
        </w:rPr>
      </w:pPr>
    </w:p>
    <w:p>
      <w:pPr>
        <w:jc w:val="both"/>
        <w:ind w:left="420"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Business Days in advance of such intended use, and if a notice of a Suspension Event was previously delivered (or would have been delivered but for the provisions of this Section 1(d) and the related Suspension Period remains in effect, the Company will so notify the Investor, within one</w:t>
      </w:r>
    </w:p>
    <w:p>
      <w:pPr>
        <w:ind w:left="420" w:right="4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Business Day of the Investor’s notification, by delivering to the Investor a copy of such notice of Suspension Event that would have been provided, and thereafter will provide the Investor with the related notice of the conclusion of such Suspension Event immediately upon its availability, and the Investor shall comply with any restrictions on using such registration statement during such Suspension Event.</w:t>
      </w:r>
    </w:p>
    <w:p>
      <w:pPr>
        <w:spacing w:after="0" w:line="77" w:lineRule="exact"/>
        <w:rPr>
          <w:rFonts w:ascii="Times New Roman" w:cs="Times New Roman" w:eastAsia="Times New Roman" w:hAnsi="Times New Roman"/>
          <w:sz w:val="17"/>
          <w:szCs w:val="17"/>
          <w:color w:val="auto"/>
        </w:rPr>
      </w:pPr>
    </w:p>
    <w:p>
      <w:pPr>
        <w:ind w:left="-20" w:right="20" w:firstLine="987"/>
        <w:spacing w:after="0" w:line="282" w:lineRule="auto"/>
        <w:tabs>
          <w:tab w:leader="none" w:pos="12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The Investor shall select the investment banker(s) and manager(s), subject to consent of the Company which shall not be unreasonably withheld, to administer any Underwritten Offering in connection with any Shelf Offering.</w:t>
      </w:r>
    </w:p>
    <w:p>
      <w:pPr>
        <w:spacing w:after="0" w:line="53"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shall not hereafter enter into any agreement with respect to its securities, including any other registration rights agreement, which is inconsistent with or violates the rights granted to the Investor in this Agreement.</w:t>
      </w:r>
    </w:p>
    <w:p>
      <w:pPr>
        <w:spacing w:after="0" w:line="53"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Demand Notice or Shelf Offering Notice</w:t>
      </w:r>
      <w:r>
        <w:rPr>
          <w:rFonts w:ascii="Times New Roman" w:cs="Times New Roman" w:eastAsia="Times New Roman" w:hAnsi="Times New Roman"/>
          <w:sz w:val="18"/>
          <w:szCs w:val="18"/>
          <w:color w:val="auto"/>
        </w:rPr>
        <w:t>. At any time prior to the “pricing” of any offering relating to a Shelf Offering Notice, the Investor may revoke or withdraw such notice of a Shelf Offering Notice by providing written notice to the Company. A notice of Shelf Offering Notice that has been revoked or withdrawn shall count as one of the permitted Underwritten Offerings for the calendar year.</w:t>
      </w:r>
    </w:p>
    <w:p>
      <w:pPr>
        <w:spacing w:after="0" w:line="67" w:lineRule="exact"/>
        <w:rPr>
          <w:rFonts w:ascii="Times New Roman" w:cs="Times New Roman" w:eastAsia="Times New Roman" w:hAnsi="Times New Roman"/>
          <w:sz w:val="18"/>
          <w:szCs w:val="18"/>
          <w:color w:val="auto"/>
        </w:rPr>
      </w:pPr>
    </w:p>
    <w:p>
      <w:pPr>
        <w:jc w:val="both"/>
        <w:ind w:left="-20" w:right="40" w:firstLine="987"/>
        <w:spacing w:after="0" w:line="261" w:lineRule="auto"/>
        <w:tabs>
          <w:tab w:leader="none" w:pos="122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Investor agrees to treat as confidential the receipt of any notice hereunder (including a Suspension Notice) and the information contained therein, and not to disclose or use the information contained in any such notice (or the existence thereof) without the prior written consent of the Company until such time as the information contained therein is or becomes available to the public generally (other than as a result of disclosure by the Investor in breach of the terms of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7" w:name="page8"/>
    <w:bookmarkEnd w:id="7"/>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40" w:firstLine="987"/>
        <w:spacing w:after="0" w:line="266" w:lineRule="auto"/>
        <w:tabs>
          <w:tab w:leader="none" w:pos="121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The Company will use its reasonable best efforts to effect the registration and the sale of the Investor’s Registrable Securities in accordance with the intended method of disposition thereof, and pursuant thereto the Company will as expeditiously as possible:</w:t>
      </w:r>
    </w:p>
    <w:p>
      <w:pPr>
        <w:spacing w:after="0" w:line="67" w:lineRule="exact"/>
        <w:rPr>
          <w:rFonts w:ascii="Times New Roman" w:cs="Times New Roman" w:eastAsia="Times New Roman" w:hAnsi="Times New Roman"/>
          <w:sz w:val="18"/>
          <w:szCs w:val="18"/>
          <w:color w:val="auto"/>
        </w:rPr>
      </w:pPr>
    </w:p>
    <w:p>
      <w:pPr>
        <w:jc w:val="both"/>
        <w:ind w:left="420" w:firstLine="948"/>
        <w:spacing w:after="0" w:line="277" w:lineRule="auto"/>
        <w:tabs>
          <w:tab w:leader="none" w:pos="1587"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file with the SEC a registration statement, and all amendments and supplements thereto and related prospectuses, with respect to such Registrable Securities and use its reasonable best efforts to cause such registration statement to become effective, all in accordance with the Securities Act and all applicable rules and regulations promulgated thereunder (provided that before filing or confidentially submitting a registration statement or prospectus or any amendments or supplements thereto, the Company will furnish to the counsel selected by the Investor copies of all such documents proposed to be filed or submitted, which documents will be subject to the review and comment of such counsel);</w:t>
      </w:r>
    </w:p>
    <w:p>
      <w:pPr>
        <w:spacing w:after="0" w:line="59" w:lineRule="exact"/>
        <w:rPr>
          <w:rFonts w:ascii="Times New Roman" w:cs="Times New Roman" w:eastAsia="Times New Roman" w:hAnsi="Times New Roman"/>
          <w:sz w:val="17"/>
          <w:szCs w:val="17"/>
          <w:color w:val="auto"/>
        </w:rPr>
      </w:pPr>
    </w:p>
    <w:p>
      <w:pPr>
        <w:jc w:val="both"/>
        <w:ind w:left="420" w:right="40" w:firstLine="948"/>
        <w:spacing w:after="0" w:line="272" w:lineRule="auto"/>
        <w:tabs>
          <w:tab w:leader="none" w:pos="1637"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Investor of (A) the issuance by the SEC of any stop order suspending the effectiveness of any registration statement or the initiation of any proceedings for that purpose, (B) the receipt by the Company or its counsel of any notification with respect to the suspension of the qualification of the Registrable Securities for sale in any jurisdiction or the initiation or threatening of any proceeding for such purpose, and</w:t>
      </w:r>
    </w:p>
    <w:p>
      <w:pPr>
        <w:spacing w:after="0" w:line="1" w:lineRule="exact"/>
        <w:rPr>
          <w:rFonts w:ascii="Times New Roman" w:cs="Times New Roman" w:eastAsia="Times New Roman" w:hAnsi="Times New Roman"/>
          <w:sz w:val="17"/>
          <w:szCs w:val="17"/>
          <w:color w:val="auto"/>
        </w:rPr>
      </w:pPr>
    </w:p>
    <w:p>
      <w:pPr>
        <w:ind w:left="700" w:hanging="28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each registration statement filed hereunder;</w:t>
      </w:r>
    </w:p>
    <w:p>
      <w:pPr>
        <w:spacing w:after="0" w:line="98" w:lineRule="exact"/>
        <w:rPr>
          <w:rFonts w:ascii="Times New Roman" w:cs="Times New Roman" w:eastAsia="Times New Roman" w:hAnsi="Times New Roman"/>
          <w:sz w:val="18"/>
          <w:szCs w:val="18"/>
          <w:color w:val="auto"/>
        </w:rPr>
      </w:pPr>
    </w:p>
    <w:p>
      <w:pPr>
        <w:ind w:left="420" w:firstLine="948"/>
        <w:spacing w:after="0" w:line="254" w:lineRule="auto"/>
        <w:tabs>
          <w:tab w:leader="none" w:pos="168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such registration statement and the prospectus used in connection therewith as may be necessary to keep such registration statement effective until the earlier of (A) the period ending when all of the securities covered by such registration statement have been disposed of in accordance with the intended methods of distribution by the Investor set forth in such registration statement (but not in any event before the expiration of any longer period required under the Securities Act or, if such registration statement relates to an Underwritten Offering, such longer period as in the opinion of counsel for the underwriters a prospectus is required by law to be delivered in connection with sale of Registrable Securities by an underwriter or dealer) and (B) three years from the effective date of the initial Shelf Registration Statement,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80" w:lineRule="exact"/>
        <w:rPr>
          <w:rFonts w:ascii="Times New Roman" w:cs="Times New Roman" w:eastAsia="Times New Roman" w:hAnsi="Times New Roman"/>
          <w:sz w:val="18"/>
          <w:szCs w:val="18"/>
          <w:color w:val="auto"/>
        </w:rPr>
      </w:pPr>
    </w:p>
    <w:p>
      <w:pPr>
        <w:ind w:left="420" w:right="20" w:firstLine="948"/>
        <w:spacing w:after="0" w:line="254" w:lineRule="auto"/>
        <w:tabs>
          <w:tab w:leader="none" w:pos="167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each seller of Registrable Securities thereunder and each underwriter, if any, such number of copies of such registration statement, each amendment and supplement thereto, the prospectus included in such registration statement (including each preliminary prospectus) (in each case including all exhibits and documents incorporated by reference therein), each amendment and supplement thereto, each Free Writing Prospectus and such other documents as such seller or underwriter, if any, may reasonably request in order to facilitate the disposition of the Registrable Securities owned by such seller (the Company hereby consenting to the use in accordance with all applicable laws of each such registration statement, each such amendment and supplement thereto, and each such prospectus (or preliminary prospectus or supplement thereto) or Free Writing Prospectus by each such seller of Registrable Securities and the underwriters, if any, in connection with the offering and sale of the Registrable Securities covered by such registration statement or prospectus);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70" w:right="459" w:bottom="1440" w:gutter="0" w:footer="0" w:header="0"/>
        </w:sectPr>
      </w:pPr>
    </w:p>
    <w:bookmarkStart w:id="8" w:name="page9"/>
    <w:bookmarkEnd w:id="8"/>
    <w:p>
      <w:pPr>
        <w:ind w:left="4" w:right="60" w:firstLine="948"/>
        <w:spacing w:after="0" w:line="277" w:lineRule="auto"/>
        <w:tabs>
          <w:tab w:leader="none" w:pos="121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will not be required to (A) qualify generally to do business in any jurisdiction where it would not otherwise be required to qualify but for this subparagraph or (B) consent to general service of process in any such jurisdiction or (C) subject itself to taxation in any such jurisdiction);</w:t>
      </w:r>
    </w:p>
    <w:p>
      <w:pPr>
        <w:spacing w:after="0" w:line="59" w:lineRule="exact"/>
        <w:rPr>
          <w:rFonts w:ascii="Times New Roman" w:cs="Times New Roman" w:eastAsia="Times New Roman" w:hAnsi="Times New Roman"/>
          <w:sz w:val="17"/>
          <w:szCs w:val="17"/>
          <w:color w:val="auto"/>
        </w:rPr>
      </w:pPr>
    </w:p>
    <w:p>
      <w:pPr>
        <w:ind w:left="4" w:right="60" w:firstLine="948"/>
        <w:spacing w:after="0" w:line="253"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Investor in writing (A) promptly after it receives notice thereof, of the date and time when such registration statement and each post-effective amendment thereto has become effective or a prospectus or supplement to any prospectus relating to a registration statement has been filed and when any registration or qualification has become effective under a state securities or blue sky law or any exemption thereunder has been obtained, (B) promptly after receipt thereof, of any request by the SEC for the amendment or supplementing of such registration statement or prospectus or for additional information, and (C) at any time when a prospectus relating thereto is required to be delivered under the Securities Act, of the happening of any event or of any information or circumstances as a result of which the prospectus included in such registration statement contains an untrue statement of a material fact or omits any fact necessary to make the statements therein not misleading, and, subject to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 if required by applicable law, the Company will use its reasonable best efforts to promptly prepare and file a supplement or amendment to such prospectus so that, as thereafter delivered to the purchasers of such Registrable Securities, such prospectus will not contain an untrue statement of a material fact or omit to state any fact necessary to make the statements therein not misleading and (D) if at any time the representations and warranties of the Company in any underwriting agreement, securities sale agreement, or other similar agreement, relating to the offering shall cease to be true and correct;</w:t>
      </w:r>
    </w:p>
    <w:p>
      <w:pPr>
        <w:spacing w:after="0" w:line="81" w:lineRule="exact"/>
        <w:rPr>
          <w:rFonts w:ascii="Times New Roman" w:cs="Times New Roman" w:eastAsia="Times New Roman" w:hAnsi="Times New Roman"/>
          <w:sz w:val="18"/>
          <w:szCs w:val="18"/>
          <w:color w:val="auto"/>
        </w:rPr>
      </w:pPr>
    </w:p>
    <w:p>
      <w:pPr>
        <w:ind w:left="4" w:right="80" w:firstLine="948"/>
        <w:spacing w:after="0" w:line="272" w:lineRule="auto"/>
        <w:tabs>
          <w:tab w:leader="none" w:pos="131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use reasonable best efforts to cause all such Registrable Securities to be listed on each securities exchange on which similar securities issued by the Company are then listed and, if not so listed, to be listed on a securities exchange and, without limiting the generality of the foregoing, to arrange for at least two market markers to register as such with respect to such Registrable Securities with FINRA, and</w:t>
      </w:r>
    </w:p>
    <w:p>
      <w:pPr>
        <w:spacing w:after="0" w:line="1" w:lineRule="exact"/>
        <w:rPr>
          <w:rFonts w:ascii="Times New Roman" w:cs="Times New Roman" w:eastAsia="Times New Roman" w:hAnsi="Times New Roman"/>
          <w:sz w:val="17"/>
          <w:szCs w:val="17"/>
          <w:color w:val="auto"/>
        </w:rPr>
      </w:pPr>
    </w:p>
    <w:p>
      <w:pPr>
        <w:ind w:left="4" w:right="400" w:hanging="4"/>
        <w:spacing w:after="0" w:line="260" w:lineRule="auto"/>
        <w:tabs>
          <w:tab w:leader="none" w:pos="2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(and continue to comply) with the requirements of any self-regulatory organization applicable to the Company, including without limitation all corporate governance requirements;</w:t>
      </w:r>
    </w:p>
    <w:p>
      <w:pPr>
        <w:spacing w:after="0" w:line="73" w:lineRule="exact"/>
        <w:rPr>
          <w:rFonts w:ascii="Times New Roman" w:cs="Times New Roman" w:eastAsia="Times New Roman" w:hAnsi="Times New Roman"/>
          <w:sz w:val="18"/>
          <w:szCs w:val="18"/>
          <w:color w:val="auto"/>
        </w:rPr>
      </w:pPr>
    </w:p>
    <w:p>
      <w:pPr>
        <w:ind w:left="4" w:right="20" w:firstLine="948"/>
        <w:spacing w:after="0" w:line="282" w:lineRule="auto"/>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provide a transfer agent and registrar for all such Registrable Securities not later than the effective date of such registration statement;</w:t>
      </w:r>
    </w:p>
    <w:p>
      <w:pPr>
        <w:spacing w:after="0" w:line="53" w:lineRule="exact"/>
        <w:rPr>
          <w:rFonts w:ascii="Times New Roman" w:cs="Times New Roman" w:eastAsia="Times New Roman" w:hAnsi="Times New Roman"/>
          <w:sz w:val="18"/>
          <w:szCs w:val="18"/>
          <w:color w:val="auto"/>
        </w:rPr>
      </w:pPr>
    </w:p>
    <w:p>
      <w:pPr>
        <w:ind w:left="4" w:right="220" w:firstLine="948"/>
        <w:spacing w:after="0" w:line="281" w:lineRule="auto"/>
        <w:tabs>
          <w:tab w:leader="none" w:pos="12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and perform such customary agreements (including, as applicable, underwriting agreements in customary form) and take all such other actions as the underwriters, if any, reasonably request in order to expedite or facilitate the disposition of such Registrable Securities (including, without limitation, making available the executive officers of the Company and participating in “road shows,” investor presentations, marketing events and other selling efforts and effecting a share or unit split or combination, recapitalization or reorganization);</w:t>
      </w:r>
    </w:p>
    <w:p>
      <w:pPr>
        <w:spacing w:after="0" w:line="56" w:lineRule="exact"/>
        <w:rPr>
          <w:rFonts w:ascii="Times New Roman" w:cs="Times New Roman" w:eastAsia="Times New Roman" w:hAnsi="Times New Roman"/>
          <w:sz w:val="17"/>
          <w:szCs w:val="17"/>
          <w:color w:val="auto"/>
        </w:rPr>
      </w:pPr>
    </w:p>
    <w:p>
      <w:pPr>
        <w:ind w:left="4" w:firstLine="948"/>
        <w:spacing w:after="0" w:line="256" w:lineRule="auto"/>
        <w:tabs>
          <w:tab w:leader="none" w:pos="121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any underwriter participating in any disposition or sale pursuant to such registration statement and any attorney, accountant or other agent retained by any such seller or underwriter, all financial and other records, pertinent corporate and business documents and properties of the Company as will be necessary to enable them to exercise their due diligence responsibility, and cause the Company’s officers, directors, employees, agents, representatives and independent accountants to supply all information reasonably requested by any such seller, underwriter, attorney, accountant or agent in connection with such registration statement and the disposition of such Registrable Securities pursuant thereto;</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70" w:right="459" w:bottom="1440" w:gutter="0" w:footer="0" w:header="0"/>
        </w:sectPr>
      </w:pPr>
    </w:p>
    <w:bookmarkStart w:id="9" w:name="page10"/>
    <w:bookmarkEnd w:id="9"/>
    <w:p>
      <w:pPr>
        <w:jc w:val="both"/>
        <w:ind w:right="100" w:firstLine="948"/>
        <w:spacing w:after="0" w:line="258" w:lineRule="auto"/>
        <w:tabs>
          <w:tab w:leader="none" w:pos="1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take all actions to ensure that any Free Writing Prospectus utilized in connection with any Shelf Offering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prospectus supplement and related documents, will not contain any untrue statement of a material fact or omit to state a material fact necessary to make the statements therein, in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ind w:firstLine="948"/>
        <w:spacing w:after="0" w:line="261" w:lineRule="auto"/>
        <w:tabs>
          <w:tab w:leader="none" w:pos="13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reasonable best efforts to comply with all applicable rules and regulations of the SEC, and make available to its security holders, as soon as reasonably practicable, an earnings statement covering the period of at least twelve (12) months beginning with the first day of the Company’s first full calendar quarter after the effective date of the registration statement, which earnings statement will satisfy the provisions of Section 11(a) of the Securities Act and Rule 158 thereunder;</w:t>
      </w:r>
    </w:p>
    <w:p>
      <w:pPr>
        <w:spacing w:after="0" w:line="71" w:lineRule="exact"/>
        <w:rPr>
          <w:rFonts w:ascii="Times New Roman" w:cs="Times New Roman" w:eastAsia="Times New Roman" w:hAnsi="Times New Roman"/>
          <w:sz w:val="18"/>
          <w:szCs w:val="18"/>
          <w:color w:val="auto"/>
        </w:rPr>
      </w:pPr>
    </w:p>
    <w:p>
      <w:pPr>
        <w:ind w:right="100" w:firstLine="948"/>
        <w:spacing w:after="0" w:line="261" w:lineRule="auto"/>
        <w:tabs>
          <w:tab w:leader="none" w:pos="13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best efforts to prevent the issuance of any stop order suspending the effectiveness of a registration statement, or the issuance of any order suspending or preventing the use of any related prospectus or suspending the qualification of any Common Equity included in such registration statement for sale in any jurisdiction use, and in the event any such order is issued, reasonable best efforts to obtain promptly the withdrawal of such order;</w:t>
      </w:r>
    </w:p>
    <w:p>
      <w:pPr>
        <w:spacing w:after="0" w:line="71" w:lineRule="exact"/>
        <w:rPr>
          <w:rFonts w:ascii="Times New Roman" w:cs="Times New Roman" w:eastAsia="Times New Roman" w:hAnsi="Times New Roman"/>
          <w:sz w:val="18"/>
          <w:szCs w:val="18"/>
          <w:color w:val="auto"/>
        </w:rPr>
      </w:pPr>
    </w:p>
    <w:p>
      <w:pPr>
        <w:ind w:right="40" w:firstLine="948"/>
        <w:spacing w:after="0" w:line="258" w:lineRule="auto"/>
        <w:tabs>
          <w:tab w:leader="none" w:pos="13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Investor and the managing underwriter or agent, if any, to facilitate the timely preparation and delivery of certificates representing Registrable Securities to be sold and not bearing any restrictive legends (or arrange for book entry transfer of securities in the case of uncertificated securities), and enable such Registrable Securities to be in such denominations and registered in such names as the managing underwriter, or agent, if any, or the Investor may request at least two (2) Business Days prior to any proposed sale of Registrable Securities to the underwriters;</w:t>
      </w:r>
    </w:p>
    <w:p>
      <w:pPr>
        <w:spacing w:after="0" w:line="75" w:lineRule="exact"/>
        <w:rPr>
          <w:rFonts w:ascii="Times New Roman" w:cs="Times New Roman" w:eastAsia="Times New Roman" w:hAnsi="Times New Roman"/>
          <w:sz w:val="18"/>
          <w:szCs w:val="18"/>
          <w:color w:val="auto"/>
        </w:rPr>
      </w:pPr>
    </w:p>
    <w:p>
      <w:pPr>
        <w:ind w:right="140" w:firstLine="948"/>
        <w:spacing w:after="0" w:line="282" w:lineRule="auto"/>
        <w:tabs>
          <w:tab w:leader="none" w:pos="12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any prohibition is applicable to the Company, the Company will take such action as is necessary to make any such prohibition inapplicable;</w:t>
      </w:r>
    </w:p>
    <w:p>
      <w:pPr>
        <w:spacing w:after="0" w:line="53" w:lineRule="exact"/>
        <w:rPr>
          <w:rFonts w:ascii="Times New Roman" w:cs="Times New Roman" w:eastAsia="Times New Roman" w:hAnsi="Times New Roman"/>
          <w:sz w:val="18"/>
          <w:szCs w:val="18"/>
          <w:color w:val="auto"/>
        </w:rPr>
      </w:pPr>
    </w:p>
    <w:p>
      <w:pPr>
        <w:ind w:right="120" w:firstLine="948"/>
        <w:spacing w:after="0" w:line="258" w:lineRule="auto"/>
        <w:tabs>
          <w:tab w:leader="none" w:pos="13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each underwriter or agent participating in the disposition of such Registrable Securities and their respective counsel in connection with the preparation and filing of applications, notices, registrations and responses to requests for additional information with FINRA, the New York Stock Exchange, Nasdaq or any other national securities exchange on which the shares of Common Equity are or are to be listed, and (B) to the extent required by the rules and regulations of FINRA, retain a Qualified Independent Underwriter acceptable to the managing underwriter;</w:t>
      </w:r>
    </w:p>
    <w:p>
      <w:pPr>
        <w:spacing w:after="0" w:line="75" w:lineRule="exact"/>
        <w:rPr>
          <w:rFonts w:ascii="Times New Roman" w:cs="Times New Roman" w:eastAsia="Times New Roman" w:hAnsi="Times New Roman"/>
          <w:sz w:val="18"/>
          <w:szCs w:val="18"/>
          <w:color w:val="auto"/>
        </w:rPr>
      </w:pPr>
    </w:p>
    <w:p>
      <w:pPr>
        <w:ind w:right="440" w:firstLine="948"/>
        <w:spacing w:after="0" w:line="266" w:lineRule="auto"/>
        <w:tabs>
          <w:tab w:leader="none" w:pos="13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Underwritten Offering, use its reasonable best efforts to obtain, and deliver to the underwriter(s), in the manner and to the extent provided for in the applicable underwriting agreement, one or more cold comfort letters from the Company’s independent public accountants in customary form and covering such matters of the type customarily covered by cold comfort letters;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left="440" w:right="20" w:firstLine="948"/>
        <w:spacing w:after="0" w:line="253" w:lineRule="auto"/>
        <w:tabs>
          <w:tab w:leader="none" w:pos="188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reasonable best efforts to provide (A) a legal opinion of the Company’s outside counsel, dated the effective date of such registration statement addressed to the Company, (B) on the date that such Registrable Securities are delivered to the underwriters for sale in connection with a Shelf Offering, if such securities are being sold through underwriters, or, if such securities are not being sold through underwriters, on the closing date of the applicable sale, (1) one or more legal opinions of the Company’s outside counsel, dated such date, in form and substance as customarily given to underwriters in an Underwritten Offering or, in the case of a non- Underwritten Offering, to the broker, placement agent or other agent of the Investor assisting in the sale of the Registrable Securities and (2) one or more “negative assurances letters” of the Company’s outside counsel, dated such date, in form and substance as is customarily given to underwriters in an Underwritten Offering or, in the case of a non- Underwritten Offering, to the broker, placement agent or other agent of the Company assisting in the sale of the Registrable Securities, in each case, addressed to the underwriters, if any, or, if requested, in the case of a non- Underwritten Offering, to the broker, placement agent or other agent of the Company assisting in the sale of the Registrable Securities and (3) customary certificates executed by authorized officers of the Company as may be requested by any underwriter of such Registrable Securities; and</w:t>
      </w:r>
    </w:p>
    <w:p>
      <w:pPr>
        <w:spacing w:after="0" w:line="83"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78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pay the filing fee covering the Registrable Securities at the time a Shelf Registration Statement is filed, pay such fee at such time or times as the Registrable Securities are to be sold.</w:t>
      </w:r>
    </w:p>
    <w:p>
      <w:pPr>
        <w:spacing w:after="0" w:line="53"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The Company may require the Investor to furnish the Company such information regarding such seller and the distribution of such securities as the Company may from time to time reasonably request in writing, as a condition to such seller’s participation in such registration.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Except as expressly provided herein, all reasonable out-of-pocket expenses incurred by the Company or the Investor in connection with the performance of or compliance with this Agreement and/or in connection with any Shelf Offering, whether or not the same shall become effective, shall be paid by the Company, including, without limitation: (i) all registration and filing fees, and any other fees and expenses associated with filings required to be made with the SEC or FINRA, (ii) all fees and expenses in connection with compliance with any securities or “blue sky” laws, (iii) all printing, duplicating, word processing, messenger, telephone, facsimile and delivery expenses (including expenses of printing certificates for the Registrable Securities in a form eligible for deposit with The Depository Trust Company or other depositary and of printing prospectuses and Company Free Writing Prospectuses), (iv) all fees and disbursements of counsel for the Company and of all independent certified public accountants of the Company (including the expenses of any special audit and cold comfort letters required by or incident to such performance), (v) Securities Act liability insurance or similar insurance if the Company so desires or the underwriters so require in accordance with then-customary underwriting practice, (vi) all fees and expenses incurred in connection with the listing of the Registrable Securities on any securities exchange on which similar securities of the Company are then listed, (vii) all applicable rating agency fees with respect to the Registrable Securities, (viii) all fees and disbursements of legal counsel for the Company, (ix) any fees and disbursements of underwriters customarily paid by issuers or sellers of securities and (x) all of the Company’s internal expenses (including all salaries and expenses of its officers and employees performing legal or accounting duties). All such expenses are referred to herein as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not be required to pay, and the Investor will bear and pay, all fees and disbursements of legal counsel for the Investor, all underwriting discounts and commissions applicable to the Registrable Securities sold for its account and all transfer taxes (if any) attributable to the sale of Registrable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1"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the Company</w:t>
      </w:r>
      <w:r>
        <w:rPr>
          <w:rFonts w:ascii="Times New Roman" w:cs="Times New Roman" w:eastAsia="Times New Roman" w:hAnsi="Times New Roman"/>
          <w:sz w:val="18"/>
          <w:szCs w:val="18"/>
          <w:color w:val="auto"/>
        </w:rPr>
        <w:t>. The Company will indemnify and hold harmless, to the fullest extent permitted by law and without limitation as to time, the Investor, the Investor’s officers, directors employees, agents, fiduciaries, stockholders, managers, partners, members, Affiliates, direct and indirect equityholders, consultants and representatives, and any successors and assigns thereof, and each Person who controls the Investor (within the meaning of the Securities Act)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all losses, claims, actions, damages, liabilities and expenses (including with respect to actions or proceedings, whether commenced or threatened, and including reasonable attorney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caused by, resulting from, arising out of, based upon or related to any of the following (each, a “</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xml:space="preserve">”) by the Company: (i) any untrue or alleged untrue statement of material fact contained in (A) any registration statement, prospectus, preliminary prospectus or Free Writing Prospectus, or any amendment thereof or supplement thereto or (B) any application or other document or communication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collectively called an “</w:t>
      </w: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executed by or on behalf of the Company or based upon written information furnished by or on behalf of the Company filed in any jurisdiction in order to qualify any securities covered by such registration under the “blue sky” or securities laws thereof, (ii) any omission or alleged omission of a material fact required to be stated therein or necessary to make the statements therein not misleading or (iii) any violation or alleged violation by the Company of the Securities Act or any other similar federal or state securities laws or any rule or regulation promulgated thereunder applicable to the Company and relating to action or inaction required of the Company in connection with any such registration, qualification or compliance. In addition, the Company will reimburse such Indemnified Party for any legal or any other expenses reasonably incurred by them in connection with investigating or defending any such Losses. Notwithstanding the foregoing, the Company will not be liable in any such case to the extent that any such Losses result from, arise out of, are based upon, or relate to an untrue statement or alleged untrue statement, or omission or alleged omission, made in such registration statement, any such prospectus, preliminary prospectus or Free Writing Prospectus or any amendment or supplement thereto, or in any application, in reliance upon, and in conformity with, written information prepared and furnished in writing to the Company by such Indemnified Party expressly for use therein or by such Indemnified Party’s failure to deliver a copy of the registration statement or prospectus or any amendments or supplements thereto after the Company has furnished such Indemnified Party with a sufficient number of copies of the same. In connection with an Underwritten Offering, the Company will indemnify such underwriters, their officers and directors, and each Person who controls such underwriters (within the meaning of the Securities Act) to the same extent as provided above with respect to the indemnification of the Indemnified Parties or as otherwise agreed to in the underwriting agreement executed in connection with such Underwritten Offering. Such indemnity and reimbursement of expenses shall remain in full force and effect regardless of any investigation made by or on behalf of such Indemnified Party and shall survive the transfer of such securities by such seller.</w:t>
      </w:r>
    </w:p>
    <w:p>
      <w:pPr>
        <w:spacing w:after="0" w:line="96"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Investor</w:t>
      </w:r>
      <w:r>
        <w:rPr>
          <w:rFonts w:ascii="Times New Roman" w:cs="Times New Roman" w:eastAsia="Times New Roman" w:hAnsi="Times New Roman"/>
          <w:sz w:val="18"/>
          <w:szCs w:val="18"/>
          <w:color w:val="auto"/>
        </w:rPr>
        <w:t xml:space="preserve">. In connection with any Shelf Registration Statement, the Investor will furnish to the Company in writing such information and affidavits as the Company reasonably requests for use in connection with any such registration statement or prospectus and, to the extent permitted by law, will indemnify the Company, its officers, directors, employees, agents and representatives, and each Person who controls the Company (within the meaning of the Securities Act) against any Losses resulting from (as determined by a final and appealable judgment, order or decree of a court of competent jurisdiction)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will be individual, not joint and several, for the Investor and will be limited to the net amount of proceeds received by the Investor from the sale of Registrable Securities pursuant to such registration statement.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2" w:name="page13"/>
    <w:bookmarkEnd w:id="12"/>
    <w:p>
      <w:pPr>
        <w:ind w:right="40" w:firstLine="987"/>
        <w:spacing w:after="0" w:line="253"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Claim Procedure</w:t>
      </w:r>
      <w:r>
        <w:rPr>
          <w:rFonts w:ascii="Times New Roman" w:cs="Times New Roman" w:eastAsia="Times New Roman" w:hAnsi="Times New Roman"/>
          <w:sz w:val="18"/>
          <w:szCs w:val="18"/>
          <w:color w:val="auto"/>
        </w:rPr>
        <w:t>. 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prompt notice will impair any Person’s right to indemnification hereunder only to the extent such failure has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will not be subject to any liability for any settlement made by the indemnified party without its consent (but such consent will not be unreasonably withheld, conditioned or delayed). An indemnifying party who is not entitled to, or elects not to, assume the defense of a claim will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conflicted indemnified parties will have a right to retain one separate counsel, chosen by the majority of the conflicted indemnified parties involved in the indemnification and approved by the Investor, at the expense of the indemnifying party.</w:t>
      </w:r>
    </w:p>
    <w:p>
      <w:pPr>
        <w:spacing w:after="0" w:line="83"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is held by a court of competent jurisdiction to be unavailable to, or is insufficient to hold harmless, an indemnified party or is otherwise unenforceable with respect to any Loss referred to herein, then such indemnifying party will contribute to the amounts paid or payable by such indemnified party as a result of such Loss, (i) in such proportion as is appropriate to reflect the relative fault of the indemnifying party on the one hand and of the indemnified party on the other hand in connection with the statements or omissions which resulted in such Loss as well as any other relevant equitable considerations or (ii) if the allocation provided by clause (i) of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is not permitted by applicable law, then in such proportion as is appropriate to reflect not only such relative fault but also the relative benefit of the Company on the one hand and of the sellers of Registrable Securities and any other sellers participating in the registration statement on the other in connection with the statement or omissions which resulted in such Losses,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maximum amount of liability in respect of such contribution will be limited, in the case of each seller of Registrable Securities, to an amount equal to the net proceeds actually received by such seller from the sale of Registrable Securities effected pursuant to such registration. The relative fault of the indemnifying party and of the indemnified party will be determined by reference to, among other things, whether the untrue (or, as applicable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the contribution pursuant to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such equitable considerations. The amount paid or payable by an indemnified party as a result of the Losses referred to herein will be deemed to include any legal or other expenses reasonably incurred by such indemnified party in connection with investigating or defending against any action or claim which is the subject hereof. No person guilty of fraudulent misrepresentation (within the meaning of </w:t>
      </w:r>
      <w:r>
        <w:rPr>
          <w:rFonts w:ascii="Times New Roman" w:cs="Times New Roman" w:eastAsia="Times New Roman" w:hAnsi="Times New Roman"/>
          <w:sz w:val="18"/>
          <w:szCs w:val="18"/>
          <w:u w:val="single" w:color="auto"/>
          <w:color w:val="auto"/>
        </w:rPr>
        <w:t>Section 10(f)</w:t>
      </w:r>
      <w:r>
        <w:rPr>
          <w:rFonts w:ascii="Times New Roman" w:cs="Times New Roman" w:eastAsia="Times New Roman" w:hAnsi="Times New Roman"/>
          <w:sz w:val="18"/>
          <w:szCs w:val="18"/>
          <w:color w:val="auto"/>
        </w:rPr>
        <w:t xml:space="preserve"> of the Securities Act) will be entitled to contribution from any Person who is not guilty of such fraudulent misrepresentation.</w:t>
      </w:r>
    </w:p>
    <w:p>
      <w:pPr>
        <w:spacing w:after="0" w:line="82"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No indemnifying party will, except with the consent of the indemnified party, consent to the entry of any judgment or enter into any settlement that does not include as an unconditional term thereof giving by the claimant or plaintiff to such indemnified party of a release from all liability in respect to such claim or litigation.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3" w:name="page14"/>
    <w:bookmarkEnd w:id="13"/>
    <w:p>
      <w:pPr>
        <w:ind w:firstLine="987"/>
        <w:spacing w:after="0" w:line="258" w:lineRule="auto"/>
        <w:tabs>
          <w:tab w:leader="none" w:pos="1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Non-exclusive Remedy; Survival</w:t>
      </w:r>
      <w:r>
        <w:rPr>
          <w:rFonts w:ascii="Times New Roman" w:cs="Times New Roman" w:eastAsia="Times New Roman" w:hAnsi="Times New Roman"/>
          <w:sz w:val="18"/>
          <w:szCs w:val="18"/>
          <w:color w:val="auto"/>
        </w:rPr>
        <w:t xml:space="preserve">. 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applies) and will remain in full force and effect regardless of any investigation made by or on behalf of the indemnified party or any officer, director or controlling Person of such indemnified party and will survive the transfer of Registrable Securities and the termination or expiration of this Agreement.</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Cooperation with Underwritten Offerings</w:t>
      </w:r>
      <w:r>
        <w:rPr>
          <w:rFonts w:ascii="Times New Roman" w:cs="Times New Roman" w:eastAsia="Times New Roman" w:hAnsi="Times New Roman"/>
          <w:sz w:val="18"/>
          <w:szCs w:val="18"/>
          <w:color w:val="auto"/>
        </w:rPr>
        <w:t xml:space="preserve">. No Person may participate in any underwritten registration hereunder unless such Person (i) agrees to sell such Person’s securities on the basis provided in any underwriting arrangements approved by the Person or Persons entitled hereunder to approve such arrangements (including, without limitation, pursuant to the terms of any over-allotment or “green shoe” option requested by the underwriters;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will not be required to sell more than the number of Registrable Securities it has requested to include in such registration) and (ii) completes, executes and delivers all questionnaires, powers of attorney, stock powers, custody agreements, indemnities, underwriting agreements and other documents and agreements required under the terms of such underwriting arrangements or as may be reasonably requested by the Company and the lead managing underwriter(s). To the extent that any such agreement is entered into pursuant to, and consistent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and/or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respective rights and obligations created under such agreement will supersede the respective rights and obligations of the Investor, the Company and the underwriters created thereby with respect to such registration.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Transfer of Registrable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Transfers</w:t>
      </w:r>
      <w:r>
        <w:rPr>
          <w:rFonts w:ascii="Times New Roman" w:cs="Times New Roman" w:eastAsia="Times New Roman" w:hAnsi="Times New Roman"/>
          <w:sz w:val="18"/>
          <w:szCs w:val="18"/>
          <w:color w:val="auto"/>
        </w:rPr>
        <w:t>. Prior to transferring any Registrable Securities to any Person (including, without limitation, by operation of law), the Investor must first obtain the prior written consent of the Company, except that such consent shall not be required in the case of (i) a transfer to the Company, (ii) a Public Offering, (iii) a sale pursuant to Rule 144, (v) a transfer in connection with a Sale of the Company, and/or (vi) a transfer to one or more Affiliates of Investor (in which case Investor may assign their rights hereunder in respect of such transferred Registrable Securities, so long as Investor is not relieved of any liability or obligations hereunder). Any transfer or attempted transfer of Registrable Securities in violation of any provision of this Agreement will be void, and the Company will not record such transfer on its books or treat any purported transferee of such Registrable Securities as the owner thereof for any purpose (but the Company will be entitled to enforce against such Person the obligations hereunder).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87"/>
        <w:spacing w:after="0" w:line="25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Except as otherwise provided herein, the provisions of this Agreement may be amended, modified or waived only with the prior written consent of the Company and the Investor. The failure or delay of any Person to enforce any of the provisions of this Agreement will in no way be construed as a waiver of such provisions and will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will not be deemed to be a consent or waiver to or of any other breach or default in the performance by that Person of the same or any other obligations of that Person under this Agreement.</w:t>
      </w:r>
    </w:p>
    <w:p>
      <w:pPr>
        <w:spacing w:after="0" w:line="187"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parties to this Agreement will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4" w:name="page15"/>
    <w:bookmarkEnd w:id="14"/>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damages would not be an adequate remedy for any such breach and that, in addition to any other rights and remedies existing hereunder, any party will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176" w:lineRule="exact"/>
        <w:rPr>
          <w:sz w:val="20"/>
          <w:szCs w:val="20"/>
          <w:color w:val="auto"/>
        </w:rPr>
      </w:pPr>
    </w:p>
    <w:p>
      <w:pPr>
        <w:ind w:firstLine="987"/>
        <w:spacing w:after="0" w:line="258"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will not affect the validity, legality or enforceability of any other provision of this Agreement in such jurisdiction or in any other jurisdiction, but this Agreement will be reformed, construed and enforced in such jurisdiction as if such prohibited, invalid, illegal or unenforceable provision had never been contained herein.</w:t>
      </w:r>
    </w:p>
    <w:p>
      <w:pPr>
        <w:spacing w:after="0" w:line="18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175"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this Agreement will bind and inure to the benefit and be enforceable by the Company and its successors and permitted assigns and the Investor and its successors and permitted assigns (whether so expressed or not).</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1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demand or other communication to be given under or by reason of the provisions of this Agreement will be in writing and will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will be sent to the Company at the address specified on the signature page hereto and to any holder, or at such address or to the attention of such other Person as the recipient party has specified by prior written notice to the sending party. Any party may change such party’s address for receipt of notice by giving prior written notice of the change to the sending party as provided herein. The Company’s address is: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Emmy Noetherweg 2</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2333 BK Leiden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Netherlands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David Nassif</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David.Nassif@pharvaris.com</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With a copy to:</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Sophia Hudson, P.C.; Jennifer L. Lee, P.C.</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Sophia.hudson@kirkland.com; Jennifer.lee@kirkland.com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address or to the attention of such other person as the recipient party has specified by prior written notice to the sending party.</w:t>
      </w:r>
    </w:p>
    <w:p>
      <w:pPr>
        <w:spacing w:after="0" w:line="225" w:lineRule="exact"/>
        <w:rPr>
          <w:sz w:val="20"/>
          <w:szCs w:val="20"/>
          <w:color w:val="auto"/>
        </w:rPr>
      </w:pPr>
    </w:p>
    <w:p>
      <w:pPr>
        <w:ind w:right="340" w:firstLine="987"/>
        <w:spacing w:after="0" w:line="282"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that is not a Business Day, the time period will automatically be extended to the Business Day immediately following such Saturday, Sunday or legal holiday.</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issues and questions concerning the construction, validity, interpretation and enforcement of this Agreement and the exhibits and schedules hereto will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In furtherance of the foregoing, the internal law of the State of New York will control the interpretation and construction of this Agreement (and all schedules and exhibits hereto), even though under that jurisdiction’s choice of law or conflict of law analysis, the substantive law of some other jurisdiction would ordinarily apply.</w:t>
      </w:r>
    </w:p>
    <w:p>
      <w:pPr>
        <w:spacing w:after="0" w:line="187" w:lineRule="exact"/>
        <w:rPr>
          <w:rFonts w:ascii="Times New Roman" w:cs="Times New Roman" w:eastAsia="Times New Roman" w:hAnsi="Times New Roman"/>
          <w:sz w:val="18"/>
          <w:szCs w:val="18"/>
          <w:color w:val="auto"/>
        </w:rPr>
      </w:pPr>
    </w:p>
    <w:p>
      <w:pPr>
        <w:ind w:right="100" w:firstLine="987"/>
        <w:spacing w:after="0" w:line="261" w:lineRule="auto"/>
        <w:tabs>
          <w:tab w:leader="none" w:pos="1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WAIVER OF JURY TRIAL</w:t>
      </w:r>
      <w:r>
        <w:rPr>
          <w:rFonts w:ascii="Times New Roman" w:cs="Times New Roman" w:eastAsia="Times New Roman" w:hAnsi="Times New Roman"/>
          <w:sz w:val="18"/>
          <w:szCs w:val="18"/>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AND SERVICE OF PROCESS</w:t>
      </w:r>
      <w:r>
        <w:rPr>
          <w:rFonts w:ascii="Times New Roman" w:cs="Times New Roman" w:eastAsia="Times New Roman" w:hAnsi="Times New Roman"/>
          <w:sz w:val="18"/>
          <w:szCs w:val="18"/>
          <w:color w:val="auto"/>
        </w:rPr>
        <w:t>. EACH OF THE PARTIES IRREVOCABLY SUBMITS TO THE NON-EXCLUSIVE JURISDICTION OF THE UNITED STATES DISTRICT COURT FOR THE DISTRICT OF NEW YORK,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WILL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NEW YORK, AND HEREBY AND THEREBY FURTHER IRREVOCABLY AND UNCONDITIONALLY WAIVES AND AGREES NOT TO PLEAD OR CLAIM IN ANY SUCH COURT THAT ANY SUCH ACTION, SUIT OR PROCEEDING BROUGHT IN ANY SUCH COURT HAS BEEN BROUGHT IN AN INCONVENIENT FORUM.</w:t>
      </w:r>
    </w:p>
    <w:p>
      <w:pPr>
        <w:spacing w:after="0" w:line="189" w:lineRule="exact"/>
        <w:rPr>
          <w:rFonts w:ascii="Times New Roman" w:cs="Times New Roman" w:eastAsia="Times New Roman" w:hAnsi="Times New Roman"/>
          <w:sz w:val="18"/>
          <w:szCs w:val="18"/>
          <w:color w:val="auto"/>
        </w:rPr>
      </w:pPr>
    </w:p>
    <w:p>
      <w:pPr>
        <w:ind w:right="100" w:firstLine="987"/>
        <w:spacing w:after="0" w:line="272" w:lineRule="auto"/>
        <w:tabs>
          <w:tab w:leader="none" w:pos="124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Recourse</w:t>
      </w:r>
      <w:r>
        <w:rPr>
          <w:rFonts w:ascii="Times New Roman" w:cs="Times New Roman" w:eastAsia="Times New Roman" w:hAnsi="Times New Roman"/>
          <w:sz w:val="17"/>
          <w:szCs w:val="17"/>
          <w:color w:val="auto"/>
        </w:rPr>
        <w:t>. Notwithstanding anything to the contrary in this Agreement, the Company and the Investor agrees and acknowledges that no recourse under this Agreement or any documents or instruments delivered in connection with this Agreement, will be had against any current or future director, officer, employee, general or limited partner or member of the Investor or any Affiliate or assignee thereof, whether by the enforcement of any assessment or by any legal or equitable proceeding, or by virtue of any statute, regulation or other applicable law, it being expressly agreed and acknowledged that no personal liability whatsoever will attach to, be imposed on or otherwise be incurred by any current or future officer, agent or employee of the Investor or any current or future member of the Investor or any current or future director, officer, employee, partner or member of the Investor or of any Affiliate or assignee thereof, as such for any obligation of the Investor under this Agreement or any documents or instruments delivered in connection with this Agreement for any claim based on, in respect of or by reason of such obligations or their creation.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left="-40" w:right="660" w:firstLine="987"/>
        <w:spacing w:after="0" w:line="282" w:lineRule="auto"/>
        <w:tabs>
          <w:tab w:leader="none" w:pos="11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part of this Agreement. The use of the word “including” in this Agreement will be by way of example rather than by limitation.</w:t>
      </w:r>
    </w:p>
    <w:p>
      <w:pPr>
        <w:spacing w:after="0" w:line="161" w:lineRule="exact"/>
        <w:rPr>
          <w:rFonts w:ascii="Times New Roman" w:cs="Times New Roman" w:eastAsia="Times New Roman" w:hAnsi="Times New Roman"/>
          <w:sz w:val="18"/>
          <w:szCs w:val="18"/>
          <w:color w:val="auto"/>
        </w:rPr>
      </w:pPr>
    </w:p>
    <w:p>
      <w:pPr>
        <w:ind w:left="-40" w:right="540" w:firstLine="987"/>
        <w:spacing w:after="0" w:line="282" w:lineRule="auto"/>
        <w:tabs>
          <w:tab w:leader="none" w:pos="12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hereto to express their mutual intent, and no rule of strict construction will be applied against any party.</w:t>
      </w:r>
    </w:p>
    <w:p>
      <w:pPr>
        <w:spacing w:after="0" w:line="161" w:lineRule="exact"/>
        <w:rPr>
          <w:rFonts w:ascii="Times New Roman" w:cs="Times New Roman" w:eastAsia="Times New Roman" w:hAnsi="Times New Roman"/>
          <w:sz w:val="18"/>
          <w:szCs w:val="18"/>
          <w:color w:val="auto"/>
        </w:rPr>
      </w:pPr>
    </w:p>
    <w:p>
      <w:pPr>
        <w:ind w:left="-40" w:right="40" w:firstLine="987"/>
        <w:spacing w:after="0" w:line="282"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any one of which need not contain the signature of more than one party, but all such counterparts taken together will constitute one and the same agreement.</w:t>
      </w:r>
    </w:p>
    <w:p>
      <w:pPr>
        <w:spacing w:after="0" w:line="161" w:lineRule="exact"/>
        <w:rPr>
          <w:rFonts w:ascii="Times New Roman" w:cs="Times New Roman" w:eastAsia="Times New Roman" w:hAnsi="Times New Roman"/>
          <w:sz w:val="18"/>
          <w:szCs w:val="18"/>
          <w:color w:val="auto"/>
        </w:rPr>
      </w:pPr>
    </w:p>
    <w:p>
      <w:pPr>
        <w:ind w:left="-40" w:firstLine="987"/>
        <w:spacing w:after="0" w:line="254"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jc w:val="both"/>
        <w:ind w:left="-40" w:right="220" w:firstLine="987"/>
        <w:spacing w:after="0" w:line="266"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Agreement and the transactions contemplated hereby, the Investor agrees to execute and deliver any additional documents and instruments and perform any additional acts that may be necessary or appropriate to effectuate and perform the provisions of this Agreement and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40" w:right="280" w:firstLine="987"/>
        <w:spacing w:after="0" w:line="266"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Recapitalizations, Etc.</w:t>
      </w:r>
      <w:r>
        <w:rPr>
          <w:rFonts w:ascii="Times New Roman" w:cs="Times New Roman" w:eastAsia="Times New Roman" w:hAnsi="Times New Roman"/>
          <w:sz w:val="18"/>
          <w:szCs w:val="18"/>
          <w:color w:val="auto"/>
        </w:rPr>
        <w:t xml:space="preserve"> If at any time or from time to time there is any change in the capital structure of the Company by way of a share split, share dividend, combination or reclassification, or through a merger, consolidation, reorganization or recapitalization, or by any other means, appropriate adjustment will be made in the provisions hereof so that the rights and privileges granted hereby will continue.</w:t>
      </w:r>
    </w:p>
    <w:p>
      <w:pPr>
        <w:spacing w:after="0" w:line="175" w:lineRule="exact"/>
        <w:rPr>
          <w:rFonts w:ascii="Times New Roman" w:cs="Times New Roman" w:eastAsia="Times New Roman" w:hAnsi="Times New Roman"/>
          <w:sz w:val="18"/>
          <w:szCs w:val="18"/>
          <w:color w:val="auto"/>
        </w:rPr>
      </w:pPr>
    </w:p>
    <w:p>
      <w:pPr>
        <w:ind w:left="-40" w:right="100" w:firstLine="987"/>
        <w:spacing w:after="0" w:line="282" w:lineRule="auto"/>
        <w:tabs>
          <w:tab w:leader="none" w:pos="11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 term or provision of this Agreement is intended to be, or shall be, for the benefit of any Person not a party hereto, and no such other Person shall have any right or cause of action hereunder, except as otherwise expressly provided herein.</w:t>
      </w:r>
    </w:p>
    <w:p>
      <w:pPr>
        <w:spacing w:after="0" w:line="162" w:lineRule="exact"/>
        <w:rPr>
          <w:sz w:val="20"/>
          <w:szCs w:val="20"/>
          <w:color w:val="auto"/>
        </w:rPr>
      </w:pPr>
    </w:p>
    <w:p>
      <w:pPr>
        <w:jc w:val="center"/>
        <w:ind w:right="20"/>
        <w:spacing w:after="0"/>
        <w:tabs>
          <w:tab w:leader="none" w:pos="160" w:val="left"/>
          <w:tab w:leader="none" w:pos="160" w:val="left"/>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 </w:t>
        <w:tab/>
        <w:t xml:space="preserve">* </w:t>
        <w:tab/>
        <w:t xml:space="preserve">* </w:t>
        <w:tab/>
        <w:t xml:space="preserve">* </w:t>
        <w:tab/>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80" w:top="270"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Registration Rights Agreement as of the date first written above.</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Berndt Modig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039"/>
          </w:cols>
          <w:pgMar w:left="1420" w:top="270" w:right="1440"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ATLANTIC PH B.V.</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I.M. van der Hoorn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I.M. van der Hoorn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 A</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J.V. Lepeltak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J.V. Lepeltak</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 B</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Registration Rights Agreement]</w:t>
      </w:r>
    </w:p>
    <w:p>
      <w:pPr>
        <w:sectPr>
          <w:pgSz w:w="11900" w:h="16838" w:orient="portrait"/>
          <w:cols w:equalWidth="0" w:num="1">
            <w:col w:w="9019"/>
          </w:cols>
          <w:pgMar w:left="1440" w:top="266"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means any other Person controlled by, controlling or under common control with such Person and, in the case of an individual, also includes any member of such individual’s Family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Subsidiaries will not be deemed to be Affiliates of any holder of Registrable Securities. As used in this definition, “control” (including, with its correlative meanings, “controlling,” “controlled by” and “under common control with”) will mean possession, directly or indirectly, of power to direct or cause the direction of management or policies (whether through ownership of securities, by contract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that is not a Saturday or Sunday or a day on which banks in New York City are authorized or requested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to close.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Equity</w:t>
      </w:r>
      <w:r>
        <w:rPr>
          <w:rFonts w:ascii="Times New Roman" w:cs="Times New Roman" w:eastAsia="Times New Roman" w:hAnsi="Times New Roman"/>
          <w:sz w:val="18"/>
          <w:szCs w:val="18"/>
          <w:color w:val="auto"/>
        </w:rPr>
        <w:t>” means the Company’s ordinary shares, par value € 0.12.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and shall include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End of 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federal law then in force, together with all rules and regulations promulgated thereunder.</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Family Group</w:t>
      </w:r>
      <w:r>
        <w:rPr>
          <w:rFonts w:ascii="Times New Roman" w:cs="Times New Roman" w:eastAsia="Times New Roman" w:hAnsi="Times New Roman"/>
          <w:sz w:val="18"/>
          <w:szCs w:val="18"/>
          <w:color w:val="auto"/>
        </w:rPr>
        <w:t>” means with respect to any individual, such individual’s current or former spouse, their respective parents, descendants of such parents (whether natural or adopted) and the spouses of such descendants, any trust, limited partnership, corporation or limited liability company established solely for the benefit of such individual or such individual’s current or former spouse, their respective parents, descendants of such parents (whether natural or adopted) or the spouses of such descendants.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means a free-writing prospectus, as defined in Rule 405.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62" w:lineRule="exact"/>
        <w:rPr>
          <w:sz w:val="20"/>
          <w:szCs w:val="20"/>
          <w:color w:val="auto"/>
        </w:rPr>
      </w:pPr>
    </w:p>
    <w:p>
      <w:pPr>
        <w:ind w:right="3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Public Offering</w:t>
      </w:r>
      <w:r>
        <w:rPr>
          <w:rFonts w:ascii="Times New Roman" w:cs="Times New Roman" w:eastAsia="Times New Roman" w:hAnsi="Times New Roman"/>
          <w:sz w:val="17"/>
          <w:szCs w:val="17"/>
          <w:color w:val="auto"/>
        </w:rPr>
        <w:t>” means any sale or distribution by the Company, one of its Subsidiaries and/or the Investor to the public of Common Equity or other securities convertible into or exchangeable for Common Equity pursuant to an offering registered under the Securities Act.</w:t>
      </w:r>
    </w:p>
    <w:p>
      <w:pPr>
        <w:sectPr>
          <w:pgSz w:w="11900" w:h="16838" w:orient="portrait"/>
          <w:cols w:equalWidth="0" w:num="1">
            <w:col w:w="11020"/>
          </w:cols>
          <w:pgMar w:left="440" w:top="266" w:right="439" w:bottom="1440" w:gutter="0" w:footer="0" w:header="0"/>
        </w:sectPr>
      </w:pPr>
    </w:p>
    <w:bookmarkStart w:id="20" w:name="page21"/>
    <w:bookmarkEnd w:id="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Qualified Independent Underwriter</w:t>
      </w:r>
      <w:r>
        <w:rPr>
          <w:rFonts w:ascii="Times New Roman" w:cs="Times New Roman" w:eastAsia="Times New Roman" w:hAnsi="Times New Roman"/>
          <w:sz w:val="18"/>
          <w:szCs w:val="18"/>
          <w:color w:val="auto"/>
        </w:rPr>
        <w:t>” has the meaning set forth by FINRA in Section 5121(f)(12), or any successor provision thereto.</w:t>
      </w:r>
    </w:p>
    <w:p>
      <w:pPr>
        <w:spacing w:after="0" w:line="225" w:lineRule="exact"/>
        <w:rPr>
          <w:sz w:val="20"/>
          <w:szCs w:val="20"/>
          <w:color w:val="auto"/>
        </w:rPr>
      </w:pPr>
    </w:p>
    <w:p>
      <w:pPr>
        <w:ind w:right="10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any Common Equity held (directly or indirectly) by the Investor or any of its Affiliates, and (ii) any equity securities of the Company or any Subsidiary issued or issuable with respect to the securities referred to in clause (i) above by way of dividend, distribution, split or combination of securities, or any recapitalization, merger, consolidation or other reorganization. As to any particular Registrable Securities, such securities will cease to be Registrable Securities when they have been (a) sold or distributed pursuant to a Public Offering, (b) sold in compliance with Rule 144, (c) distributed to the direct or indirect partners or members of the Investor or (d) repurchased by the Company or a Subsidiary of the Company.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(it being understood that a holder of Registrable Securities may only request that Registrable Securities in the form of Common Equity be registered pursuant to this Agreement). Notwithstanding the foregoing, any Registrable Securities held by any Person that may be sold under Rule 144(b)(1)(i) without limitation under any of the other requirements of Rule 144 will be deemed not to be Registrable Securities.</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158</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405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413(b)</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415</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Rule 403B</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Rule 462</w:t>
      </w:r>
      <w:r>
        <w:rPr>
          <w:rFonts w:ascii="Times New Roman" w:cs="Times New Roman" w:eastAsia="Times New Roman" w:hAnsi="Times New Roman"/>
          <w:sz w:val="17"/>
          <w:szCs w:val="17"/>
          <w:color w:val="auto"/>
        </w:rPr>
        <w:t>” mean, in each case, such rule promulgated under the Securities Act (or any successor provision) by the SEC, as the same will be amended from time to time, or any successor rule then in force.</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of the Company</w:t>
      </w:r>
      <w:r>
        <w:rPr>
          <w:rFonts w:ascii="Times New Roman" w:cs="Times New Roman" w:eastAsia="Times New Roman" w:hAnsi="Times New Roman"/>
          <w:sz w:val="18"/>
          <w:szCs w:val="18"/>
          <w:color w:val="auto"/>
        </w:rPr>
        <w:t xml:space="preserve">” means any transaction or series of transactions pursuant to which any Person(s) or a group of related Persons in the aggregate acquires: (i) Common Equity of the Company entitled to vote (other than voting rights accruing only in the event of a default, breach, event of noncompliance or other contingency) to elect directors with a majority of the voting power of the Company’s board of directors (whether by merger, consolidation, reorganization, combination, sale or transfer of the Company’s Common Equity) or (ii) all or substantially all of the Company’s and its Subsidiaries’ assets determined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Public Offering will not constitute a Sale of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or any successor federal law then in force, together with all rules and regulations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Offering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Offering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Registrable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70" w:right="479" w:bottom="1440" w:gutter="0" w:footer="0" w:header="0"/>
        </w:sectPr>
      </w:pPr>
    </w:p>
    <w:bookmarkStart w:id="21" w:name="page22"/>
    <w:bookmarkEnd w:id="21"/>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the Company, any corporation, limited liability company, partnership, association or other business entity of which (i) if a corporation, a majority of the total voting power of the share capital entitled (without regard to the occurrence of any contingency) to vote in the election of directors, managers or trustees thereof is at the time owned or controlled, directly or indirectly, by the Company or one or more of the other Subsidiaries of the Company or a combination thereof, or (ii) if a limited liability company, partnership, association or other business entity, a majority of the limited liability company, partnership or other similar ownership interest thereof is at the time owned or controlled, directly or indirectly, by the Company or one or more Subsidiaries of the Company or a combination thereof. For purposes hereof, a Person or Persons will be deemed to have a majority ownership interest in a limited liability company, partnership, association or other business entity if such Person or Persons will be allocated a majority of limited liability company, partnership, association or other business entity gains or losses or will be or control the managing director or general partner of such limited liability company, partnership, association or other business entity.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an offering registered under the Securities Act in which securities of the Company are sold to one or more underwriters on a firm-commitment basis for reoffering to the public.</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Violation</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lvl w:ilvl="1">
      <w:lvlJc w:val="left"/>
      <w:lvlText w:val="(%2)"/>
      <w:numFmt w:val="lowerLetter"/>
      <w:start w:val="9"/>
    </w:lvl>
  </w:abstractNum>
  <w:abstractNum w:abstractNumId="1">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
    <w:nsid w:val="66EF438D"/>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61"/>
    </w:lvl>
  </w:abstractNum>
  <w:abstractNum w:abstractNumId="3">
    <w:nsid w:val="140E0F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
    <w:nsid w:val="3352255A"/>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5">
    <w:nsid w:val="109CF92E"/>
    <w:multiLevelType w:val="hybridMultilevel"/>
    <w:lvl w:ilvl="0">
      <w:lvlJc w:val="left"/>
      <w:lvlText w:val="(%1)"/>
      <w:numFmt w:val="lowerRoman"/>
      <w:start w:val="1"/>
    </w:lvl>
    <w:lvl w:ilvl="1">
      <w:lvlJc w:val="left"/>
      <w:lvlText w:val="(%2)"/>
      <w:numFmt w:val="lowerLetter"/>
      <w:start w:val="5"/>
    </w:lvl>
    <w:lvl w:ilvl="2">
      <w:lvlJc w:val="left"/>
      <w:lvlText w:val="(%3)"/>
      <w:numFmt w:val="lowerLetter"/>
      <w:start w:val="61"/>
    </w:lvl>
  </w:abstractNum>
  <w:abstractNum w:abstractNumId="6">
    <w:nsid w:val="DED726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
    <w:nsid w:val="7FDCC233"/>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8">
    <w:nsid w:val="1BEFD79F"/>
    <w:multiLevelType w:val="hybridMultilevel"/>
    <w:lvl w:ilvl="0">
      <w:lvlJc w:val="left"/>
      <w:lvlText w:val="%1"/>
      <w:numFmt w:val="upperLetter"/>
      <w:start w:val="1"/>
    </w:lvl>
    <w:lvl w:ilvl="1">
      <w:lvlJc w:val="left"/>
      <w:lvlText w:val="(%2)"/>
      <w:numFmt w:val="lowerRoman"/>
      <w:start w:val="5"/>
    </w:lvl>
  </w:abstractNum>
  <w:abstractNum w:abstractNumId="9">
    <w:nsid w:val="41A7C4C9"/>
    <w:multiLevelType w:val="hybridMultilevel"/>
    <w:lvl w:ilvl="0">
      <w:lvlJc w:val="left"/>
      <w:lvlText w:val="(%1)"/>
      <w:numFmt w:val="upperLetter"/>
      <w:start w:val="2"/>
    </w:lvl>
    <w:lvl w:ilvl="1">
      <w:lvlJc w:val="left"/>
      <w:lvlText w:val="(%2)"/>
      <w:numFmt w:val="lowerRoman"/>
      <w:start w:val="8"/>
    </w:lvl>
  </w:abstractNum>
  <w:abstractNum w:abstractNumId="10">
    <w:nsid w:val="6B68079A"/>
    <w:multiLevelType w:val="hybridMultilevel"/>
    <w:lvl w:ilvl="0">
      <w:lvlJc w:val="left"/>
      <w:lvlText w:val="(%1)"/>
      <w:numFmt w:val="lowerRoman"/>
      <w:start w:val="11"/>
    </w:lvl>
  </w:abstractNum>
  <w:abstractNum w:abstractNumId="11">
    <w:nsid w:val="4E6AFB66"/>
    <w:multiLevelType w:val="hybridMultilevel"/>
    <w:lvl w:ilvl="0">
      <w:lvlJc w:val="left"/>
      <w:lvlText w:val="%1"/>
      <w:numFmt w:val="lowerLetter"/>
      <w:start w:val="1"/>
    </w:lvl>
    <w:lvl w:ilvl="1">
      <w:lvlJc w:val="left"/>
      <w:lvlText w:val="(%2)"/>
      <w:numFmt w:val="lowerRoman"/>
      <w:start w:val="18"/>
    </w:lvl>
  </w:abstractNum>
  <w:abstractNum w:abstractNumId="12">
    <w:nsid w:val="25E45D32"/>
    <w:multiLevelType w:val="hybridMultilevel"/>
    <w:lvl w:ilvl="0">
      <w:lvlJc w:val="left"/>
      <w:lvlText w:val="(%1)"/>
      <w:numFmt w:val="lowerLetter"/>
      <w:start w:val="2"/>
    </w:lvl>
    <w:lvl w:ilvl="1">
      <w:lvlJc w:val="left"/>
      <w:lvlText w:val="%2"/>
      <w:numFmt w:val="lowerRoman"/>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3"/>
    </w:lvl>
  </w:abstractNum>
  <w:abstractNum w:abstractNumId="19">
    <w:nsid w:val="436C6125"/>
    <w:multiLevelType w:val="hybridMultilevel"/>
    <w:lvl w:ilvl="0">
      <w:lvlJc w:val="left"/>
      <w:lvlText w:val="(%1)"/>
      <w:numFmt w:val="lowerLetter"/>
      <w:start w:val="7"/>
    </w:lvl>
  </w:abstractNum>
  <w:abstractNum w:abstractNumId="20">
    <w:nsid w:val="628C895D"/>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2025-09-08T16:04:49Z</dcterms:created>
  <dcterms:modified xsi:type="dcterms:W3CDTF">2025-09-08T16:04:49Z</dcterms:modified>
</cp:coreProperties>
</file>