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1"/>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w w:val="99"/>
              </w:rPr>
              <w:t>UNITED STATES</w:t>
            </w:r>
          </w:p>
        </w:tc>
      </w:tr>
      <w:tr>
        <w:trPr>
          <w:trHeight w:val="339"/>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7"/>
              </w:rPr>
              <w:t>WASHINGTON, D.C. 20549</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383"/>
        </w:trPr>
        <w:tc>
          <w:tcPr>
            <w:tcW w:w="1200" w:type="dxa"/>
            <w:vAlign w:val="bottom"/>
          </w:tcPr>
          <w:p>
            <w:pPr>
              <w:spacing w:after="0"/>
              <w:rPr>
                <w:sz w:val="24"/>
                <w:szCs w:val="24"/>
                <w:color w:val="auto"/>
              </w:rPr>
            </w:pPr>
          </w:p>
        </w:tc>
        <w:tc>
          <w:tcPr>
            <w:tcW w:w="10060" w:type="dxa"/>
            <w:vAlign w:val="bottom"/>
          </w:tcPr>
          <w:p>
            <w:pPr>
              <w:jc w:val="center"/>
              <w:ind w:right="1125"/>
              <w:spacing w:after="0"/>
              <w:rPr>
                <w:sz w:val="20"/>
                <w:szCs w:val="20"/>
                <w:color w:val="auto"/>
              </w:rPr>
            </w:pPr>
            <w:r>
              <w:rPr>
                <w:rFonts w:ascii="Arial" w:cs="Arial" w:eastAsia="Arial" w:hAnsi="Arial"/>
                <w:sz w:val="28"/>
                <w:szCs w:val="28"/>
                <w:b w:val="1"/>
                <w:bCs w:val="1"/>
                <w:color w:val="auto"/>
              </w:rPr>
              <w:t>FORM 6-K</w:t>
            </w:r>
          </w:p>
        </w:tc>
      </w:tr>
      <w:tr>
        <w:trPr>
          <w:trHeight w:val="129"/>
        </w:trPr>
        <w:tc>
          <w:tcPr>
            <w:tcW w:w="120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r>
        <w:trPr>
          <w:trHeight w:val="152"/>
        </w:trPr>
        <w:tc>
          <w:tcPr>
            <w:tcW w:w="1200" w:type="dxa"/>
            <w:vAlign w:val="bottom"/>
          </w:tcPr>
          <w:p>
            <w:pPr>
              <w:spacing w:after="0"/>
              <w:rPr>
                <w:sz w:val="13"/>
                <w:szCs w:val="13"/>
                <w:color w:val="auto"/>
              </w:rPr>
            </w:pPr>
          </w:p>
        </w:tc>
        <w:tc>
          <w:tcPr>
            <w:tcW w:w="10060" w:type="dxa"/>
            <w:vAlign w:val="bottom"/>
          </w:tcPr>
          <w:p>
            <w:pPr>
              <w:jc w:val="center"/>
              <w:ind w:right="1105"/>
              <w:spacing w:after="0" w:line="152" w:lineRule="exact"/>
              <w:rPr>
                <w:sz w:val="20"/>
                <w:szCs w:val="20"/>
                <w:color w:val="auto"/>
              </w:rPr>
            </w:pPr>
            <w:r>
              <w:rPr>
                <w:rFonts w:ascii="Arial" w:cs="Arial" w:eastAsia="Arial" w:hAnsi="Arial"/>
                <w:sz w:val="16"/>
                <w:szCs w:val="16"/>
                <w:b w:val="1"/>
                <w:bCs w:val="1"/>
                <w:color w:val="auto"/>
                <w:w w:val="97"/>
              </w:rPr>
              <w:t>REPORT OF FOREIGN PRIVATE ISSUER</w:t>
            </w:r>
          </w:p>
        </w:tc>
      </w:tr>
      <w:tr>
        <w:trPr>
          <w:trHeight w:val="177"/>
        </w:trPr>
        <w:tc>
          <w:tcPr>
            <w:tcW w:w="1200" w:type="dxa"/>
            <w:vAlign w:val="bottom"/>
          </w:tcPr>
          <w:p>
            <w:pPr>
              <w:spacing w:after="0"/>
              <w:rPr>
                <w:sz w:val="15"/>
                <w:szCs w:val="15"/>
                <w:color w:val="auto"/>
              </w:rPr>
            </w:pPr>
          </w:p>
        </w:tc>
        <w:tc>
          <w:tcPr>
            <w:tcW w:w="10060" w:type="dxa"/>
            <w:vAlign w:val="bottom"/>
          </w:tcPr>
          <w:p>
            <w:pPr>
              <w:jc w:val="center"/>
              <w:ind w:right="1105"/>
              <w:spacing w:after="0" w:line="178" w:lineRule="exact"/>
              <w:rPr>
                <w:sz w:val="20"/>
                <w:szCs w:val="20"/>
                <w:color w:val="auto"/>
              </w:rPr>
            </w:pPr>
            <w:r>
              <w:rPr>
                <w:rFonts w:ascii="Arial" w:cs="Arial" w:eastAsia="Arial" w:hAnsi="Arial"/>
                <w:sz w:val="16"/>
                <w:szCs w:val="16"/>
                <w:b w:val="1"/>
                <w:bCs w:val="1"/>
                <w:color w:val="auto"/>
                <w:w w:val="98"/>
              </w:rPr>
              <w:t>PURSUANT TO RULE 13A-16 OR 15D-16 UNDER</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THE SECURITIES EXCHANGE ACT OF 1934</w:t>
            </w:r>
          </w:p>
        </w:tc>
      </w:tr>
      <w:tr>
        <w:trPr>
          <w:trHeight w:val="493"/>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For the month of January 2024</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8"/>
              </w:rPr>
              <w:t>Commission File Number: 001-40010</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415"/>
        </w:trPr>
        <w:tc>
          <w:tcPr>
            <w:tcW w:w="1200" w:type="dxa"/>
            <w:vAlign w:val="bottom"/>
          </w:tcPr>
          <w:p>
            <w:pPr>
              <w:spacing w:after="0"/>
              <w:rPr>
                <w:sz w:val="24"/>
                <w:szCs w:val="24"/>
                <w:color w:val="auto"/>
              </w:rPr>
            </w:pPr>
          </w:p>
        </w:tc>
        <w:tc>
          <w:tcPr>
            <w:tcW w:w="10060" w:type="dxa"/>
            <w:vAlign w:val="bottom"/>
          </w:tcPr>
          <w:p>
            <w:pPr>
              <w:jc w:val="center"/>
              <w:ind w:right="1125"/>
              <w:spacing w:after="0" w:line="414" w:lineRule="exact"/>
              <w:rPr>
                <w:sz w:val="20"/>
                <w:szCs w:val="20"/>
                <w:color w:val="auto"/>
              </w:rPr>
            </w:pPr>
            <w:r>
              <w:rPr>
                <w:rFonts w:ascii="Arial" w:cs="Arial" w:eastAsia="Arial" w:hAnsi="Arial"/>
                <w:sz w:val="38"/>
                <w:szCs w:val="38"/>
                <w:color w:val="auto"/>
                <w:w w:val="97"/>
              </w:rPr>
              <w:t>Pharvaris N.V.</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color w:val="auto"/>
                <w:w w:val="98"/>
              </w:rPr>
              <w:t>(Translation of registrant’s name into English)</w:t>
            </w:r>
          </w:p>
        </w:tc>
      </w:tr>
      <w:tr>
        <w:trPr>
          <w:trHeight w:val="163"/>
        </w:trPr>
        <w:tc>
          <w:tcPr>
            <w:tcW w:w="120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r>
      <w:tr>
        <w:trPr>
          <w:trHeight w:val="161"/>
        </w:trPr>
        <w:tc>
          <w:tcPr>
            <w:tcW w:w="1200" w:type="dxa"/>
            <w:vAlign w:val="bottom"/>
          </w:tcPr>
          <w:p>
            <w:pPr>
              <w:spacing w:after="0"/>
              <w:rPr>
                <w:sz w:val="14"/>
                <w:szCs w:val="14"/>
                <w:color w:val="auto"/>
              </w:rPr>
            </w:pPr>
          </w:p>
        </w:tc>
        <w:tc>
          <w:tcPr>
            <w:tcW w:w="10060" w:type="dxa"/>
            <w:vAlign w:val="bottom"/>
          </w:tcPr>
          <w:p>
            <w:pPr>
              <w:jc w:val="center"/>
              <w:ind w:right="1125"/>
              <w:spacing w:after="0"/>
              <w:rPr>
                <w:sz w:val="20"/>
                <w:szCs w:val="20"/>
                <w:color w:val="auto"/>
              </w:rPr>
            </w:pPr>
            <w:r>
              <w:rPr>
                <w:rFonts w:ascii="Arial" w:cs="Arial" w:eastAsia="Arial" w:hAnsi="Arial"/>
                <w:sz w:val="13"/>
                <w:szCs w:val="13"/>
                <w:b w:val="1"/>
                <w:bCs w:val="1"/>
                <w:color w:val="auto"/>
                <w:w w:val="96"/>
              </w:rPr>
              <w:t>Emmy Noetherweg 2</w:t>
            </w:r>
          </w:p>
        </w:tc>
      </w:tr>
      <w:tr>
        <w:trPr>
          <w:trHeight w:val="172"/>
        </w:trPr>
        <w:tc>
          <w:tcPr>
            <w:tcW w:w="1200" w:type="dxa"/>
            <w:vAlign w:val="bottom"/>
          </w:tcPr>
          <w:p>
            <w:pPr>
              <w:spacing w:after="0"/>
              <w:rPr>
                <w:sz w:val="14"/>
                <w:szCs w:val="14"/>
                <w:color w:val="auto"/>
              </w:rPr>
            </w:pPr>
          </w:p>
        </w:tc>
        <w:tc>
          <w:tcPr>
            <w:tcW w:w="10060" w:type="dxa"/>
            <w:vAlign w:val="bottom"/>
          </w:tcPr>
          <w:p>
            <w:pPr>
              <w:jc w:val="center"/>
              <w:ind w:right="1105"/>
              <w:spacing w:after="0"/>
              <w:rPr>
                <w:sz w:val="20"/>
                <w:szCs w:val="20"/>
                <w:color w:val="auto"/>
              </w:rPr>
            </w:pPr>
            <w:r>
              <w:rPr>
                <w:rFonts w:ascii="Arial" w:cs="Arial" w:eastAsia="Arial" w:hAnsi="Arial"/>
                <w:sz w:val="13"/>
                <w:szCs w:val="13"/>
                <w:b w:val="1"/>
                <w:bCs w:val="1"/>
                <w:color w:val="auto"/>
                <w:w w:val="97"/>
              </w:rPr>
              <w:t>2333 BK Leiden</w:t>
            </w:r>
          </w:p>
        </w:tc>
      </w:tr>
      <w:tr>
        <w:trPr>
          <w:trHeight w:val="140"/>
        </w:trPr>
        <w:tc>
          <w:tcPr>
            <w:tcW w:w="1200" w:type="dxa"/>
            <w:vAlign w:val="bottom"/>
          </w:tcPr>
          <w:p>
            <w:pPr>
              <w:spacing w:after="0"/>
              <w:rPr>
                <w:sz w:val="12"/>
                <w:szCs w:val="12"/>
                <w:color w:val="auto"/>
              </w:rPr>
            </w:pPr>
          </w:p>
        </w:tc>
        <w:tc>
          <w:tcPr>
            <w:tcW w:w="10060" w:type="dxa"/>
            <w:vAlign w:val="bottom"/>
          </w:tcPr>
          <w:p>
            <w:pPr>
              <w:jc w:val="center"/>
              <w:ind w:right="1105"/>
              <w:spacing w:after="0" w:line="141" w:lineRule="exact"/>
              <w:rPr>
                <w:sz w:val="20"/>
                <w:szCs w:val="20"/>
                <w:color w:val="auto"/>
              </w:rPr>
            </w:pPr>
            <w:r>
              <w:rPr>
                <w:rFonts w:ascii="Arial" w:cs="Arial" w:eastAsia="Arial" w:hAnsi="Arial"/>
                <w:sz w:val="13"/>
                <w:szCs w:val="13"/>
                <w:b w:val="1"/>
                <w:bCs w:val="1"/>
                <w:color w:val="auto"/>
                <w:w w:val="96"/>
              </w:rPr>
              <w:t>The Netherlands</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color w:val="auto"/>
                <w:w w:val="98"/>
              </w:rPr>
              <w:t>(Address of principal executive office)</w:t>
            </w:r>
          </w:p>
        </w:tc>
      </w:tr>
      <w:tr>
        <w:trPr>
          <w:trHeight w:val="305"/>
        </w:trPr>
        <w:tc>
          <w:tcPr>
            <w:tcW w:w="112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tc>
      </w:tr>
      <w:tr>
        <w:trPr>
          <w:trHeight w:val="264"/>
        </w:trPr>
        <w:tc>
          <w:tcPr>
            <w:tcW w:w="1200" w:type="dxa"/>
            <w:vAlign w:val="bottom"/>
          </w:tcPr>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p>
        </w:tc>
        <w:tc>
          <w:tcPr>
            <w:tcW w:w="10060" w:type="dxa"/>
            <w:vAlign w:val="bottom"/>
          </w:tcPr>
          <w:p>
            <w:pPr>
              <w:ind w:left="280"/>
              <w:spacing w:after="0" w:line="184" w:lineRule="exact"/>
              <w:rPr>
                <w:sz w:val="20"/>
                <w:szCs w:val="20"/>
                <w:color w:val="auto"/>
              </w:rPr>
            </w:pP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tc>
      </w:tr>
    </w:tbl>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6"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January 5, 2024, Pharvaris N.V. (the “Company”) issued a press release. The press release is attached as Exhibit 99.1 hereto and is incorporated by reference herein. On January 8, 2024, the Company made available an investor presentation on its website. A copy of the investor presentation is attached hereto as Exhibit 99.2.</w:t>
      </w:r>
    </w:p>
    <w:p>
      <w:pPr>
        <w:spacing w:after="0" w:line="144"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Exhibit 99.1 to this Report on Form 6-K shall be deemed to be incorporated by reference into the registration statements on Form F-3 (Registration Number 333-263198 and 333-273757) and Form S-8 (Registration Number 333-252897). 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7660" w:type="dxa"/>
            <w:vAlign w:val="bottom"/>
            <w:gridSpan w:val="2"/>
          </w:tcPr>
          <w:p>
            <w:pPr>
              <w:ind w:left="2040"/>
              <w:spacing w:after="0"/>
              <w:rPr>
                <w:sz w:val="20"/>
                <w:szCs w:val="20"/>
                <w:color w:val="auto"/>
              </w:rPr>
            </w:pPr>
            <w:r>
              <w:rPr>
                <w:rFonts w:ascii="Arial" w:cs="Arial" w:eastAsia="Arial" w:hAnsi="Arial"/>
                <w:sz w:val="16"/>
                <w:szCs w:val="16"/>
                <w:b w:val="1"/>
                <w:bCs w:val="1"/>
                <w:color w:val="auto"/>
              </w:rPr>
              <w:t>PHARVARIS N.V.</w:t>
            </w:r>
          </w:p>
        </w:tc>
      </w:tr>
      <w:tr>
        <w:trPr>
          <w:trHeight w:val="419"/>
        </w:trPr>
        <w:tc>
          <w:tcPr>
            <w:tcW w:w="3600" w:type="dxa"/>
            <w:vAlign w:val="bottom"/>
          </w:tcPr>
          <w:p>
            <w:pPr>
              <w:spacing w:after="0"/>
              <w:rPr>
                <w:sz w:val="20"/>
                <w:szCs w:val="20"/>
                <w:color w:val="auto"/>
              </w:rPr>
            </w:pPr>
            <w:r>
              <w:rPr>
                <w:rFonts w:ascii="Arial" w:cs="Arial" w:eastAsia="Arial" w:hAnsi="Arial"/>
                <w:sz w:val="16"/>
                <w:szCs w:val="16"/>
                <w:color w:val="auto"/>
              </w:rPr>
              <w:t>Date: January 8, 2024</w:t>
            </w:r>
          </w:p>
        </w:tc>
        <w:tc>
          <w:tcPr>
            <w:tcW w:w="2960" w:type="dxa"/>
            <w:vAlign w:val="bottom"/>
          </w:tcPr>
          <w:p>
            <w:pPr>
              <w:ind w:left="204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07"/>
        </w:trPr>
        <w:tc>
          <w:tcPr>
            <w:tcW w:w="3600" w:type="dxa"/>
            <w:vAlign w:val="bottom"/>
          </w:tcPr>
          <w:p>
            <w:pPr>
              <w:spacing w:after="0"/>
              <w:rPr>
                <w:sz w:val="17"/>
                <w:szCs w:val="17"/>
                <w:color w:val="auto"/>
              </w:rPr>
            </w:pPr>
          </w:p>
        </w:tc>
        <w:tc>
          <w:tcPr>
            <w:tcW w:w="2960" w:type="dxa"/>
            <w:vAlign w:val="bottom"/>
          </w:tcPr>
          <w:p>
            <w:pPr>
              <w:ind w:left="2040"/>
              <w:spacing w:after="0"/>
              <w:rPr>
                <w:sz w:val="20"/>
                <w:szCs w:val="20"/>
                <w:color w:val="auto"/>
              </w:rPr>
            </w:pPr>
            <w:r>
              <w:rPr>
                <w:rFonts w:ascii="Arial" w:cs="Arial" w:eastAsia="Arial" w:hAnsi="Arial"/>
                <w:sz w:val="16"/>
                <w:szCs w:val="16"/>
                <w:color w:val="auto"/>
              </w:rPr>
              <w:t>Name:</w:t>
            </w:r>
          </w:p>
        </w:tc>
        <w:tc>
          <w:tcPr>
            <w:tcW w:w="47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0"/>
        </w:trPr>
        <w:tc>
          <w:tcPr>
            <w:tcW w:w="3600" w:type="dxa"/>
            <w:vAlign w:val="bottom"/>
          </w:tcPr>
          <w:p>
            <w:pPr>
              <w:spacing w:after="0"/>
              <w:rPr>
                <w:sz w:val="18"/>
                <w:szCs w:val="18"/>
                <w:color w:val="auto"/>
              </w:rPr>
            </w:pPr>
          </w:p>
        </w:tc>
        <w:tc>
          <w:tcPr>
            <w:tcW w:w="2960" w:type="dxa"/>
            <w:vAlign w:val="bottom"/>
          </w:tcPr>
          <w:p>
            <w:pPr>
              <w:ind w:left="204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61"/>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21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57"/>
        </w:trPr>
        <w:tc>
          <w:tcPr>
            <w:tcW w:w="280" w:type="dxa"/>
            <w:vAlign w:val="bottom"/>
            <w:tcBorders>
              <w:bottom w:val="single" w:sz="8" w:color="0000FF"/>
            </w:tcBorders>
          </w:tcPr>
          <w:p>
            <w:pPr>
              <w:spacing w:after="0" w:line="134" w:lineRule="exact"/>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bottom w:val="single" w:sz="8" w:color="0000FF"/>
            </w:tcBorders>
          </w:tcPr>
          <w:p>
            <w:pPr>
              <w:spacing w:after="0" w:line="134" w:lineRule="exact"/>
              <w:rPr>
                <w:sz w:val="20"/>
                <w:szCs w:val="20"/>
                <w:color w:val="auto"/>
              </w:rPr>
            </w:pPr>
            <w:r>
              <w:rPr>
                <w:rFonts w:ascii="Times New Roman" w:cs="Times New Roman" w:eastAsia="Times New Roman" w:hAnsi="Times New Roman"/>
                <w:sz w:val="15"/>
                <w:szCs w:val="15"/>
                <w:color w:val="0000FF"/>
              </w:rPr>
              <w:t>Press release, dated January 5, 2024.</w:t>
            </w:r>
          </w:p>
        </w:tc>
        <w:tc>
          <w:tcPr>
            <w:tcW w:w="7800" w:type="dxa"/>
            <w:vAlign w:val="bottom"/>
            <w:gridSpan w:val="2"/>
          </w:tcPr>
          <w:p>
            <w:pPr>
              <w:spacing w:after="0"/>
              <w:rPr>
                <w:sz w:val="13"/>
                <w:szCs w:val="13"/>
                <w:color w:val="auto"/>
              </w:rPr>
            </w:pPr>
          </w:p>
        </w:tc>
      </w:tr>
      <w:tr>
        <w:trPr>
          <w:trHeight w:val="193"/>
        </w:trPr>
        <w:tc>
          <w:tcPr>
            <w:tcW w:w="280" w:type="dxa"/>
            <w:vAlign w:val="bottom"/>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 dated January 8, 2024.</w:t>
            </w:r>
          </w:p>
        </w:tc>
      </w:tr>
      <w:tr>
        <w:trPr>
          <w:trHeight w:val="323"/>
        </w:trPr>
        <w:tc>
          <w:tcPr>
            <w:tcW w:w="28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2024-01-08T06:16:15Z</dcterms:created>
  <dcterms:modified xsi:type="dcterms:W3CDTF">2024-01-08T06:16:15Z</dcterms:modified>
</cp:coreProperties>
</file>