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Modig Berndt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CRANBERRY HILL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LEXINGTON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Pharvaris N.V.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PHVS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59"/>
        <w:gridCol w:w="938"/>
        <w:gridCol w:w="806"/>
        <w:gridCol w:w="622"/>
        <w:gridCol w:w="345"/>
        <w:gridCol w:w="1023"/>
        <w:gridCol w:w="422"/>
        <w:gridCol w:w="593"/>
        <w:gridCol w:w="1125"/>
        <w:gridCol w:w="976"/>
        <w:gridCol w:w="139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3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300,000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5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</w:t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650,000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Schoodic Management BV</w:t>
            </w:r>
          </w:p>
        </w:tc>
      </w:tr>
      <w:tr>
        <w:trPr/>
        <w:tc>
          <w:tcPr>
            <w:tcW w:w="19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650,000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Schoodic Management BV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Schoodif Management BV, an entity controlled by Mr. Modig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Marnus Nel, Attorney-in-Fact for Berndt Modig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3072" TargetMode="External"/><Relationship Id="rId5" Type="http://schemas.openxmlformats.org/officeDocument/2006/relationships/hyperlink" Target="http://www.sec.gov/cgi-bin/browse-edgar?action=getcompany&amp;CIK=00018304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3195</Characters>
  <CharactersWithSpaces>3710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