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336550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351790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2287270</wp:posOffset>
            </wp:positionH>
            <wp:positionV relativeFrom="paragraph">
              <wp:posOffset>152400</wp:posOffset>
            </wp:positionV>
            <wp:extent cx="256857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68575" cy="7620"/>
                    </a:xfrm>
                    <a:prstGeom prst="rect">
                      <a:avLst/>
                    </a:prstGeom>
                    <a:noFill/>
                  </pic:spPr>
                </pic:pic>
              </a:graphicData>
            </a:graphic>
          </wp:anchor>
        </w:drawing>
      </w:r>
    </w:p>
    <w:p>
      <w:pPr>
        <w:spacing w:after="0" w:line="34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8"/>
          <w:szCs w:val="2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2287270</wp:posOffset>
            </wp:positionH>
            <wp:positionV relativeFrom="paragraph">
              <wp:posOffset>168275</wp:posOffset>
            </wp:positionV>
            <wp:extent cx="256857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68575" cy="762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REPORT OF FOREIGN PRIVATE ISSUER</w:t>
      </w:r>
    </w:p>
    <w:p>
      <w:pPr>
        <w:spacing w:after="0" w:line="2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PURSUANT TO RULE 13A-16 OR 15D-16 UNDER</w:t>
      </w:r>
    </w:p>
    <w:p>
      <w:pPr>
        <w:spacing w:after="0" w:line="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For the month of January 2023</w:t>
      </w:r>
    </w:p>
    <w:p>
      <w:pPr>
        <w:spacing w:after="0" w:line="8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Commission File Number: 001-40010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2287270</wp:posOffset>
            </wp:positionH>
            <wp:positionV relativeFrom="paragraph">
              <wp:posOffset>157480</wp:posOffset>
            </wp:positionV>
            <wp:extent cx="256857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68575" cy="7620"/>
                    </a:xfrm>
                    <a:prstGeom prst="rect">
                      <a:avLst/>
                    </a:prstGeom>
                    <a:noFill/>
                  </pic:spPr>
                </pic:pic>
              </a:graphicData>
            </a:graphic>
          </wp:anchor>
        </w:drawing>
      </w:r>
    </w:p>
    <w:p>
      <w:pPr>
        <w:spacing w:after="0" w:line="35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8"/>
          <w:szCs w:val="38"/>
          <w:color w:val="auto"/>
        </w:rPr>
        <w:t>Pharvaris N.V.</w:t>
      </w:r>
    </w:p>
    <w:p>
      <w:pPr>
        <w:spacing w:after="0" w:line="18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2287270</wp:posOffset>
            </wp:positionH>
            <wp:positionV relativeFrom="paragraph">
              <wp:posOffset>156210</wp:posOffset>
            </wp:positionV>
            <wp:extent cx="256857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68575" cy="7620"/>
                    </a:xfrm>
                    <a:prstGeom prst="rect">
                      <a:avLst/>
                    </a:prstGeom>
                    <a:noFill/>
                  </pic:spPr>
                </pic:pic>
              </a:graphicData>
            </a:graphic>
          </wp:anchor>
        </w:drawing>
      </w:r>
    </w:p>
    <w:p>
      <w:pPr>
        <w:spacing w:after="0" w:line="37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J.H. Oortweg 21</w:t>
      </w:r>
    </w:p>
    <w:p>
      <w:pPr>
        <w:spacing w:after="0" w:line="2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2333 CH Leiden</w:t>
      </w:r>
    </w:p>
    <w:p>
      <w:pPr>
        <w:spacing w:after="0" w:line="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The Netherlands</w:t>
      </w:r>
    </w:p>
    <w:p>
      <w:pPr>
        <w:spacing w:after="0" w:line="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(Address of principal executive office)</w:t>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of Form 20-F or Form 40-F.</w:t>
      </w:r>
    </w:p>
    <w:p>
      <w:pPr>
        <w:spacing w:after="0" w:line="135" w:lineRule="exact"/>
        <w:rPr>
          <w:sz w:val="24"/>
          <w:szCs w:val="24"/>
          <w:color w:val="auto"/>
        </w:rPr>
      </w:pPr>
    </w:p>
    <w:p>
      <w:pPr>
        <w:spacing w:after="0" w:line="184" w:lineRule="exact"/>
        <w:tabs>
          <w:tab w:leader="none" w:pos="1380" w:val="left"/>
        </w:tabs>
        <w:rPr>
          <w:sz w:val="20"/>
          <w:szCs w:val="20"/>
          <w:color w:val="auto"/>
        </w:rPr>
      </w:pPr>
      <w:r>
        <w:rPr>
          <w:rFonts w:ascii="Times New Roman" w:cs="Times New Roman" w:eastAsia="Times New Roman" w:hAnsi="Times New Roman"/>
          <w:sz w:val="16"/>
          <w:szCs w:val="16"/>
          <w:color w:val="auto"/>
        </w:rPr>
        <w:t xml:space="preserve">Form 20-F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Form 40-F </w:t>
      </w:r>
      <w:r>
        <w:rPr>
          <w:rFonts w:ascii="MS PGothic" w:cs="MS PGothic" w:eastAsia="MS PGothic" w:hAnsi="MS PGothic"/>
          <w:sz w:val="15"/>
          <w:szCs w:val="15"/>
          <w:color w:val="auto"/>
        </w:rPr>
        <w:t>☐</w:t>
      </w:r>
    </w:p>
    <w:p>
      <w:pPr>
        <w:spacing w:after="0" w:line="15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Note: Regulation S-T Rule 101(b)(1) only permits the submission in paper of a Form 6-K if submitted solely to provide an attached annual report to security holders.</w:t>
      </w:r>
    </w:p>
    <w:p>
      <w:pPr>
        <w:spacing w:after="0" w:line="14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177" w:lineRule="exact"/>
        <w:rPr>
          <w:sz w:val="24"/>
          <w:szCs w:val="24"/>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143510</wp:posOffset>
            </wp:positionV>
            <wp:extent cx="71494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158115</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213360</wp:posOffset>
            </wp:positionV>
            <wp:extent cx="718947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9470" cy="40640"/>
                    </a:xfrm>
                    <a:prstGeom prst="rect">
                      <a:avLst/>
                    </a:prstGeom>
                    <a:noFill/>
                  </pic:spPr>
                </pic:pic>
              </a:graphicData>
            </a:graphic>
          </wp:anchor>
        </w:drawing>
      </w:r>
    </w:p>
    <w:p>
      <w:pPr>
        <w:sectPr>
          <w:pgSz w:w="11900" w:h="16838" w:orient="portrait"/>
          <w:cols w:equalWidth="0" w:num="1">
            <w:col w:w="11180"/>
          </w:cols>
          <w:pgMar w:left="320" w:top="747" w:right="39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6"/>
          <w:szCs w:val="16"/>
          <w:b w:val="1"/>
          <w:bCs w:val="1"/>
          <w:color w:val="auto"/>
        </w:rPr>
        <w:t>PHARVARIS N.V.</w:t>
      </w:r>
    </w:p>
    <w:p>
      <w:pPr>
        <w:spacing w:after="0" w:line="196"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On January 9, 2023 Pharvaris N.V. issued a press release and made available an investor presentation on its website. The press release is attached as Exhibit 99.1 hereto and is incorporated by reference herein. A copy of the investor presentation is attached hereto as Exhibit 99.2.</w:t>
      </w:r>
    </w:p>
    <w:p>
      <w:pPr>
        <w:spacing w:after="0" w:line="14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Exhibit 99.1 to this Report on Form 6-K shall be deemed to be incorporated by reference into the registration statements on Form F-3 (Registration Number 333-263198) and Form S-8 (Registration Number 333-252897). Exhibit 99.2 to this Report on Form 6-K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52705</wp:posOffset>
            </wp:positionV>
            <wp:extent cx="718947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40640"/>
                    </a:xfrm>
                    <a:prstGeom prst="rect">
                      <a:avLst/>
                    </a:prstGeom>
                    <a:noFill/>
                  </pic:spPr>
                </pic:pic>
              </a:graphicData>
            </a:graphic>
          </wp:anchor>
        </w:drawing>
      </w:r>
    </w:p>
    <w:p>
      <w:pPr>
        <w:sectPr>
          <w:pgSz w:w="11900" w:h="16838" w:orient="portrait"/>
          <w:cols w:equalWidth="0" w:num="1">
            <w:col w:w="11260"/>
          </w:cols>
          <w:pgMar w:left="320" w:top="618"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6"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500" w:type="dxa"/>
            <w:vAlign w:val="bottom"/>
          </w:tcPr>
          <w:p>
            <w:pPr>
              <w:spacing w:after="0"/>
              <w:rPr>
                <w:sz w:val="18"/>
                <w:szCs w:val="18"/>
                <w:color w:val="auto"/>
              </w:rPr>
            </w:pPr>
          </w:p>
        </w:tc>
        <w:tc>
          <w:tcPr>
            <w:tcW w:w="7760" w:type="dxa"/>
            <w:vAlign w:val="bottom"/>
            <w:gridSpan w:val="2"/>
          </w:tcPr>
          <w:p>
            <w:pPr>
              <w:ind w:left="2140"/>
              <w:spacing w:after="0"/>
              <w:rPr>
                <w:sz w:val="20"/>
                <w:szCs w:val="20"/>
                <w:color w:val="auto"/>
              </w:rPr>
            </w:pPr>
            <w:r>
              <w:rPr>
                <w:rFonts w:ascii="Times New Roman" w:cs="Times New Roman" w:eastAsia="Times New Roman" w:hAnsi="Times New Roman"/>
                <w:sz w:val="16"/>
                <w:szCs w:val="16"/>
                <w:b w:val="1"/>
                <w:bCs w:val="1"/>
                <w:color w:val="auto"/>
              </w:rPr>
              <w:t>PHARVARIS N.V.</w:t>
            </w:r>
          </w:p>
        </w:tc>
      </w:tr>
      <w:tr>
        <w:trPr>
          <w:trHeight w:val="429"/>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Date: January 9, 2023</w:t>
            </w:r>
          </w:p>
        </w:tc>
        <w:tc>
          <w:tcPr>
            <w:tcW w:w="3060" w:type="dxa"/>
            <w:vAlign w:val="bottom"/>
          </w:tcPr>
          <w:p>
            <w:pPr>
              <w:ind w:left="2140"/>
              <w:spacing w:after="0"/>
              <w:rPr>
                <w:sz w:val="20"/>
                <w:szCs w:val="20"/>
                <w:color w:val="auto"/>
              </w:rPr>
            </w:pPr>
            <w:r>
              <w:rPr>
                <w:rFonts w:ascii="Times New Roman" w:cs="Times New Roman" w:eastAsia="Times New Roman" w:hAnsi="Times New Roman"/>
                <w:sz w:val="16"/>
                <w:szCs w:val="16"/>
                <w:color w:val="auto"/>
              </w:rPr>
              <w:t>By:</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Berndt Modig</w:t>
            </w:r>
          </w:p>
        </w:tc>
      </w:tr>
      <w:tr>
        <w:trPr>
          <w:trHeight w:val="196"/>
        </w:trPr>
        <w:tc>
          <w:tcPr>
            <w:tcW w:w="3500" w:type="dxa"/>
            <w:vAlign w:val="bottom"/>
          </w:tcPr>
          <w:p>
            <w:pPr>
              <w:spacing w:after="0"/>
              <w:rPr>
                <w:sz w:val="17"/>
                <w:szCs w:val="17"/>
                <w:color w:val="auto"/>
              </w:rPr>
            </w:pPr>
          </w:p>
        </w:tc>
        <w:tc>
          <w:tcPr>
            <w:tcW w:w="3060" w:type="dxa"/>
            <w:vAlign w:val="bottom"/>
          </w:tcPr>
          <w:p>
            <w:pPr>
              <w:ind w:left="2140"/>
              <w:spacing w:after="0"/>
              <w:rPr>
                <w:sz w:val="20"/>
                <w:szCs w:val="20"/>
                <w:color w:val="auto"/>
              </w:rPr>
            </w:pPr>
            <w:r>
              <w:rPr>
                <w:rFonts w:ascii="Times New Roman" w:cs="Times New Roman" w:eastAsia="Times New Roman" w:hAnsi="Times New Roman"/>
                <w:sz w:val="16"/>
                <w:szCs w:val="16"/>
                <w:color w:val="auto"/>
              </w:rPr>
              <w:t>Name:</w:t>
            </w:r>
          </w:p>
        </w:tc>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Berndt Modig</w:t>
            </w:r>
          </w:p>
        </w:tc>
      </w:tr>
      <w:tr>
        <w:trPr>
          <w:trHeight w:val="206"/>
        </w:trPr>
        <w:tc>
          <w:tcPr>
            <w:tcW w:w="3500" w:type="dxa"/>
            <w:vAlign w:val="bottom"/>
          </w:tcPr>
          <w:p>
            <w:pPr>
              <w:spacing w:after="0"/>
              <w:rPr>
                <w:sz w:val="17"/>
                <w:szCs w:val="17"/>
                <w:color w:val="auto"/>
              </w:rPr>
            </w:pPr>
          </w:p>
        </w:tc>
        <w:tc>
          <w:tcPr>
            <w:tcW w:w="3060" w:type="dxa"/>
            <w:vAlign w:val="bottom"/>
          </w:tcPr>
          <w:p>
            <w:pPr>
              <w:ind w:left="2140"/>
              <w:spacing w:after="0"/>
              <w:rPr>
                <w:sz w:val="20"/>
                <w:szCs w:val="20"/>
                <w:color w:val="auto"/>
              </w:rPr>
            </w:pPr>
            <w:r>
              <w:rPr>
                <w:rFonts w:ascii="Times New Roman" w:cs="Times New Roman" w:eastAsia="Times New Roman" w:hAnsi="Times New Roman"/>
                <w:sz w:val="16"/>
                <w:szCs w:val="16"/>
                <w:color w:val="auto"/>
              </w:rPr>
              <w:t>Title:</w:t>
            </w:r>
          </w:p>
        </w:tc>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bl>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52705</wp:posOffset>
            </wp:positionV>
            <wp:extent cx="718947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40640"/>
                    </a:xfrm>
                    <a:prstGeom prst="rect">
                      <a:avLst/>
                    </a:prstGeom>
                    <a:noFill/>
                  </pic:spPr>
                </pic:pic>
              </a:graphicData>
            </a:graphic>
          </wp:anchor>
        </w:drawing>
      </w:r>
    </w:p>
    <w:p>
      <w:pPr>
        <w:sectPr>
          <w:pgSz w:w="11900" w:h="16838" w:orient="portrait"/>
          <w:cols w:equalWidth="0" w:num="1">
            <w:col w:w="11260"/>
          </w:cols>
          <w:pgMar w:left="320" w:top="618" w:right="31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EXHIBIT INDEX</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340" w:type="dxa"/>
            <w:vAlign w:val="bottom"/>
          </w:tcPr>
          <w:p>
            <w:pPr>
              <w:spacing w:after="0"/>
              <w:rPr>
                <w:sz w:val="16"/>
                <w:szCs w:val="16"/>
                <w:color w:val="auto"/>
              </w:rPr>
            </w:pPr>
          </w:p>
        </w:tc>
      </w:tr>
      <w:tr>
        <w:trPr>
          <w:trHeight w:val="211"/>
        </w:trPr>
        <w:tc>
          <w:tcPr>
            <w:tcW w:w="11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No.</w:t>
            </w:r>
          </w:p>
        </w:tc>
        <w:tc>
          <w:tcPr>
            <w:tcW w:w="101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42"/>
        </w:trPr>
        <w:tc>
          <w:tcPr>
            <w:tcW w:w="20" w:type="dxa"/>
            <w:vAlign w:val="bottom"/>
          </w:tcPr>
          <w:p>
            <w:pPr>
              <w:spacing w:after="0"/>
              <w:rPr>
                <w:sz w:val="12"/>
                <w:szCs w:val="12"/>
                <w:color w:val="auto"/>
              </w:rPr>
            </w:pPr>
          </w:p>
        </w:tc>
        <w:tc>
          <w:tcPr>
            <w:tcW w:w="100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4"/>
                <w:szCs w:val="14"/>
                <w:color w:val="auto"/>
              </w:rPr>
              <w:t>99.1</w:t>
            </w:r>
          </w:p>
        </w:tc>
        <w:tc>
          <w:tcPr>
            <w:tcW w:w="100" w:type="dxa"/>
            <w:vAlign w:val="bottom"/>
          </w:tcPr>
          <w:p>
            <w:pPr>
              <w:spacing w:after="0"/>
              <w:rPr>
                <w:sz w:val="12"/>
                <w:szCs w:val="12"/>
                <w:color w:val="auto"/>
              </w:rPr>
            </w:pPr>
          </w:p>
        </w:tc>
        <w:tc>
          <w:tcPr>
            <w:tcW w:w="2280" w:type="dxa"/>
            <w:vAlign w:val="bottom"/>
            <w:tcBorders>
              <w:top w:val="single" w:sz="8" w:color="auto"/>
              <w:bottom w:val="single" w:sz="8" w:color="0000EE"/>
            </w:tcBorders>
          </w:tcPr>
          <w:p>
            <w:pPr>
              <w:ind w:left="20"/>
              <w:spacing w:after="0" w:line="122" w:lineRule="exact"/>
              <w:rPr>
                <w:sz w:val="20"/>
                <w:szCs w:val="20"/>
                <w:color w:val="auto"/>
              </w:rPr>
            </w:pPr>
            <w:r>
              <w:rPr>
                <w:rFonts w:ascii="Calibri" w:cs="Calibri" w:eastAsia="Calibri" w:hAnsi="Calibri"/>
                <w:sz w:val="12"/>
                <w:szCs w:val="12"/>
                <w:color w:val="0000EE"/>
              </w:rPr>
              <w:t>Press release, dated January 9, 2023</w:t>
            </w:r>
          </w:p>
        </w:tc>
        <w:tc>
          <w:tcPr>
            <w:tcW w:w="7860" w:type="dxa"/>
            <w:vAlign w:val="bottom"/>
            <w:tcBorders>
              <w:top w:val="single" w:sz="8" w:color="auto"/>
            </w:tcBorders>
            <w:gridSpan w:val="2"/>
          </w:tcPr>
          <w:p>
            <w:pPr>
              <w:spacing w:after="0"/>
              <w:rPr>
                <w:sz w:val="12"/>
                <w:szCs w:val="12"/>
                <w:color w:val="auto"/>
              </w:rPr>
            </w:pPr>
          </w:p>
        </w:tc>
      </w:tr>
      <w:tr>
        <w:trPr>
          <w:trHeight w:val="169"/>
        </w:trPr>
        <w:tc>
          <w:tcPr>
            <w:tcW w:w="102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auto"/>
              </w:rPr>
              <w:t>99.2</w:t>
            </w:r>
          </w:p>
        </w:tc>
        <w:tc>
          <w:tcPr>
            <w:tcW w:w="100" w:type="dxa"/>
            <w:vAlign w:val="bottom"/>
          </w:tcPr>
          <w:p>
            <w:pPr>
              <w:spacing w:after="0"/>
              <w:rPr>
                <w:sz w:val="14"/>
                <w:szCs w:val="14"/>
                <w:color w:val="auto"/>
              </w:rPr>
            </w:pPr>
          </w:p>
        </w:tc>
        <w:tc>
          <w:tcPr>
            <w:tcW w:w="2800" w:type="dxa"/>
            <w:vAlign w:val="bottom"/>
            <w:tcBorders>
              <w:bottom w:val="single" w:sz="8" w:color="0000EE"/>
            </w:tcBorders>
            <w:gridSpan w:val="2"/>
          </w:tcPr>
          <w:p>
            <w:pPr>
              <w:ind w:left="20"/>
              <w:spacing w:after="0" w:line="169" w:lineRule="exact"/>
              <w:rPr>
                <w:sz w:val="20"/>
                <w:szCs w:val="20"/>
                <w:color w:val="auto"/>
              </w:rPr>
            </w:pPr>
            <w:r>
              <w:rPr>
                <w:rFonts w:ascii="Calibri" w:cs="Calibri" w:eastAsia="Calibri" w:hAnsi="Calibri"/>
                <w:sz w:val="16"/>
                <w:szCs w:val="16"/>
                <w:color w:val="0000EE"/>
                <w:w w:val="96"/>
              </w:rPr>
              <w:t>Investor Presentaton, dated January 9, 2023</w:t>
            </w:r>
          </w:p>
        </w:tc>
        <w:tc>
          <w:tcPr>
            <w:tcW w:w="734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60"/>
          </w:cols>
          <w:pgMar w:left="320" w:top="618" w:right="3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Pharvaris Provides Regulatory, Clinical, and Corporate Updates</w:t>
      </w:r>
    </w:p>
    <w:p>
      <w:pPr>
        <w:spacing w:after="0" w:line="181"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b w:val="1"/>
          <w:bCs w:val="1"/>
          <w:color w:val="auto"/>
        </w:rPr>
        <w:t xml:space="preserve">ZUG, Switzerland, January 9, 2023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Pharvaris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(Nasdaq: PHVS), a clinical-stage company developing novel, oral bradykinin-B2-receptor antagonists to treat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prevent hereditary angioedema (HAE) attacks, today provided business updates and company highlights.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Updates and Company Highlights</w:t>
      </w:r>
    </w:p>
    <w:p>
      <w:pPr>
        <w:spacing w:after="0" w:line="28" w:lineRule="exact"/>
        <w:rPr>
          <w:sz w:val="20"/>
          <w:szCs w:val="20"/>
          <w:color w:val="auto"/>
        </w:rPr>
      </w:pPr>
    </w:p>
    <w:p>
      <w:pPr>
        <w:ind w:left="780" w:right="500" w:hanging="395"/>
        <w:spacing w:after="0" w:line="246" w:lineRule="auto"/>
        <w:tabs>
          <w:tab w:leader="none" w:pos="7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Meeting minutes from Type A meeting with U.S. Food and Drug Administration (FDA) received. </w:t>
      </w:r>
      <w:r>
        <w:rPr>
          <w:rFonts w:ascii="Times New Roman" w:cs="Times New Roman" w:eastAsia="Times New Roman" w:hAnsi="Times New Roman"/>
          <w:sz w:val="17"/>
          <w:szCs w:val="17"/>
          <w:color w:val="auto"/>
        </w:rPr>
        <w:t>Pharvaris will conduct a 26-week rodent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toxicology study to resolve the clinical holds in the U.S. The protocol for this nonclinical study has been submitted to the FDA for review.</w:t>
      </w:r>
    </w:p>
    <w:p>
      <w:pPr>
        <w:spacing w:after="0" w:line="1" w:lineRule="exact"/>
        <w:rPr>
          <w:rFonts w:ascii="Times New Roman" w:cs="Times New Roman" w:eastAsia="Times New Roman" w:hAnsi="Times New Roman"/>
          <w:sz w:val="17"/>
          <w:szCs w:val="17"/>
          <w:color w:val="auto"/>
        </w:rPr>
      </w:pPr>
    </w:p>
    <w:p>
      <w:pPr>
        <w:ind w:left="780" w:right="120" w:hanging="395"/>
        <w:spacing w:after="0" w:line="246" w:lineRule="auto"/>
        <w:tabs>
          <w:tab w:leader="none" w:pos="7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FDA approval of dosing of final U.S. participants in RAPIDe-1 received. </w:t>
      </w:r>
      <w:r>
        <w:rPr>
          <w:rFonts w:ascii="Times New Roman" w:cs="Times New Roman" w:eastAsia="Times New Roman" w:hAnsi="Times New Roman"/>
          <w:sz w:val="17"/>
          <w:szCs w:val="17"/>
          <w:color w:val="auto"/>
        </w:rPr>
        <w:t>The FDA has agreed to partially lift the hold on on-demand to allow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two remaining U.S. participants in RAPIDe-1 to complete treatment of the last attack per the protocol. Positive top-line data from RAPIDe-1 was </w:t>
      </w:r>
      <w:r>
        <w:rPr>
          <w:rFonts w:ascii="Times New Roman" w:cs="Times New Roman" w:eastAsia="Times New Roman" w:hAnsi="Times New Roman"/>
          <w:sz w:val="17"/>
          <w:szCs w:val="17"/>
          <w:u w:val="single" w:color="auto"/>
          <w:color w:val="auto"/>
        </w:rPr>
        <w:t>announced</w:t>
      </w:r>
      <w:r>
        <w:rPr>
          <w:rFonts w:ascii="Times New Roman" w:cs="Times New Roman" w:eastAsia="Times New Roman" w:hAnsi="Times New Roman"/>
          <w:sz w:val="17"/>
          <w:szCs w:val="17"/>
          <w:color w:val="auto"/>
        </w:rPr>
        <w:t xml:space="preserve"> in December 2022. RAPIDe-2, a long-term extension study of PHVS416 for the on-demand treatment of HAE, is currently on hold in the U.S. and is underway outside the U.S.</w:t>
      </w:r>
    </w:p>
    <w:p>
      <w:pPr>
        <w:spacing w:after="0" w:line="2" w:lineRule="exact"/>
        <w:rPr>
          <w:rFonts w:ascii="Times New Roman" w:cs="Times New Roman" w:eastAsia="Times New Roman" w:hAnsi="Times New Roman"/>
          <w:sz w:val="17"/>
          <w:szCs w:val="17"/>
          <w:color w:val="auto"/>
        </w:rPr>
      </w:pPr>
    </w:p>
    <w:p>
      <w:pPr>
        <w:ind w:left="780" w:right="40" w:hanging="395"/>
        <w:spacing w:after="0" w:line="246" w:lineRule="auto"/>
        <w:tabs>
          <w:tab w:leader="none" w:pos="7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Top-line data from CHAPTER-1, a global Phase 2 study of PHVS416 for the prophylactic treatment of HAE attacks, anticipated 2H2023. </w:t>
      </w:r>
      <w:r>
        <w:rPr>
          <w:rFonts w:ascii="Times New Roman" w:cs="Times New Roman" w:eastAsia="Times New Roman" w:hAnsi="Times New Roman"/>
          <w:sz w:val="17"/>
          <w:szCs w:val="17"/>
          <w:color w:val="auto"/>
        </w:rPr>
        <w:t>CHAPTER-1 is currently on hold in the U.S. All active sites outside of the U.S. continue to recruit participants in the CHAPTER-1 clinical study. After being notified of the clinical holds in the U.S. by the FDA, Pharvaris informed country-specific regulatory authorities in Canada, Europe, Israel, and the UK regarding the clinical holds in the U.S. To date, the regulatory status of the CHAPTER-1 study outside the U.S. remains unchanged. Based on the Company’s current assumptions regarding ex-U.S. regulatory status and enrollment, Pharvaris anticipates announcing top-line data from the CHAPTER-1 trial in 2H2023.</w:t>
      </w:r>
    </w:p>
    <w:p>
      <w:pPr>
        <w:spacing w:after="0" w:line="4" w:lineRule="exact"/>
        <w:rPr>
          <w:rFonts w:ascii="Times New Roman" w:cs="Times New Roman" w:eastAsia="Times New Roman" w:hAnsi="Times New Roman"/>
          <w:sz w:val="17"/>
          <w:szCs w:val="17"/>
          <w:color w:val="auto"/>
        </w:rPr>
      </w:pPr>
    </w:p>
    <w:p>
      <w:pPr>
        <w:ind w:left="780" w:right="160" w:hanging="395"/>
        <w:spacing w:after="0" w:line="260" w:lineRule="auto"/>
        <w:tabs>
          <w:tab w:leader="none" w:pos="7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Cash runway into 4Q2024. </w:t>
      </w:r>
      <w:r>
        <w:rPr>
          <w:rFonts w:ascii="Times New Roman" w:cs="Times New Roman" w:eastAsia="Times New Roman" w:hAnsi="Times New Roman"/>
          <w:sz w:val="17"/>
          <w:szCs w:val="17"/>
          <w:color w:val="auto"/>
        </w:rPr>
        <w:t>Pharvaris remains diligent in its operational management and is focusing on its existing clinical HAE pipeline to extend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runway into 4Q2024.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Upcoming Data Presentation</w:t>
      </w:r>
    </w:p>
    <w:p>
      <w:pPr>
        <w:spacing w:after="0" w:line="28" w:lineRule="exact"/>
        <w:rPr>
          <w:sz w:val="20"/>
          <w:szCs w:val="20"/>
          <w:color w:val="auto"/>
        </w:rPr>
      </w:pPr>
    </w:p>
    <w:p>
      <w:pPr>
        <w:ind w:left="780" w:right="500" w:hanging="395"/>
        <w:spacing w:after="0" w:line="246" w:lineRule="auto"/>
        <w:tabs>
          <w:tab w:leader="none" w:pos="7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American Academy of Allergy, Asthma &amp; Immunology (AAAAI) Annual Meeting. </w:t>
      </w:r>
      <w:r>
        <w:rPr>
          <w:rFonts w:ascii="Times New Roman" w:cs="Times New Roman" w:eastAsia="Times New Roman" w:hAnsi="Times New Roman"/>
          <w:sz w:val="17"/>
          <w:szCs w:val="17"/>
          <w:color w:val="auto"/>
        </w:rPr>
        <w:t>San Antonio, TX, February 24-27, 2023. Details for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accepted poster presentation at AAAAI are as follows:</w:t>
      </w:r>
    </w:p>
    <w:p>
      <w:pPr>
        <w:spacing w:after="0" w:line="1" w:lineRule="exact"/>
        <w:rPr>
          <w:rFonts w:ascii="Times New Roman" w:cs="Times New Roman" w:eastAsia="Times New Roman" w:hAnsi="Times New Roman"/>
          <w:sz w:val="17"/>
          <w:szCs w:val="17"/>
          <w:color w:val="auto"/>
        </w:rPr>
      </w:pPr>
    </w:p>
    <w:p>
      <w:pPr>
        <w:ind w:left="1580" w:right="500" w:hanging="390"/>
        <w:spacing w:after="0" w:line="230" w:lineRule="auto"/>
        <w:rPr>
          <w:rFonts w:ascii="Times New Roman" w:cs="Times New Roman" w:eastAsia="Times New Roman" w:hAnsi="Times New Roman"/>
          <w:sz w:val="17"/>
          <w:szCs w:val="17"/>
          <w:color w:val="auto"/>
        </w:rPr>
      </w:pPr>
      <w:r>
        <w:rPr>
          <w:rFonts w:ascii="Courier New" w:cs="Courier New" w:eastAsia="Courier New" w:hAnsi="Courier New"/>
          <w:sz w:val="17"/>
          <w:szCs w:val="17"/>
          <w:color w:val="auto"/>
        </w:rPr>
        <w:t xml:space="preserve">o </w:t>
      </w:r>
      <w:r>
        <w:rPr>
          <w:rFonts w:ascii="Times New Roman" w:cs="Times New Roman" w:eastAsia="Times New Roman" w:hAnsi="Times New Roman"/>
          <w:sz w:val="17"/>
          <w:szCs w:val="17"/>
          <w:b w:val="1"/>
          <w:bCs w:val="1"/>
          <w:color w:val="auto"/>
        </w:rPr>
        <w:t>Title:</w:t>
      </w:r>
      <w:r>
        <w:rPr>
          <w:rFonts w:ascii="Courier New" w:cs="Courier New" w:eastAsia="Courier New" w:hAnsi="Courier New"/>
          <w:sz w:val="17"/>
          <w:szCs w:val="17"/>
          <w:color w:val="auto"/>
        </w:rPr>
        <w:t xml:space="preserve"> </w:t>
      </w:r>
      <w:r>
        <w:rPr>
          <w:rFonts w:ascii="Times New Roman" w:cs="Times New Roman" w:eastAsia="Times New Roman" w:hAnsi="Times New Roman"/>
          <w:sz w:val="17"/>
          <w:szCs w:val="17"/>
          <w:color w:val="auto"/>
        </w:rPr>
        <w:t>Efficacy And Safety Of Bradykinin B2 Receptor Inhibition With Oral PHVS416 In Treating Hereditary Angioedema Attacks:</w:t>
      </w:r>
      <w:r>
        <w:rPr>
          <w:rFonts w:ascii="Courier New" w:cs="Courier New" w:eastAsia="Courier New" w:hAnsi="Courier New"/>
          <w:sz w:val="17"/>
          <w:szCs w:val="17"/>
          <w:color w:val="auto"/>
        </w:rPr>
        <w:t xml:space="preserve"> </w:t>
      </w:r>
      <w:r>
        <w:rPr>
          <w:rFonts w:ascii="Times New Roman" w:cs="Times New Roman" w:eastAsia="Times New Roman" w:hAnsi="Times New Roman"/>
          <w:sz w:val="17"/>
          <w:szCs w:val="17"/>
          <w:color w:val="auto"/>
        </w:rPr>
        <w:t>Results Of RAPIDe-1 Phase 2 Trial</w:t>
      </w:r>
    </w:p>
    <w:p>
      <w:pPr>
        <w:ind w:left="1180"/>
        <w:spacing w:after="0" w:line="230" w:lineRule="auto"/>
        <w:rPr>
          <w:rFonts w:ascii="Times New Roman" w:cs="Times New Roman" w:eastAsia="Times New Roman" w:hAnsi="Times New Roman"/>
          <w:sz w:val="17"/>
          <w:szCs w:val="17"/>
          <w:color w:val="auto"/>
        </w:rPr>
      </w:pPr>
      <w:r>
        <w:rPr>
          <w:rFonts w:ascii="Courier New" w:cs="Courier New" w:eastAsia="Courier New" w:hAnsi="Courier New"/>
          <w:sz w:val="17"/>
          <w:szCs w:val="17"/>
          <w:color w:val="auto"/>
        </w:rPr>
        <w:t xml:space="preserve">o   </w:t>
      </w:r>
      <w:r>
        <w:rPr>
          <w:rFonts w:ascii="Times New Roman" w:cs="Times New Roman" w:eastAsia="Times New Roman" w:hAnsi="Times New Roman"/>
          <w:sz w:val="17"/>
          <w:szCs w:val="17"/>
          <w:b w:val="1"/>
          <w:bCs w:val="1"/>
          <w:color w:val="auto"/>
        </w:rPr>
        <w:t>Presenter:</w:t>
      </w:r>
      <w:r>
        <w:rPr>
          <w:rFonts w:ascii="Courier New" w:cs="Courier New" w:eastAsia="Courier New" w:hAnsi="Courier New"/>
          <w:sz w:val="17"/>
          <w:szCs w:val="17"/>
          <w:color w:val="auto"/>
        </w:rPr>
        <w:t xml:space="preserve"> </w:t>
      </w:r>
      <w:r>
        <w:rPr>
          <w:rFonts w:ascii="Times New Roman" w:cs="Times New Roman" w:eastAsia="Times New Roman" w:hAnsi="Times New Roman"/>
          <w:sz w:val="17"/>
          <w:szCs w:val="17"/>
          <w:color w:val="auto"/>
        </w:rPr>
        <w:t>Prof. Marcus Maurer</w:t>
      </w:r>
    </w:p>
    <w:p>
      <w:pPr>
        <w:ind w:left="1180"/>
        <w:spacing w:after="0"/>
        <w:rPr>
          <w:rFonts w:ascii="Times New Roman" w:cs="Times New Roman" w:eastAsia="Times New Roman" w:hAnsi="Times New Roman"/>
          <w:sz w:val="17"/>
          <w:szCs w:val="17"/>
          <w:color w:val="auto"/>
        </w:rPr>
      </w:pPr>
      <w:r>
        <w:rPr>
          <w:rFonts w:ascii="Courier New" w:cs="Courier New" w:eastAsia="Courier New" w:hAnsi="Courier New"/>
          <w:sz w:val="17"/>
          <w:szCs w:val="17"/>
          <w:color w:val="auto"/>
        </w:rPr>
        <w:t xml:space="preserve">o   </w:t>
      </w:r>
      <w:r>
        <w:rPr>
          <w:rFonts w:ascii="Times New Roman" w:cs="Times New Roman" w:eastAsia="Times New Roman" w:hAnsi="Times New Roman"/>
          <w:sz w:val="17"/>
          <w:szCs w:val="17"/>
          <w:b w:val="1"/>
          <w:bCs w:val="1"/>
          <w:color w:val="auto"/>
        </w:rPr>
        <w:t>Date, Time:</w:t>
      </w:r>
      <w:r>
        <w:rPr>
          <w:rFonts w:ascii="Courier New" w:cs="Courier New" w:eastAsia="Courier New" w:hAnsi="Courier New"/>
          <w:sz w:val="17"/>
          <w:szCs w:val="17"/>
          <w:color w:val="auto"/>
        </w:rPr>
        <w:t xml:space="preserve"> </w:t>
      </w:r>
      <w:r>
        <w:rPr>
          <w:rFonts w:ascii="Times New Roman" w:cs="Times New Roman" w:eastAsia="Times New Roman" w:hAnsi="Times New Roman"/>
          <w:sz w:val="17"/>
          <w:szCs w:val="17"/>
          <w:color w:val="auto"/>
        </w:rPr>
        <w:t>Sunday, February 26, 2023, 9:45-10:45 a.m. CST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425450</wp:posOffset>
            </wp:positionV>
            <wp:extent cx="718947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9470" cy="4064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color w:val="auto"/>
        </w:rPr>
        <w:t>About Pharvaris</w:t>
      </w:r>
    </w:p>
    <w:p>
      <w:pPr>
        <w:spacing w:after="0" w:line="28"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7"/>
          <w:szCs w:val="17"/>
          <w:color w:val="auto"/>
        </w:rPr>
        <w:t xml:space="preserve">Pharvaris is a clinical-stage company developing novel, oral bradykinin-B2-receptor antagonists to treat and prevent HAE attacks, building on its deep-seated roots in HAE. By directly targeting this clinically proven therapeutic target with novel small molecules, the Pharvaris team aspires to offer people with all sub-types of HAE safe, effective and convenient alternatives to treat attacks, for both on-demand and prophylactically. The company brings together the best talent in the industry with deep expertise in rare diseases and HAE. For more information, visit </w:t>
      </w:r>
      <w:r>
        <w:rPr>
          <w:rFonts w:ascii="Times New Roman" w:cs="Times New Roman" w:eastAsia="Times New Roman" w:hAnsi="Times New Roman"/>
          <w:sz w:val="17"/>
          <w:szCs w:val="17"/>
          <w:u w:val="single" w:color="auto"/>
          <w:color w:val="auto"/>
        </w:rPr>
        <w:t>https://pharvaris.com/</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This press release contains certain forward-looking statements that involve substantial risks and uncertainties. All statements contained in this press release that do not relate to matters of historical fact should be considered forward-looking statements, including, without limitation, statements containing the words “believe,” “anticipate,” “expect,” “estimate,” “may,” “could,” “should,” “would,” “will,” “intend” and similar expressions. These forward-looking statements are based on management’s current expectations, are neither promises nor guarantees, and involve known and unknown risks, uncertainties and other important factors that may cause Pharvaris’ actual results, performance or achievements to be materially different from its expectations expressed or implied by the forward-looking statements. Such risks include but are not limited to the following: uncertainty in the outcome of our interactions with regulatory authorities, including the FDA with respect to the clinical holds on PHA121 clinical trials in the U.S.; the expected timing, progress, or success of our clinical development programs, especially for PHVS416 and PHVS719, which are in mid-stage global clinical trials and are currently on hold in the U.S. as a result of the clinical holds; risks associated with the COVID-19 pandemic, which may adversely impact our business, nonclinical studies, and clinical trials; the timing of regulatory approvals; the value of our ordinary shares; the timing, costs and other limitations involved in obtaining regulatory approval for our product candidates PHVS416 and PHVS719, or any other product candidate that we may develop in the future; our ability to establish commercial capabilities or enter into agreements with third parties to market, sell, and distribute our product candidates; our ability to compete in the pharmaceutical industry and with competitive generic products; our ability to market, commercialize and achieve market acceptance for our product candidates; our ability to raise capital when needed and on acceptable terms; regulatory developments in the United States, the European Union and other jurisdictions; our ability to protect our intellectual property and know-how and operate our business without infringing the intellectual property rights or regulatory exclusivity of others; our ability to manage negative consequences from changes in applicable laws and regulations, including tax laws, our ability to successfully remediate the material weakness in our internal control over financial reporting and to maintain an effective system of internal control over financial reporting; changes in general market, political and economic conditions, including as a result of the current conflict between Russia and Ukraine; and the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354330</wp:posOffset>
            </wp:positionV>
            <wp:extent cx="718947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9470" cy="40640"/>
                    </a:xfrm>
                    <a:prstGeom prst="rect">
                      <a:avLst/>
                    </a:prstGeom>
                    <a:noFill/>
                  </pic:spPr>
                </pic:pic>
              </a:graphicData>
            </a:graphic>
          </wp:anchor>
        </w:drawing>
        <w:drawing>
          <wp:anchor simplePos="0" relativeHeight="251657728" behindDoc="1" locked="0" layoutInCell="0" allowOverlap="1">
            <wp:simplePos x="0" y="0"/>
            <wp:positionH relativeFrom="column">
              <wp:posOffset>5831840</wp:posOffset>
            </wp:positionH>
            <wp:positionV relativeFrom="paragraph">
              <wp:posOffset>119380</wp:posOffset>
            </wp:positionV>
            <wp:extent cx="1314450" cy="1879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14450" cy="187960"/>
                    </a:xfrm>
                    <a:prstGeom prst="rect">
                      <a:avLst/>
                    </a:prstGeom>
                    <a:noFill/>
                  </pic:spPr>
                </pic:pic>
              </a:graphicData>
            </a:graphic>
          </wp:anchor>
        </w:drawing>
      </w:r>
    </w:p>
    <w:p>
      <w:pPr>
        <w:sectPr>
          <w:pgSz w:w="11900" w:h="16838" w:orient="portrait"/>
          <w:cols w:equalWidth="0" w:num="1">
            <w:col w:w="11220"/>
          </w:cols>
          <w:pgMar w:left="320" w:top="519" w:right="359" w:bottom="1440" w:gutter="0" w:footer="0" w:header="0"/>
        </w:sectPr>
      </w:pPr>
    </w:p>
    <w:bookmarkStart w:id="6" w:name="page7"/>
    <w:bookmarkEnd w:id="6"/>
    <w:p>
      <w:pPr>
        <w:ind w:right="280"/>
        <w:spacing w:after="0" w:line="259" w:lineRule="auto"/>
        <w:rPr>
          <w:sz w:val="20"/>
          <w:szCs w:val="20"/>
          <w:color w:val="auto"/>
        </w:rPr>
      </w:pPr>
      <w:r>
        <w:rPr>
          <w:rFonts w:ascii="Times New Roman" w:cs="Times New Roman" w:eastAsia="Times New Roman" w:hAnsi="Times New Roman"/>
          <w:sz w:val="17"/>
          <w:szCs w:val="17"/>
          <w:color w:val="auto"/>
        </w:rPr>
        <w:t>factors described under the headings “Cautionary Statement Regarding Forward-Looking Statements” and “Item 3. Key Information—D. Risk Factors” in our Annual Report on Form 20-F and other periodic filings with the Securities and Exchange Commission.</w:t>
      </w:r>
    </w:p>
    <w:p>
      <w:pPr>
        <w:spacing w:after="0" w:line="250" w:lineRule="auto"/>
        <w:rPr>
          <w:sz w:val="20"/>
          <w:szCs w:val="20"/>
          <w:color w:val="auto"/>
        </w:rPr>
      </w:pPr>
      <w:r>
        <w:rPr>
          <w:rFonts w:ascii="Times New Roman" w:cs="Times New Roman" w:eastAsia="Times New Roman" w:hAnsi="Times New Roman"/>
          <w:sz w:val="17"/>
          <w:szCs w:val="17"/>
          <w:color w:val="auto"/>
        </w:rPr>
        <w:t>These and other important factors could cause actual results to differ materially from those indicated by the forward-looking statements made in this press release. Any such forward-looking statements represent management’s estimates as of the date of this press release. New risks and uncertainties may emerge from time to time, and it is not possible to predict all risks and uncertainties. While Pharvaris may elect to update such forward-looking statements at some point in the future, Pharvaris disclaims any obligation to do so, even if subsequent events cause its views to change. These forward-looking statements should not be relied upon as representing Pharvaris’ views as of any date subsequent to the date of this press release.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Contact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Maryann Cimino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 of Corporate Relations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maryann.cimino@pharvaris.com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+1-617-710-7305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5831840</wp:posOffset>
            </wp:positionH>
            <wp:positionV relativeFrom="paragraph">
              <wp:posOffset>379730</wp:posOffset>
            </wp:positionV>
            <wp:extent cx="1314450" cy="1879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14450" cy="187960"/>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2805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4474845</wp:posOffset>
            </wp:positionV>
            <wp:extent cx="714946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4474845</wp:posOffset>
            </wp:positionV>
            <wp:extent cx="714946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4474845</wp:posOffset>
            </wp:positionV>
            <wp:extent cx="714946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4474845</wp:posOffset>
            </wp:positionV>
            <wp:extent cx="714946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2023-01-09T05:54:12Z</dcterms:created>
  <dcterms:modified xsi:type="dcterms:W3CDTF">2023-01-09T05:54:12Z</dcterms:modified>
</cp:coreProperties>
</file>