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126365</wp:posOffset>
            </wp:positionV>
            <wp:extent cx="332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7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171450</wp:posOffset>
            </wp:positionV>
            <wp:extent cx="332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REPORT OF FOREIGN PRIVATE ISSUER</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PURSUANT TO RULE 13A-16 OR 15D-16 UNDER</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month of May 2024</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140970</wp:posOffset>
            </wp:positionV>
            <wp:extent cx="3326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8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Pharvaris N.V.</w:t>
      </w:r>
    </w:p>
    <w:p>
      <w:pPr>
        <w:spacing w:after="0" w:line="23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158115</wp:posOffset>
            </wp:positionV>
            <wp:extent cx="3326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Emmy Noetherweg 2</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2333 BK Leiden</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The Netherlands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w:t>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30" w:lineRule="exact"/>
        <w:rPr>
          <w:sz w:val="24"/>
          <w:szCs w:val="24"/>
          <w:color w:val="auto"/>
        </w:rPr>
      </w:pPr>
    </w:p>
    <w:p>
      <w:pPr>
        <w:ind w:right="100"/>
        <w:spacing w:after="0" w:line="286" w:lineRule="auto"/>
        <w:rPr>
          <w:sz w:val="20"/>
          <w:szCs w:val="20"/>
          <w:color w:val="auto"/>
        </w:rPr>
      </w:pPr>
      <w:r>
        <w:rPr>
          <w:rFonts w:ascii="Arial" w:cs="Arial" w:eastAsia="Arial" w:hAnsi="Arial"/>
          <w:sz w:val="16"/>
          <w:szCs w:val="16"/>
          <w:color w:val="auto"/>
        </w:rPr>
        <w:t>Note: Regulation S-T Rule 101(b)(1) only permits the submission in paper of a Form 6-K if submitted solely to provide an attached annual report to security holders</w:t>
      </w:r>
    </w:p>
    <w:p>
      <w:pPr>
        <w:spacing w:after="0" w:line="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line="256" w:lineRule="auto"/>
        <w:rPr>
          <w:sz w:val="20"/>
          <w:szCs w:val="20"/>
          <w:color w:val="auto"/>
        </w:rPr>
      </w:pPr>
      <w:r>
        <w:rPr>
          <w:rFonts w:ascii="Arial" w:cs="Arial" w:eastAsia="Arial" w:hAnsi="Arial"/>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1301750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PHARVARIS N.V.</w:t>
      </w:r>
    </w:p>
    <w:p>
      <w:pPr>
        <w:spacing w:after="0" w:line="200" w:lineRule="exact"/>
        <w:rPr>
          <w:sz w:val="20"/>
          <w:szCs w:val="20"/>
          <w:color w:val="auto"/>
        </w:rPr>
      </w:pP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May 8, 2024, Pharvaris N.V. issued a press release reporting financial results and other business updates for the three months ended March 31, 2024. A copy of the press release is attached hereto as Exhibit 99.1 and is incorporated by reference herein. 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Exhibits 99.2 and 99.3 to this Report on Form 6-K shall be deemed to be incorporated by reference into the registration statements on Form F-3 (Registration Number 333-273757, 333-277705 and 333-278650) and Form S-8 (Registration Number 333-252897) of Pharvaris N.V.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1654175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2" w:name="page3"/>
    <w:bookmarkEnd w:id="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40" w:type="dxa"/>
            <w:vAlign w:val="bottom"/>
            <w:gridSpan w:val="4"/>
          </w:tcPr>
          <w:p>
            <w:pPr>
              <w:ind w:left="2160"/>
              <w:spacing w:after="0"/>
              <w:rPr>
                <w:sz w:val="20"/>
                <w:szCs w:val="20"/>
                <w:color w:val="auto"/>
              </w:rPr>
            </w:pPr>
            <w:r>
              <w:rPr>
                <w:rFonts w:ascii="Arial" w:cs="Arial" w:eastAsia="Arial" w:hAnsi="Arial"/>
                <w:sz w:val="18"/>
                <w:szCs w:val="18"/>
                <w:b w:val="1"/>
                <w:bCs w:val="1"/>
                <w:color w:val="auto"/>
              </w:rPr>
              <w:t>EXHIBIT INDEX</w:t>
            </w:r>
          </w:p>
        </w:tc>
      </w:tr>
      <w:tr>
        <w:trPr>
          <w:trHeight w:val="39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9"/>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020" w:type="dxa"/>
            <w:vAlign w:val="bottom"/>
          </w:tcPr>
          <w:p>
            <w:pPr>
              <w:ind w:left="20"/>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Press Release, dated May 8, 2024, (Financial results).</w:t>
            </w:r>
          </w:p>
        </w:tc>
        <w:tc>
          <w:tcPr>
            <w:tcW w:w="6180" w:type="dxa"/>
            <w:vAlign w:val="bottom"/>
            <w:gridSpan w:val="3"/>
          </w:tcPr>
          <w:p>
            <w:pPr>
              <w:spacing w:after="0"/>
              <w:rPr>
                <w:sz w:val="16"/>
                <w:szCs w:val="16"/>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6"/>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 as of and for the Three Months Ended March 31,</w:t>
            </w: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6"/>
                <w:szCs w:val="16"/>
                <w:color w:val="0000FF"/>
              </w:rPr>
              <w:t>2024 and 2023.</w:t>
            </w:r>
          </w:p>
        </w:tc>
        <w:tc>
          <w:tcPr>
            <w:tcW w:w="120" w:type="dxa"/>
            <w:vAlign w:val="bottom"/>
          </w:tcPr>
          <w:p>
            <w:pPr>
              <w:spacing w:after="0"/>
              <w:rPr>
                <w:sz w:val="14"/>
                <w:szCs w:val="14"/>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6"/>
          </w:tcPr>
          <w:p>
            <w:pPr>
              <w:spacing w:after="0"/>
              <w:rPr>
                <w:sz w:val="20"/>
                <w:szCs w:val="20"/>
                <w:color w:val="auto"/>
              </w:rPr>
            </w:pPr>
            <w:r>
              <w:rPr>
                <w:rFonts w:ascii="Arial" w:cs="Arial" w:eastAsia="Arial" w:hAnsi="Arial"/>
                <w:sz w:val="16"/>
                <w:szCs w:val="16"/>
                <w:color w:val="0000FF"/>
              </w:rPr>
              <w:t>Unaudited Condensed Consolidated Interim Financial Statements as of and for the Three Months Ended March 31, 2024 and 2023 and as</w:t>
            </w: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4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of December 31, 2023.</w:t>
            </w:r>
          </w:p>
        </w:tc>
        <w:tc>
          <w:tcPr>
            <w:tcW w:w="140" w:type="dxa"/>
            <w:vAlign w:val="bottom"/>
            <w:gridSpan w:val="2"/>
          </w:tcPr>
          <w:p>
            <w:pPr>
              <w:spacing w:after="0"/>
              <w:rPr>
                <w:sz w:val="14"/>
                <w:szCs w:val="14"/>
                <w:color w:val="auto"/>
              </w:rPr>
            </w:pPr>
          </w:p>
        </w:tc>
      </w:tr>
      <w:tr>
        <w:trPr>
          <w:trHeight w:val="1648"/>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500" w:type="dxa"/>
            <w:vAlign w:val="bottom"/>
          </w:tcPr>
          <w:p>
            <w:pPr>
              <w:spacing w:after="0"/>
              <w:rPr>
                <w:sz w:val="21"/>
                <w:szCs w:val="21"/>
                <w:color w:val="auto"/>
              </w:rPr>
            </w:pPr>
          </w:p>
        </w:tc>
        <w:tc>
          <w:tcPr>
            <w:tcW w:w="7740" w:type="dxa"/>
            <w:vAlign w:val="bottom"/>
            <w:gridSpan w:val="2"/>
          </w:tcPr>
          <w:p>
            <w:pPr>
              <w:ind w:left="2160"/>
              <w:spacing w:after="0"/>
              <w:rPr>
                <w:sz w:val="20"/>
                <w:szCs w:val="20"/>
                <w:color w:val="auto"/>
              </w:rPr>
            </w:pPr>
            <w:r>
              <w:rPr>
                <w:rFonts w:ascii="Arial" w:cs="Arial" w:eastAsia="Arial" w:hAnsi="Arial"/>
                <w:sz w:val="18"/>
                <w:szCs w:val="18"/>
                <w:b w:val="1"/>
                <w:bCs w:val="1"/>
                <w:color w:val="auto"/>
              </w:rPr>
              <w:t>PHARVARIS N.V.</w:t>
            </w:r>
          </w:p>
        </w:tc>
      </w:tr>
      <w:tr>
        <w:trPr>
          <w:trHeight w:val="427"/>
        </w:trPr>
        <w:tc>
          <w:tcPr>
            <w:tcW w:w="3500" w:type="dxa"/>
            <w:vAlign w:val="bottom"/>
          </w:tcPr>
          <w:p>
            <w:pPr>
              <w:ind w:left="20"/>
              <w:spacing w:after="0"/>
              <w:rPr>
                <w:sz w:val="20"/>
                <w:szCs w:val="20"/>
                <w:color w:val="auto"/>
              </w:rPr>
            </w:pPr>
            <w:r>
              <w:rPr>
                <w:rFonts w:ascii="Arial" w:cs="Arial" w:eastAsia="Arial" w:hAnsi="Arial"/>
                <w:sz w:val="16"/>
                <w:szCs w:val="16"/>
                <w:color w:val="auto"/>
              </w:rPr>
              <w:t>Date: May 8, 2024</w:t>
            </w:r>
          </w:p>
        </w:tc>
        <w:tc>
          <w:tcPr>
            <w:tcW w:w="2860" w:type="dxa"/>
            <w:vAlign w:val="bottom"/>
          </w:tcPr>
          <w:p>
            <w:pPr>
              <w:ind w:left="2160"/>
              <w:spacing w:after="0"/>
              <w:rPr>
                <w:sz w:val="20"/>
                <w:szCs w:val="20"/>
                <w:color w:val="auto"/>
              </w:rPr>
            </w:pPr>
            <w:r>
              <w:rPr>
                <w:rFonts w:ascii="Arial" w:cs="Arial" w:eastAsia="Arial" w:hAnsi="Arial"/>
                <w:sz w:val="16"/>
                <w:szCs w:val="16"/>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Berndt Modig</w:t>
            </w:r>
          </w:p>
        </w:tc>
      </w:tr>
      <w:tr>
        <w:trPr>
          <w:trHeight w:val="215"/>
        </w:trPr>
        <w:tc>
          <w:tcPr>
            <w:tcW w:w="3500" w:type="dxa"/>
            <w:vAlign w:val="bottom"/>
          </w:tcPr>
          <w:p>
            <w:pPr>
              <w:spacing w:after="0"/>
              <w:rPr>
                <w:sz w:val="18"/>
                <w:szCs w:val="18"/>
                <w:color w:val="auto"/>
              </w:rPr>
            </w:pPr>
          </w:p>
        </w:tc>
        <w:tc>
          <w:tcPr>
            <w:tcW w:w="2860" w:type="dxa"/>
            <w:vAlign w:val="bottom"/>
          </w:tcPr>
          <w:p>
            <w:pPr>
              <w:ind w:left="2160"/>
              <w:spacing w:after="0"/>
              <w:rPr>
                <w:sz w:val="20"/>
                <w:szCs w:val="20"/>
                <w:color w:val="auto"/>
              </w:rPr>
            </w:pPr>
            <w:r>
              <w:rPr>
                <w:rFonts w:ascii="Arial" w:cs="Arial" w:eastAsia="Arial" w:hAnsi="Arial"/>
                <w:sz w:val="16"/>
                <w:szCs w:val="16"/>
                <w:color w:val="auto"/>
              </w:rPr>
              <w:t>Name:</w:t>
            </w:r>
          </w:p>
        </w:tc>
        <w:tc>
          <w:tcPr>
            <w:tcW w:w="4880" w:type="dxa"/>
            <w:vAlign w:val="bottom"/>
          </w:tcPr>
          <w:p>
            <w:pPr>
              <w:spacing w:after="0"/>
              <w:rPr>
                <w:sz w:val="20"/>
                <w:szCs w:val="20"/>
                <w:color w:val="auto"/>
              </w:rPr>
            </w:pPr>
            <w:r>
              <w:rPr>
                <w:rFonts w:ascii="Arial" w:cs="Arial" w:eastAsia="Arial" w:hAnsi="Arial"/>
                <w:sz w:val="16"/>
                <w:szCs w:val="16"/>
                <w:color w:val="auto"/>
              </w:rPr>
              <w:t>Berndt Modig</w:t>
            </w:r>
          </w:p>
        </w:tc>
      </w:tr>
      <w:tr>
        <w:trPr>
          <w:trHeight w:val="215"/>
        </w:trPr>
        <w:tc>
          <w:tcPr>
            <w:tcW w:w="3500" w:type="dxa"/>
            <w:vAlign w:val="bottom"/>
          </w:tcPr>
          <w:p>
            <w:pPr>
              <w:spacing w:after="0"/>
              <w:rPr>
                <w:sz w:val="18"/>
                <w:szCs w:val="18"/>
                <w:color w:val="auto"/>
              </w:rPr>
            </w:pPr>
          </w:p>
        </w:tc>
        <w:tc>
          <w:tcPr>
            <w:tcW w:w="2860" w:type="dxa"/>
            <w:vAlign w:val="bottom"/>
          </w:tcPr>
          <w:p>
            <w:pPr>
              <w:ind w:left="2160"/>
              <w:spacing w:after="0"/>
              <w:rPr>
                <w:sz w:val="20"/>
                <w:szCs w:val="20"/>
                <w:color w:val="auto"/>
              </w:rPr>
            </w:pPr>
            <w:r>
              <w:rPr>
                <w:rFonts w:ascii="Arial" w:cs="Arial" w:eastAsia="Arial" w:hAnsi="Arial"/>
                <w:sz w:val="16"/>
                <w:szCs w:val="16"/>
                <w:color w:val="auto"/>
              </w:rPr>
              <w:t>Title:</w:t>
            </w:r>
          </w:p>
        </w:tc>
        <w:tc>
          <w:tcPr>
            <w:tcW w:w="488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1629"/>
        </w:trPr>
        <w:tc>
          <w:tcPr>
            <w:tcW w:w="35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ind w:left="1026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4708525</wp:posOffset>
            </wp:positionH>
            <wp:positionV relativeFrom="page">
              <wp:posOffset>500380</wp:posOffset>
            </wp:positionV>
            <wp:extent cx="2631440"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631440" cy="386080"/>
                    </a:xfrm>
                    <a:prstGeom prst="rect">
                      <a:avLst/>
                    </a:prstGeom>
                    <a:noFill/>
                  </pic:spPr>
                </pic:pic>
              </a:graphicData>
            </a:graphic>
          </wp:anchor>
        </w:drawing>
        <w:t>Exhibit 99.1</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Pharvaris Reports First Quarter 2024 Financial Results and Provides Business Update</w:t>
      </w:r>
    </w:p>
    <w:p>
      <w:pPr>
        <w:spacing w:after="0" w:line="279"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RAPIDe-3, a global pivotal Phase 3 study of deucrictibant for the on-demand treatment of HAE attacks, currently enrolling</w:t>
      </w:r>
    </w:p>
    <w:p>
      <w:pPr>
        <w:spacing w:after="0" w:line="2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End-of-Phase 2 meeting scheduled to discuss development plan of deucrictibant for the prophylaxis of HAE attacks</w:t>
      </w: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Executing from a strong financial position with cash and cash equivalents of €368 million as of March 31, 2024</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Zug, Switzerland, May 8, 2024 </w:t>
      </w:r>
      <w:r>
        <w:rPr>
          <w:rFonts w:ascii="Times New Roman" w:cs="Times New Roman" w:eastAsia="Times New Roman" w:hAnsi="Times New Roman"/>
          <w:sz w:val="20"/>
          <w:szCs w:val="20"/>
          <w:color w:val="auto"/>
        </w:rPr>
        <w:t>– Pharvaris (Nasdaq: PHVS), a late-stage biopharmaceutical company developing novel, oral bradykinin B2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receptor antagonists to treat and prevent hereditary angioedema (HAE) attacks, today reported financial results for the first quarter ended March 31, 2024, and provided a business update.</w:t>
      </w:r>
    </w:p>
    <w:p>
      <w:pPr>
        <w:spacing w:after="0" w:line="18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“Pharvaris is executing from a position of financial and operational strength as we enroll in RAPIDe-3, our Phase 3 on-demand study of deucrictibant, and prepare for initiation of CHAPTER-3, our Phase 3 prophylactic study of deucrictibant,” said Berndt Modig, Chief Executive Officer of Pharvaris. “We believe deucrictibant has the potential to be the preferred therapeutic option for both the treatment and prevention of HAE attacks. Pharvaris continues to further build its team and infrastructure to support two late-stage clinical trials and prepare for the commercial launch of deucrictibant for people living with HAE.”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Business Updates and Highlights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Development Pipeline</w:t>
      </w:r>
    </w:p>
    <w:p>
      <w:pPr>
        <w:ind w:left="760" w:right="12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Enrollment initiated in RAPIDe-3 (NCT06343779) a global Phase 3 clinical study. </w:t>
      </w:r>
      <w:r>
        <w:rPr>
          <w:rFonts w:ascii="Times New Roman" w:cs="Times New Roman" w:eastAsia="Times New Roman" w:hAnsi="Times New Roman"/>
          <w:sz w:val="20"/>
          <w:szCs w:val="20"/>
          <w:color w:val="auto"/>
        </w:rPr>
        <w:t>Pharvaris is currently enrolling in RAPIDe-3, a global pivotal Phase 3 study of deucrictibant immediate-release capsule (PHVS416) for the on-demand treatment of HAE attacks. The primary efficacy endpoint is time to onset of symptom relief, as measured by Patient Global Impression of Change (PGI-C) rating of at least “a little better” for two consecutive timepoints within 12 hours post-treatment. Other efficacy endpoints include time to End of Progression (EoP) in attack symptoms within 12 hours as measured by PGI-C, substantial symptom relief, and proportion of attacks achieving symptom resolution with one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5" w:name="page6"/>
    <w:bookmarkEnd w:id="5"/>
    <w:p>
      <w:pPr>
        <w:ind w:left="760" w:right="720"/>
        <w:spacing w:after="0" w:line="250" w:lineRule="auto"/>
        <w:rPr>
          <w:sz w:val="20"/>
          <w:szCs w:val="20"/>
          <w:color w:val="auto"/>
        </w:rPr>
      </w:pPr>
      <w:r>
        <w:rPr>
          <w:rFonts w:ascii="Times New Roman" w:cs="Times New Roman" w:eastAsia="Times New Roman" w:hAnsi="Times New Roman"/>
          <w:sz w:val="20"/>
          <w:szCs w:val="20"/>
          <w:color w:val="auto"/>
        </w:rPr>
        <w:t>of deucrictibant as measured by Patient Global Impression of Severity (PGI-S) and by Angioedema Symptom Rating Scale (AMRA).</w:t>
      </w:r>
    </w:p>
    <w:p>
      <w:pPr>
        <w:spacing w:after="0" w:line="2" w:lineRule="exact"/>
        <w:rPr>
          <w:sz w:val="20"/>
          <w:szCs w:val="20"/>
          <w:color w:val="auto"/>
        </w:rPr>
      </w:pPr>
    </w:p>
    <w:p>
      <w:pPr>
        <w:ind w:left="760" w:hanging="378"/>
        <w:spacing w:after="0" w:line="241"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End-of-Phase 2 meeting scheduled to align on prophylactic Phase 3 clinical development plan. </w:t>
      </w:r>
      <w:r>
        <w:rPr>
          <w:rFonts w:ascii="Times New Roman" w:cs="Times New Roman" w:eastAsia="Times New Roman" w:hAnsi="Times New Roman"/>
          <w:sz w:val="20"/>
          <w:szCs w:val="20"/>
          <w:color w:val="auto"/>
        </w:rPr>
        <w:t>Pharvaris continues preparatory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activities for CHAPTER-3, a proposed global Phase 3 study of deucrictibant extended-release tablets (PHVS719) for the prophylactic treatment of HAE attacks. An End-of-Phase 2 meeting has been scheduled with the U.S. Food and Drug Administration (FDA), during which Pharvaris will seek feedback and alignment on the key elements of the proposed clinical development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Corporate</w:t>
      </w:r>
    </w:p>
    <w:p>
      <w:pPr>
        <w:spacing w:after="0" w:line="26" w:lineRule="exact"/>
        <w:rPr>
          <w:sz w:val="20"/>
          <w:szCs w:val="20"/>
          <w:color w:val="auto"/>
        </w:rPr>
      </w:pPr>
    </w:p>
    <w:p>
      <w:pPr>
        <w:ind w:left="760" w:right="160" w:hanging="378"/>
        <w:spacing w:after="0" w:line="242"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Departure of Chief Legal Officer. </w:t>
      </w:r>
      <w:r>
        <w:rPr>
          <w:rFonts w:ascii="Times New Roman" w:cs="Times New Roman" w:eastAsia="Times New Roman" w:hAnsi="Times New Roman"/>
          <w:sz w:val="20"/>
          <w:szCs w:val="20"/>
          <w:color w:val="auto"/>
        </w:rPr>
        <w:t>Joan Schmidt, J.D., Chief Legal Officer of Pharvaris, has given notice of her resignation,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June 1, 2024. David Nassif, J.D., Chief Financial Officer of Pharvaris, will assume oversight of the legal and compliance department and will act as the corporate secretary until a successor joins the company.</w:t>
      </w:r>
    </w:p>
    <w:p>
      <w:pPr>
        <w:spacing w:after="0" w:line="200"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Mr. Modig continued, “I thank Joan for her leadership and contributions to Pharvaris’ growth during her time at the company. We wish her the best in her future endeavors.”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Upcoming Investor Presentations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The Citizens JMP Life Sciences Conference. </w:t>
      </w:r>
      <w:r>
        <w:rPr>
          <w:rFonts w:ascii="Times New Roman" w:cs="Times New Roman" w:eastAsia="Times New Roman" w:hAnsi="Times New Roman"/>
          <w:sz w:val="20"/>
          <w:szCs w:val="20"/>
          <w:color w:val="auto"/>
        </w:rPr>
        <w:t>New York, NY, May 13-14, 2024.</w:t>
      </w: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Format: </w:t>
      </w:r>
      <w:r>
        <w:rPr>
          <w:rFonts w:ascii="Times New Roman" w:cs="Times New Roman" w:eastAsia="Times New Roman" w:hAnsi="Times New Roman"/>
          <w:sz w:val="20"/>
          <w:szCs w:val="20"/>
          <w:color w:val="auto"/>
        </w:rPr>
        <w:t>Fireside Chat</w:t>
      </w: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Presenter: </w:t>
      </w:r>
      <w:r>
        <w:rPr>
          <w:rFonts w:ascii="Times New Roman" w:cs="Times New Roman" w:eastAsia="Times New Roman" w:hAnsi="Times New Roman"/>
          <w:sz w:val="20"/>
          <w:szCs w:val="20"/>
          <w:color w:val="auto"/>
        </w:rPr>
        <w:t>Morgan Conn, Ph.D.</w:t>
      </w: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Date, time: </w:t>
      </w:r>
      <w:r>
        <w:rPr>
          <w:rFonts w:ascii="Times New Roman" w:cs="Times New Roman" w:eastAsia="Times New Roman" w:hAnsi="Times New Roman"/>
          <w:sz w:val="20"/>
          <w:szCs w:val="20"/>
          <w:color w:val="auto"/>
        </w:rPr>
        <w:t>Monday May 13, 2024, 9:30 a.m. EDT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BofA Securities Health Care conference 2024. </w:t>
      </w:r>
      <w:r>
        <w:rPr>
          <w:rFonts w:ascii="Times New Roman" w:cs="Times New Roman" w:eastAsia="Times New Roman" w:hAnsi="Times New Roman"/>
          <w:sz w:val="20"/>
          <w:szCs w:val="20"/>
          <w:color w:val="auto"/>
        </w:rPr>
        <w:t>Las Vegas, NV, May 14-16, 2024.</w:t>
      </w:r>
    </w:p>
    <w:p>
      <w:pPr>
        <w:spacing w:after="0" w:line="25"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Format: </w:t>
      </w:r>
      <w:r>
        <w:rPr>
          <w:rFonts w:ascii="Times New Roman" w:cs="Times New Roman" w:eastAsia="Times New Roman" w:hAnsi="Times New Roman"/>
          <w:sz w:val="20"/>
          <w:szCs w:val="20"/>
          <w:color w:val="auto"/>
        </w:rPr>
        <w:t>Company Presentation</w:t>
      </w: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Presenter: </w:t>
      </w:r>
      <w:r>
        <w:rPr>
          <w:rFonts w:ascii="Times New Roman" w:cs="Times New Roman" w:eastAsia="Times New Roman" w:hAnsi="Times New Roman"/>
          <w:sz w:val="20"/>
          <w:szCs w:val="20"/>
          <w:color w:val="auto"/>
        </w:rPr>
        <w:t>Morgan Conn, Ph.D.</w:t>
      </w: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Date, time: </w:t>
      </w:r>
      <w:r>
        <w:rPr>
          <w:rFonts w:ascii="Times New Roman" w:cs="Times New Roman" w:eastAsia="Times New Roman" w:hAnsi="Times New Roman"/>
          <w:sz w:val="20"/>
          <w:szCs w:val="20"/>
          <w:color w:val="auto"/>
        </w:rPr>
        <w:t>Thursday May 16, 2024, 8:00 a.m. PDT (11:00 a.m. EDT)</w:t>
      </w:r>
    </w:p>
    <w:p>
      <w:pPr>
        <w:spacing w:after="0" w:line="207"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9"/>
          <w:szCs w:val="19"/>
          <w:color w:val="auto"/>
        </w:rPr>
        <w:t>Live audio webcasts of the presentations will be available on the Investors section of the Pharvaris website at: https://ir.pharvaris.com/news-events/events-presentations. The audio replays will be available on Pharvaris’ website for 30 days following the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1126490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 w:name="page7"/>
    <w:bookmarkEnd w:id="6"/>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2024 Financial Results</w:t>
      </w:r>
    </w:p>
    <w:p>
      <w:pPr>
        <w:ind w:left="760" w:right="260" w:hanging="378"/>
        <w:spacing w:after="0" w:line="239" w:lineRule="auto"/>
        <w:tabs>
          <w:tab w:leader="none" w:pos="7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Liquidity Position. </w:t>
      </w:r>
      <w:r>
        <w:rPr>
          <w:rFonts w:ascii="Times New Roman" w:cs="Times New Roman" w:eastAsia="Times New Roman" w:hAnsi="Times New Roman"/>
          <w:sz w:val="20"/>
          <w:szCs w:val="20"/>
          <w:color w:val="auto"/>
        </w:rPr>
        <w:t>Cash and cash equivalents were €368 million as of March 31, 2024, compared to €391 million for December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31, 2023.</w:t>
      </w:r>
    </w:p>
    <w:p>
      <w:pPr>
        <w:ind w:left="760" w:right="820" w:hanging="378"/>
        <w:spacing w:after="0" w:line="239" w:lineRule="auto"/>
        <w:tabs>
          <w:tab w:leader="none" w:pos="7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Research and Development (R&amp;D) Expenses. </w:t>
      </w:r>
      <w:r>
        <w:rPr>
          <w:rFonts w:ascii="Times New Roman" w:cs="Times New Roman" w:eastAsia="Times New Roman" w:hAnsi="Times New Roman"/>
          <w:sz w:val="20"/>
          <w:szCs w:val="20"/>
          <w:color w:val="auto"/>
        </w:rPr>
        <w:t>R&amp;D expenses were €18.5 million for the quarter ended March 31, 2024,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€13.7 million for the quarter ended March 31, 2023.</w:t>
      </w:r>
    </w:p>
    <w:p>
      <w:pPr>
        <w:ind w:left="760" w:right="820" w:hanging="378"/>
        <w:spacing w:after="0" w:line="239" w:lineRule="auto"/>
        <w:tabs>
          <w:tab w:leader="none" w:pos="7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General and Administrative (G&amp;A) Expenses. </w:t>
      </w:r>
      <w:r>
        <w:rPr>
          <w:rFonts w:ascii="Times New Roman" w:cs="Times New Roman" w:eastAsia="Times New Roman" w:hAnsi="Times New Roman"/>
          <w:sz w:val="20"/>
          <w:szCs w:val="20"/>
          <w:color w:val="auto"/>
        </w:rPr>
        <w:t>G&amp;A expenses were €9.8 million for the quarter ended March 31, 2024,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€7.3 million for the quarter ended March 31, 2023.</w:t>
      </w:r>
    </w:p>
    <w:p>
      <w:pPr>
        <w:ind w:left="760" w:right="180" w:hanging="378"/>
        <w:spacing w:after="0" w:line="242" w:lineRule="auto"/>
        <w:tabs>
          <w:tab w:leader="none" w:pos="7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Loss for the year. </w:t>
      </w:r>
      <w:r>
        <w:rPr>
          <w:rFonts w:ascii="Times New Roman" w:cs="Times New Roman" w:eastAsia="Times New Roman" w:hAnsi="Times New Roman"/>
          <w:sz w:val="20"/>
          <w:szCs w:val="20"/>
          <w:color w:val="auto"/>
        </w:rPr>
        <w:t>Loss for the first quarter was €28.0 million, resulting in basic and diluted loss per share of €0.52 for the quarter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ended March 31, 2024, compared to €22.6 million, or basic and diluted loss per share of €0.67, for the quarter ended March 31,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on International Financial Reporting Standards (IFRS)</w:t>
      </w:r>
    </w:p>
    <w:p>
      <w:pPr>
        <w:spacing w:after="0" w:line="2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Deucrictibant</w:t>
      </w:r>
    </w:p>
    <w:p>
      <w:pPr>
        <w:spacing w:after="0" w:line="15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Deucrictibant is a potent, selective, and orally available antagonist of the bradykinin B2 receptor. By inhibiting bradykinin signaling through the bradykinin B2 receptor, deucrictibant has the potential to treat the manifestations of an HAE attack and to prevent the occurrence of attacks. Based on its chemical properties, Pharvaris is developing two formulations of deucrictibant for oral administration; a capsule to enable rapid onset of activity for acute treatment, and an extended-release tablet to enable sustained absorption and efficacy in prophylactic treatment.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Pharvaris</w:t>
      </w:r>
    </w:p>
    <w:p>
      <w:pPr>
        <w:spacing w:after="0" w:line="2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Building on its deep-seated roots in HAE, Pharvaris is a late-stage biopharmaceutical company developing novel, oral bradykinin B2 receptor antagonists to treat and prevent HAE attacks. By directly pursuing this clinically proven therapeutic target with novel small molecules, the Pharvaris team aspires to offer people with all sub-types of HAE efficacious, safe, and easy-to-administer alternatives to treat attacks, both on-demand and prophylactically. The company brings together the best talent in the industry with deep expertise in rare diseases and HAE. For more information, visit https://pharvaris.com/.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(PHVS416) and deucrictibant extended-release tablets (PHVS719), which are in late-stage global clinical trials; our ability to replicate the efficacy and safety demonstrated in the RAPIDe-1 and CHAPTER-1 Phase 2 studies in ongoing and future nonclinical studies and clinical trials; risks arising from epidemic diseases, such as the COVID-19 pandemic, which may adversely impact our business, nonclinical studies, and clinical trials; the outcome and timing of regulatory approvals;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weaknesses in our internal control over financial reporting and to maintain an effective system of internal control over financial reporting; changes and uncertainty in general market, political and economic conditions, including as a result of inflation and the current conflict between Russia and Ukraine and the Hamas attack against Israel and the ensuing war; and the other factors described under the headings “Cautionary Statement Regarding Forward-Looking Statements” and “Item 3. Key Information—D. Risk Factors” in our Annual Report on Form 20-F and other periodic filings with the U.S. Securities and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45" w:lineRule="auto"/>
        <w:rPr>
          <w:sz w:val="20"/>
          <w:szCs w:val="20"/>
          <w:color w:val="auto"/>
        </w:rPr>
      </w:pPr>
      <w:r>
        <w:rPr>
          <w:rFonts w:ascii="Times New Roman" w:cs="Times New Roman" w:eastAsia="Times New Roman" w:hAnsi="Times New Roman"/>
          <w:sz w:val="20"/>
          <w:szCs w:val="20"/>
          <w:color w:val="auto"/>
        </w:rPr>
        <w:t>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Maggie Beller</w:t>
      </w:r>
    </w:p>
    <w:p>
      <w:pPr>
        <w:spacing w:after="0"/>
        <w:rPr>
          <w:sz w:val="20"/>
          <w:szCs w:val="20"/>
          <w:color w:val="auto"/>
        </w:rPr>
      </w:pPr>
      <w:r>
        <w:rPr>
          <w:rFonts w:ascii="Times New Roman" w:cs="Times New Roman" w:eastAsia="Times New Roman" w:hAnsi="Times New Roman"/>
          <w:sz w:val="20"/>
          <w:szCs w:val="20"/>
          <w:color w:val="auto"/>
        </w:rPr>
        <w:t>Executive Director, Head of External and Internal Communications</w:t>
      </w:r>
    </w:p>
    <w:p>
      <w:pPr>
        <w:spacing w:after="0"/>
        <w:rPr>
          <w:sz w:val="20"/>
          <w:szCs w:val="20"/>
          <w:color w:val="auto"/>
        </w:rPr>
      </w:pPr>
      <w:r>
        <w:rPr>
          <w:rFonts w:ascii="Times New Roman" w:cs="Times New Roman" w:eastAsia="Times New Roman" w:hAnsi="Times New Roman"/>
          <w:sz w:val="20"/>
          <w:szCs w:val="20"/>
          <w:color w:val="0563C1"/>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13"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This management’s discussion and analysis is designed to provide you with a narrative explanation of our financial condition and results of operations. We recommend that you read this discussion together with our unaudited condensed consolidated interim financial statements, including the notes thereto, for the three months ended March 31, 2024 and 2023 included as Exhibit 99.3 to the Report on Form 6-K to which this discussion is attached as Exhibit</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99.2. We also recommend that you read “Item 4. Information on the Company”, “Item 5. Operating and Financial Review and Prospects” and our audited consolidated financial statements for fiscal year 2023, and the notes thereto, which appear in our Annual Report on Form 20-F for the year ended December 31, 2023 (the “Annual Report”) filed with the U.S. Securities and Exchange Commission (the “SEC”). In addition, we recommend that you read any public announcements made from time to time by Pharvaris N.V.</w:t>
      </w:r>
    </w:p>
    <w:p>
      <w:pPr>
        <w:spacing w:after="0" w:line="75"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The following discussion is based on our financial information prepared in accordance with the IFRS Accounting Standards (“IFRS”) as issued by the International Accounting Standards Board (the “IASB”), which may differ in material respects from generally accepted accounting principles in the United States and other jurisdictions. We maintain our books and records in euros. Unless otherwise indicated, all references to currency amounts in this discussion are in euros.</w:t>
      </w:r>
    </w:p>
    <w:p>
      <w:pPr>
        <w:spacing w:after="0" w:line="70"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in the Annual Report and under “Risk factors” in any other periodic filings with the Securities and Exchange Commission.</w:t>
      </w:r>
    </w:p>
    <w:p>
      <w:pPr>
        <w:spacing w:after="0" w:line="63" w:lineRule="exact"/>
        <w:rPr>
          <w:sz w:val="20"/>
          <w:szCs w:val="20"/>
          <w:color w:val="auto"/>
        </w:rPr>
      </w:pPr>
    </w:p>
    <w:p>
      <w:pPr>
        <w:ind w:right="180" w:firstLine="458"/>
        <w:spacing w:after="0" w:line="286" w:lineRule="auto"/>
        <w:rPr>
          <w:sz w:val="20"/>
          <w:szCs w:val="20"/>
          <w:color w:val="auto"/>
        </w:rPr>
      </w:pPr>
      <w:r>
        <w:rPr>
          <w:rFonts w:ascii="Arial" w:cs="Arial" w:eastAsia="Arial" w:hAnsi="Arial"/>
          <w:sz w:val="16"/>
          <w:szCs w:val="16"/>
          <w:color w:val="auto"/>
        </w:rPr>
        <w:t>Unless otherwise indicated or the context otherwise requires, all references to “Pharvaris” or the “Company,” “we,” “our,” “ours,” “us”, or similar terms refer to Pharvaris N.V. and its subsidiaries.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therapies for rare diseases with significant unmet need, initially focused on angioedema and other bradykinin-mediated diseases. Our first molecule, deucrictibant (PHA121, PHA-022121), is a novel, small-molecule bradykinin-B2-receptor antagonist for the treatment of hereditary angioedema ("HAE"). Bradykinin-B2-receptor inhibition is a clinically validated mechanism for the treatment of HAE, as demonstrated by icatibant, which is a bradykinin-B2-receptor antagonist approved in Europe in 2008 and in the United States in 2011 (as FIRAZYR). PHA121 demonstrated over 4000-fold selectivity for the bradykinin-B2-receptor when compared to approximately 170 other molecular targets, including the bradykinin-B1-receptor. We designed deucrictibant to improve upon the therapeutic profile of existing therapies and, through oral delivery, to provide patients with quality of life and ease-of-administration that is superior to current standard-of-care HAE treatments, which are injectables. We believe deucrictibant has the potential to provide a safe, effective and easy-to-administer option for both acute and prophylactic treatments of HAE, in the form of our PHVS416 (deucrictibant immediate-release ("IR")) on-demand rapid exposure product candidate, and for prophylaxis of HAE, in the form of our PHVS719 (deucrictibant extended-release ("ER")) small daily dose extended-release product candidate. We believe that our product candidates may address a broader range of angioedema attacks than other available treatments since deucrictibant blocks the actual signal that leads to angioedema (the interaction of bradykinin ("BK") with the bradykinin-B2-receptor), rather than an upstream signal. By blocking the action of bradykinin, we can prevent its aberrant signaling regardless of the pathway that generates it.</w:t>
      </w:r>
    </w:p>
    <w:p>
      <w:pPr>
        <w:spacing w:after="0" w:line="83" w:lineRule="exact"/>
        <w:rPr>
          <w:sz w:val="20"/>
          <w:szCs w:val="20"/>
          <w:color w:val="auto"/>
        </w:rPr>
      </w:pPr>
    </w:p>
    <w:p>
      <w:pPr>
        <w:ind w:right="400" w:firstLine="458"/>
        <w:spacing w:after="0" w:line="259" w:lineRule="auto"/>
        <w:rPr>
          <w:sz w:val="20"/>
          <w:szCs w:val="20"/>
          <w:color w:val="auto"/>
        </w:rPr>
      </w:pPr>
      <w:r>
        <w:rPr>
          <w:rFonts w:ascii="Arial" w:cs="Arial" w:eastAsia="Arial" w:hAnsi="Arial"/>
          <w:sz w:val="16"/>
          <w:szCs w:val="16"/>
          <w:color w:val="auto"/>
        </w:rPr>
        <w:t>In our completed Phase 1 trials to date, we have observed that deucrictibant was orally bioavailable and well tolerated at all doses studied, with approximately dose-proportional exposure. We also have successfully demonstrated proof-of-concept through a clinical pharmacodynamics ("PD") assessment with the bradykinin challenge, which had been utilized as a validated surrogate assessment for dose selection in the icatibant development program.</w:t>
      </w:r>
    </w:p>
    <w:p>
      <w:pPr>
        <w:spacing w:after="0" w:line="70"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We have demonstrated clinical efficacy and tolerability in a Phase 2 study (RAPIDe-1) treating attacks of HAE. The data allowed us to compare the projected therapeutic performance of deucrictibant with that of icatibant. However, we have not conducted a head-to-head comparison of icatibant to deucrictibant in a clinical study. We plan to efficiently progress deucrictibant through clinical development for on-demand and prophylactic use with our on-demand immediate-release product candidate, PHVS416, and prophylactic extended-release product candidate, PHVS719, respectively. We commenced our RAPIDe-1 Phase 2 clinical trial of PHVS416 in February 2021 and reported topline Phase 2 data for the acute treatment of patients with HAE attacks in December 2022. We have also demonstrated clinical efficacy and tolerability in a Phase 2 study (CHAPTER-1) for prophylaxis of HAE attacks. We commenced the CHAPTER-1 Phase 2 clinical trial for prophylaxis in 2021 using twice-daily dosing of the PHVS416 soft capsules and announced positive topline data in December 2023. Our primary objective with this trial was to assess the efficacy and safety profile of PHVS416 dose regimens for prophylactic treatments in HAE patients. In February 2022, we reported Phase 1 clinical data with PHVS719 demonstrating pharmacokinetics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line="9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extended-release formulation and the potential for once-daily dosing. In healthy volunteers, a single dose of PHVS719 was well tolerated with an extended-release profile supporting once-daily dosing.</w:t>
      </w:r>
    </w:p>
    <w:p>
      <w:pPr>
        <w:spacing w:after="0" w:line="48"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w:t>
      </w:r>
    </w:p>
    <w:p>
      <w:pPr>
        <w:spacing w:after="0" w:line="72"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In addition, unforeseen global events, such as the armed conflict between Russia and Ukraine and the Hamas attack against Israel and the ensuing war, could adversely impact our business and operations. The invasion of Ukraine and the Hamas attack against Israel and the retaliatory measures that have been taken, or could be taken in the future, by the United States, NATO, and other countries have created global security concerns that could result in regional conflicts and also adversely affect our ability to conduct ongoing and future clinical trials of our product candidates. For example, our studies include a significant number of patients in Germany, Poland and Bulgaria, and one patient in Israel. A further escalation of the conflict in Ukraine and the Middle-East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Our ability to conduct clinical trials in these regions may also become restricted under applicable sanctions laws, which may require us to identify alternative trial sites. Any of the foregoing could impede the execution of our clinical development plans, which could materially harm our business.</w:t>
      </w:r>
    </w:p>
    <w:p>
      <w:pPr>
        <w:spacing w:after="0" w:line="77" w:lineRule="exact"/>
        <w:rPr>
          <w:sz w:val="20"/>
          <w:szCs w:val="20"/>
          <w:color w:val="auto"/>
        </w:rPr>
      </w:pPr>
    </w:p>
    <w:p>
      <w:pPr>
        <w:ind w:right="220" w:firstLine="458"/>
        <w:spacing w:after="0" w:line="253" w:lineRule="auto"/>
        <w:rPr>
          <w:sz w:val="20"/>
          <w:szCs w:val="20"/>
          <w:color w:val="auto"/>
        </w:rPr>
      </w:pPr>
      <w:r>
        <w:rPr>
          <w:rFonts w:ascii="Arial" w:cs="Arial" w:eastAsia="Arial" w:hAnsi="Arial"/>
          <w:sz w:val="16"/>
          <w:szCs w:val="16"/>
          <w:color w:val="auto"/>
        </w:rPr>
        <w:t>In August 2022, the U.S. Food and Drug Administration (“FDA”) placed a hold on the clinical trials of deucrictibant in the U.S. based on its review of nonclinical data. The FDA requested that we conduct an additional long-term rodent toxicology study and update the Investigator’s Brochure. We participated in a Type A meeting with the FDA to discuss paths to address the on-demand and prophylactic holds and aligned on a protocol for a 26-week rodent toxicology study.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pacing w:after="0" w:line="73"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Additional trials may be required by the FDA, EMA or other regulators even with positive data from RAPIDe-1 and CHAPTER-1. We are also planning to conduct a registration-directed trial in the on-demand setting and a registration-directed trial with patients who will be randomized to receive PHVS719 or placebo to assess safety and efficacy in HAE patients. In addition, we also plan to run an open-label extension study in the prophylactic setting with both rollover and non-rollover subjects to collect longer duration safety data.</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302" w:lineRule="exact"/>
        <w:rPr>
          <w:sz w:val="20"/>
          <w:szCs w:val="20"/>
          <w:color w:val="auto"/>
        </w:rPr>
      </w:pPr>
    </w:p>
    <w:p>
      <w:pPr>
        <w:ind w:right="80" w:firstLine="458"/>
        <w:spacing w:after="0" w:line="266" w:lineRule="auto"/>
        <w:rPr>
          <w:sz w:val="20"/>
          <w:szCs w:val="20"/>
          <w:color w:val="auto"/>
        </w:rPr>
      </w:pPr>
      <w:r>
        <w:rPr>
          <w:rFonts w:ascii="Arial" w:cs="Arial" w:eastAsia="Arial" w:hAnsi="Arial"/>
          <w:sz w:val="16"/>
          <w:szCs w:val="16"/>
          <w:color w:val="auto"/>
        </w:rPr>
        <w:t>On April 10, 2024, we announced the appointment of Mr. David W. Nassif to the newly created position of Chief Financial Officer, effective April 15, 2024. As Chief Financial Officer, Mr. Nassif will lead and oversee all of the Company’s financial activities and will be responsible for maintaining the financial health of the company.</w:t>
      </w:r>
    </w:p>
    <w:p>
      <w:pPr>
        <w:spacing w:after="0" w:line="63" w:lineRule="exact"/>
        <w:rPr>
          <w:sz w:val="20"/>
          <w:szCs w:val="20"/>
          <w:color w:val="auto"/>
        </w:rPr>
      </w:pPr>
    </w:p>
    <w:p>
      <w:pPr>
        <w:ind w:right="180" w:firstLine="458"/>
        <w:spacing w:after="0" w:line="286" w:lineRule="auto"/>
        <w:rPr>
          <w:sz w:val="20"/>
          <w:szCs w:val="20"/>
          <w:color w:val="auto"/>
        </w:rPr>
      </w:pPr>
      <w:r>
        <w:rPr>
          <w:rFonts w:ascii="Arial" w:cs="Arial" w:eastAsia="Arial" w:hAnsi="Arial"/>
          <w:sz w:val="16"/>
          <w:szCs w:val="16"/>
          <w:color w:val="auto"/>
        </w:rPr>
        <w:t>On April 12, 2024, we entered into a sales agreement with Leerink Partners (formerly known as SVB Securities LLC), pursuant to which we may sell ordinary shares having an aggregate offering price of up to $175 million from time to time through Leerink Partners.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Financial Operations Overview</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Revenues</w:t>
      </w:r>
    </w:p>
    <w:p>
      <w:pPr>
        <w:spacing w:after="0" w:line="179" w:lineRule="exact"/>
        <w:rPr>
          <w:sz w:val="20"/>
          <w:szCs w:val="20"/>
          <w:color w:val="auto"/>
        </w:rPr>
      </w:pPr>
    </w:p>
    <w:p>
      <w:pPr>
        <w:ind w:right="100" w:firstLine="374"/>
        <w:spacing w:after="0" w:line="286" w:lineRule="auto"/>
        <w:rPr>
          <w:sz w:val="20"/>
          <w:szCs w:val="20"/>
          <w:color w:val="auto"/>
        </w:rPr>
      </w:pPr>
      <w:r>
        <w:rPr>
          <w:rFonts w:ascii="Arial" w:cs="Arial" w:eastAsia="Arial" w:hAnsi="Arial"/>
          <w:sz w:val="16"/>
          <w:szCs w:val="16"/>
          <w:color w:val="auto"/>
        </w:rPr>
        <w:t>We did not record any revenues during the period covered by the historical financial information included in this Report. We do not expect to recognize any revenues before we are able to commercialize our first product.</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79" w:lineRule="exact"/>
        <w:rPr>
          <w:sz w:val="20"/>
          <w:szCs w:val="20"/>
          <w:color w:val="auto"/>
        </w:rPr>
      </w:pPr>
    </w:p>
    <w:p>
      <w:pPr>
        <w:ind w:right="200" w:firstLine="374"/>
        <w:spacing w:after="0" w:line="266" w:lineRule="auto"/>
        <w:rPr>
          <w:sz w:val="20"/>
          <w:szCs w:val="20"/>
          <w:color w:val="auto"/>
        </w:rPr>
      </w:pPr>
      <w:r>
        <w:rPr>
          <w:rFonts w:ascii="Arial" w:cs="Arial" w:eastAsia="Arial" w:hAnsi="Arial"/>
          <w:sz w:val="16"/>
          <w:szCs w:val="16"/>
          <w:color w:val="auto"/>
        </w:rPr>
        <w:t>We are focused on the clinical development of deucrictibant. Since our inception, we have devoted substantially all of our resources to research and development efforts relating to the development of deucrictibant and our product candidates PHVS416 and PHVS719. We expect that we will continue to incur significant research and development expenses as we seek to complete the clinical development of, and achieve regulatory approval for, our product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candidates PHVS416 and PHVS719, and in connection with discovery and development of any additional product candidates.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Research and development expenses consist of the following:</w:t>
      </w:r>
    </w:p>
    <w:p>
      <w:pPr>
        <w:spacing w:after="0" w:line="113" w:lineRule="exact"/>
        <w:rPr>
          <w:sz w:val="20"/>
          <w:szCs w:val="20"/>
          <w:color w:val="auto"/>
        </w:rPr>
      </w:pPr>
    </w:p>
    <w:p>
      <w:pPr>
        <w:ind w:left="900" w:right="60" w:hanging="428"/>
        <w:spacing w:after="0" w:line="285" w:lineRule="auto"/>
        <w:tabs>
          <w:tab w:leader="none" w:pos="9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expenses, which includes salaries, pensions, share-based compensation expenses, bonus plans and other related costs for research and development staff;</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nonclinical expenses, which include costs of our outsourced discovery and nonclinical development studies;</w:t>
      </w:r>
    </w:p>
    <w:p>
      <w:pPr>
        <w:spacing w:after="0" w:line="125" w:lineRule="exact"/>
        <w:rPr>
          <w:rFonts w:ascii="Times New Roman" w:cs="Times New Roman" w:eastAsia="Times New Roman" w:hAnsi="Times New Roman"/>
          <w:sz w:val="16"/>
          <w:szCs w:val="16"/>
          <w:color w:val="auto"/>
        </w:rPr>
      </w:pPr>
    </w:p>
    <w:p>
      <w:pPr>
        <w:ind w:left="900" w:right="280" w:hanging="428"/>
        <w:spacing w:after="0" w:line="285" w:lineRule="auto"/>
        <w:tabs>
          <w:tab w:leader="none" w:pos="9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clinical expenses, which includes costs of conducting and managing our sponsored clinical trials, including clinical investigator cost, costs of clinical sites, and costs for Contract Research Organizations ("CROs") assisting with our clinical development programs;</w:t>
      </w:r>
    </w:p>
    <w:p>
      <w:pPr>
        <w:spacing w:after="0" w:line="48" w:lineRule="exact"/>
        <w:rPr>
          <w:rFonts w:ascii="Times New Roman" w:cs="Times New Roman" w:eastAsia="Times New Roman" w:hAnsi="Times New Roman"/>
          <w:sz w:val="16"/>
          <w:szCs w:val="16"/>
          <w:color w:val="auto"/>
        </w:rPr>
      </w:pPr>
    </w:p>
    <w:p>
      <w:pPr>
        <w:ind w:left="900" w:right="100" w:hanging="428"/>
        <w:spacing w:after="0" w:line="285" w:lineRule="auto"/>
        <w:tabs>
          <w:tab w:leader="none" w:pos="9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expenses, which include costs related to manufacturing of active pharmaceutical ingredients and manufacturing of the products used in our clinical trials and research and development activities;</w:t>
      </w:r>
    </w:p>
    <w:p>
      <w:pPr>
        <w:spacing w:after="0" w:line="48" w:lineRule="exact"/>
        <w:rPr>
          <w:rFonts w:ascii="Times New Roman" w:cs="Times New Roman" w:eastAsia="Times New Roman" w:hAnsi="Times New Roman"/>
          <w:sz w:val="16"/>
          <w:szCs w:val="16"/>
          <w:color w:val="auto"/>
        </w:rPr>
      </w:pPr>
    </w:p>
    <w:p>
      <w:pPr>
        <w:ind w:left="900" w:right="220" w:hanging="428"/>
        <w:spacing w:after="0" w:line="285" w:lineRule="auto"/>
        <w:tabs>
          <w:tab w:leader="none" w:pos="9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costs in connection with investigator-sponsored clinical trials and evaluations;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advisers’ fees, including discovery, nonclinical, clinical, chemistry, manufacturing, and controls-related and other consulting services;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license costs.</w:t>
      </w:r>
    </w:p>
    <w:p>
      <w:pPr>
        <w:spacing w:after="0" w:line="193" w:lineRule="exact"/>
        <w:rPr>
          <w:sz w:val="20"/>
          <w:szCs w:val="20"/>
          <w:color w:val="auto"/>
        </w:rPr>
      </w:pPr>
    </w:p>
    <w:p>
      <w:pPr>
        <w:ind w:firstLine="374"/>
        <w:spacing w:after="0" w:line="266" w:lineRule="auto"/>
        <w:rPr>
          <w:sz w:val="20"/>
          <w:szCs w:val="20"/>
          <w:color w:val="auto"/>
        </w:rPr>
      </w:pPr>
      <w:r>
        <w:rPr>
          <w:rFonts w:ascii="Arial" w:cs="Arial" w:eastAsia="Arial" w:hAnsi="Arial"/>
          <w:sz w:val="16"/>
          <w:szCs w:val="16"/>
          <w:color w:val="auto"/>
        </w:rPr>
        <w:t>We expect that our total research and development expenses will increase in 2024 as we continue to focus on the development of our product candidates PHVS416 and PHVS719, as well as explore potential expansion programs. We anticipate that research and development expenses will continue to increase as we continue to progress PHVS416 and PHVS719 through clinical development.</w:t>
      </w:r>
    </w:p>
    <w:p>
      <w:pPr>
        <w:spacing w:after="0" w:line="131" w:lineRule="exact"/>
        <w:rPr>
          <w:sz w:val="20"/>
          <w:szCs w:val="20"/>
          <w:color w:val="auto"/>
        </w:rPr>
      </w:pPr>
    </w:p>
    <w:p>
      <w:pPr>
        <w:ind w:right="60" w:firstLine="374"/>
        <w:spacing w:after="0" w:line="266" w:lineRule="auto"/>
        <w:rPr>
          <w:sz w:val="20"/>
          <w:szCs w:val="20"/>
          <w:color w:val="auto"/>
        </w:rPr>
      </w:pPr>
      <w:r>
        <w:rPr>
          <w:rFonts w:ascii="Arial" w:cs="Arial" w:eastAsia="Arial" w:hAnsi="Arial"/>
          <w:sz w:val="16"/>
          <w:szCs w:val="16"/>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44" w:lineRule="exact"/>
        <w:rPr>
          <w:sz w:val="20"/>
          <w:szCs w:val="20"/>
          <w:color w:val="auto"/>
        </w:rPr>
      </w:pPr>
    </w:p>
    <w:p>
      <w:pPr>
        <w:ind w:right="140" w:firstLine="374"/>
        <w:spacing w:after="0" w:line="266" w:lineRule="auto"/>
        <w:rPr>
          <w:sz w:val="20"/>
          <w:szCs w:val="20"/>
          <w:color w:val="auto"/>
        </w:rPr>
      </w:pPr>
      <w:r>
        <w:rPr>
          <w:rFonts w:ascii="Arial" w:cs="Arial" w:eastAsia="Arial" w:hAnsi="Arial"/>
          <w:sz w:val="16"/>
          <w:szCs w:val="16"/>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w:t>
      </w:r>
    </w:p>
    <w:p>
      <w:pPr>
        <w:spacing w:after="0" w:line="131" w:lineRule="exact"/>
        <w:rPr>
          <w:sz w:val="20"/>
          <w:szCs w:val="20"/>
          <w:color w:val="auto"/>
        </w:rPr>
      </w:pPr>
    </w:p>
    <w:p>
      <w:pPr>
        <w:ind w:right="140" w:firstLine="374"/>
        <w:spacing w:after="0" w:line="266" w:lineRule="auto"/>
        <w:rPr>
          <w:sz w:val="20"/>
          <w:szCs w:val="20"/>
          <w:color w:val="auto"/>
        </w:rPr>
      </w:pPr>
      <w:r>
        <w:rPr>
          <w:rFonts w:ascii="Arial" w:cs="Arial" w:eastAsia="Arial" w:hAnsi="Arial"/>
          <w:sz w:val="16"/>
          <w:szCs w:val="16"/>
          <w:color w:val="auto"/>
        </w:rPr>
        <w:t>Moreover, we cannot assure that we will be able to successfully develop or commercialize our product candidates, if approved for marketing. This is due to numerous risks and uncertainties associated with developing drugs. See “Item 3. Key Information—D. Risk factors” in our Annual Report and under “Risk factors” in any other periodic filings with the Securities and Exchange Commission for a discussion of these risks and uncertainties.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Selling and distribution expenses</w:t>
      </w:r>
    </w:p>
    <w:p>
      <w:pPr>
        <w:spacing w:after="0" w:line="192" w:lineRule="exact"/>
        <w:rPr>
          <w:sz w:val="20"/>
          <w:szCs w:val="20"/>
          <w:color w:val="auto"/>
        </w:rPr>
      </w:pPr>
    </w:p>
    <w:p>
      <w:pPr>
        <w:ind w:right="60" w:firstLine="374"/>
        <w:spacing w:after="0" w:line="266" w:lineRule="auto"/>
        <w:rPr>
          <w:sz w:val="20"/>
          <w:szCs w:val="20"/>
          <w:color w:val="auto"/>
        </w:rPr>
      </w:pPr>
      <w:r>
        <w:rPr>
          <w:rFonts w:ascii="Arial" w:cs="Arial" w:eastAsia="Arial" w:hAnsi="Arial"/>
          <w:sz w:val="16"/>
          <w:szCs w:val="16"/>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 w:name="page13"/>
    <w:bookmarkEnd w:id="12"/>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consist of the following:</w:t>
      </w:r>
    </w:p>
    <w:p>
      <w:pPr>
        <w:spacing w:after="0" w:line="97" w:lineRule="exact"/>
        <w:rPr>
          <w:sz w:val="20"/>
          <w:szCs w:val="20"/>
          <w:color w:val="auto"/>
        </w:rPr>
      </w:pPr>
    </w:p>
    <w:p>
      <w:pPr>
        <w:ind w:left="1020" w:right="460" w:hanging="503"/>
        <w:spacing w:after="0" w:line="285"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including salaries, pensions, share-based compensation expenses, bonus plans and other related costs for staff and independent contractors in executive and operational functions;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independent auditors’ and advisers’ fees, including accounting, tax, legal and other consulting services;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rental expenses, insurance, facilities and IT expenses and other general expenses relating to our operations; and</w:t>
      </w:r>
    </w:p>
    <w:p>
      <w:pPr>
        <w:spacing w:after="0" w:line="125" w:lineRule="exact"/>
        <w:rPr>
          <w:rFonts w:ascii="Times New Roman" w:cs="Times New Roman" w:eastAsia="Times New Roman" w:hAnsi="Times New Roman"/>
          <w:sz w:val="16"/>
          <w:szCs w:val="16"/>
          <w:color w:val="auto"/>
        </w:rPr>
      </w:pPr>
    </w:p>
    <w:p>
      <w:pPr>
        <w:ind w:left="1020" w:right="140" w:hanging="503"/>
        <w:spacing w:after="0" w:line="285"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expenses related to the build-out of our commercial organization, including assessments of the HAE market landscape, pricing research and congress attendance.</w:t>
      </w:r>
    </w:p>
    <w:p>
      <w:pPr>
        <w:spacing w:after="0" w:line="116" w:lineRule="exact"/>
        <w:rPr>
          <w:sz w:val="20"/>
          <w:szCs w:val="20"/>
          <w:color w:val="auto"/>
        </w:rPr>
      </w:pPr>
    </w:p>
    <w:p>
      <w:pPr>
        <w:ind w:right="80" w:firstLine="374"/>
        <w:spacing w:after="0" w:line="266" w:lineRule="auto"/>
        <w:rPr>
          <w:sz w:val="20"/>
          <w:szCs w:val="20"/>
          <w:color w:val="auto"/>
        </w:rPr>
      </w:pPr>
      <w:r>
        <w:rPr>
          <w:rFonts w:ascii="Arial" w:cs="Arial" w:eastAsia="Arial" w:hAnsi="Arial"/>
          <w:sz w:val="16"/>
          <w:szCs w:val="16"/>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continue to incur additional costs associated with being a public company in the United States.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Share-based compensation expenses</w:t>
      </w:r>
    </w:p>
    <w:p>
      <w:pPr>
        <w:spacing w:after="0" w:line="192" w:lineRule="exact"/>
        <w:rPr>
          <w:sz w:val="20"/>
          <w:szCs w:val="20"/>
          <w:color w:val="auto"/>
        </w:rPr>
      </w:pPr>
    </w:p>
    <w:p>
      <w:pPr>
        <w:ind w:firstLine="374"/>
        <w:spacing w:after="0" w:line="252" w:lineRule="auto"/>
        <w:rPr>
          <w:sz w:val="20"/>
          <w:szCs w:val="20"/>
          <w:color w:val="auto"/>
        </w:rPr>
      </w:pPr>
      <w:r>
        <w:rPr>
          <w:rFonts w:ascii="Arial" w:cs="Arial" w:eastAsia="Arial" w:hAnsi="Arial"/>
          <w:sz w:val="16"/>
          <w:szCs w:val="16"/>
          <w:color w:val="auto"/>
        </w:rPr>
        <w:t>In 2016, we implemented an Equity Incentive Plan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(the “2021 Plan”) for employees, consultants and directors prior to the completion of our initial public offering (“IPO”). The 2021 Plan became effective upon our conversion from Pharvaris B.V. into Pharvaris N.V., which occurred prior to the consummation of our IPO. The 2021 Plan provides for the grant of options, stock appreciation rights, restricted stock, RSUs, performance stock awards, other stock-based awards, performance cash awards and substitute awards. The fair values of these instruments are recognized as personnel expenses in either research and development expenses or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 w:name="page14"/>
    <w:bookmarkEnd w:id="13"/>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 of operations</w:t>
      </w:r>
    </w:p>
    <w:p>
      <w:pPr>
        <w:spacing w:after="0" w:line="194" w:lineRule="exact"/>
        <w:rPr>
          <w:sz w:val="20"/>
          <w:szCs w:val="20"/>
          <w:color w:val="auto"/>
        </w:rPr>
      </w:pPr>
    </w:p>
    <w:p>
      <w:pPr>
        <w:ind w:right="100" w:firstLine="374"/>
        <w:spacing w:after="0" w:line="266" w:lineRule="auto"/>
        <w:rPr>
          <w:sz w:val="20"/>
          <w:szCs w:val="20"/>
          <w:color w:val="auto"/>
        </w:rPr>
      </w:pPr>
      <w:r>
        <w:rPr>
          <w:rFonts w:ascii="Arial" w:cs="Arial" w:eastAsia="Arial" w:hAnsi="Arial"/>
          <w:sz w:val="16"/>
          <w:szCs w:val="16"/>
          <w:color w:val="auto"/>
        </w:rPr>
        <w:t>The financial information shown below was derived from our unaudited condensed consolidated interim financial statements for the three months ended March 31, 2024 and 2023 included as Exhibit 99.3 to this Report on Form 6-K. The discussion below should be read along with these unaudited condensed consolidated interim financial statements, and it is qualified in its entirety by reference to them.</w:t>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Comparison of the three months ended March 31, 2024 and March 31, 2023.</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80" w:type="dxa"/>
            <w:vAlign w:val="bottom"/>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7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16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80" w:type="dxa"/>
            <w:vAlign w:val="bottom"/>
          </w:tcPr>
          <w:p>
            <w:pPr>
              <w:spacing w:after="0"/>
              <w:rPr>
                <w:sz w:val="18"/>
                <w:szCs w:val="18"/>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(18,513,016 )</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(13,744,431 )</w:t>
            </w:r>
          </w:p>
        </w:tc>
        <w:tc>
          <w:tcPr>
            <w:tcW w:w="5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(4,768,585 )</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(9,798,843 )</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(7,331,596 )</w:t>
            </w:r>
          </w:p>
        </w:tc>
        <w:tc>
          <w:tcPr>
            <w:tcW w:w="5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(2,467,247 )</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3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80" w:type="dxa"/>
            <w:vAlign w:val="bottom"/>
            <w:vMerge w:val="continue"/>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(28,311,859 )</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(21,076,027 )</w:t>
            </w:r>
          </w:p>
        </w:tc>
        <w:tc>
          <w:tcPr>
            <w:tcW w:w="5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(7,235,832 )</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31"/>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80" w:type="dxa"/>
            <w:vAlign w:val="bottom"/>
            <w:vMerge w:val="continue"/>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(28,311,859 )</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(21,076,027 )</w:t>
            </w:r>
          </w:p>
        </w:tc>
        <w:tc>
          <w:tcPr>
            <w:tcW w:w="5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(7,235,832 )</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31"/>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Finance income/(expense)</w:t>
            </w:r>
          </w:p>
        </w:tc>
        <w:tc>
          <w:tcPr>
            <w:tcW w:w="1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578,220</w:t>
            </w:r>
          </w:p>
        </w:tc>
        <w:tc>
          <w:tcPr>
            <w:tcW w:w="24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(1,494,265 )</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2,072,485</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0" w:type="dxa"/>
            <w:vAlign w:val="bottom"/>
          </w:tcPr>
          <w:p>
            <w:pPr>
              <w:spacing w:after="0"/>
              <w:rPr>
                <w:sz w:val="1"/>
                <w:szCs w:val="1"/>
                <w:color w:val="auto"/>
              </w:rPr>
            </w:pPr>
          </w:p>
        </w:tc>
      </w:tr>
      <w:tr>
        <w:trPr>
          <w:trHeight w:val="3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tax</w:t>
            </w:r>
          </w:p>
        </w:tc>
        <w:tc>
          <w:tcPr>
            <w:tcW w:w="1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80" w:type="dxa"/>
            <w:vAlign w:val="bottom"/>
            <w:vMerge w:val="continue"/>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(27,733,639 )</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(22,570,292 )</w:t>
            </w:r>
          </w:p>
        </w:tc>
        <w:tc>
          <w:tcPr>
            <w:tcW w:w="5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(5,163,347 )</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31"/>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(285,117 )</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(60,657 )</w:t>
            </w:r>
          </w:p>
        </w:tc>
        <w:tc>
          <w:tcPr>
            <w:tcW w:w="5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(224,460 )</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370 %</w:t>
            </w:r>
          </w:p>
        </w:tc>
        <w:tc>
          <w:tcPr>
            <w:tcW w:w="0" w:type="dxa"/>
            <w:vAlign w:val="bottom"/>
          </w:tcPr>
          <w:p>
            <w:pPr>
              <w:spacing w:after="0"/>
              <w:rPr>
                <w:sz w:val="1"/>
                <w:szCs w:val="1"/>
                <w:color w:val="auto"/>
              </w:rPr>
            </w:pPr>
          </w:p>
        </w:tc>
      </w:tr>
      <w:tr>
        <w:trPr>
          <w:trHeight w:val="3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1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(28,018,756 )</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(22,630,949 )</w:t>
            </w:r>
          </w:p>
        </w:tc>
        <w:tc>
          <w:tcPr>
            <w:tcW w:w="5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(5,387,807 )</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Revenues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did not generate any revenues for the three months ended March 31, 2024 and March 31, 2023.</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Research and development expenses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5"/>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0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15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0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Personnel expenses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(5,180,476 )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(4,217,700 )</w:t>
            </w:r>
          </w:p>
        </w:tc>
        <w:tc>
          <w:tcPr>
            <w:tcW w:w="4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(962,776 )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Clinical expenses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(7,321,412 )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(4,868,447 )</w:t>
            </w:r>
          </w:p>
        </w:tc>
        <w:tc>
          <w:tcPr>
            <w:tcW w:w="4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(2,452,965 )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 costs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(2,563,954 )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(1,907,086 )</w:t>
            </w:r>
          </w:p>
        </w:tc>
        <w:tc>
          <w:tcPr>
            <w:tcW w:w="4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(656,868 )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Nonclinical expenses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(1,835,466 )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(2,751,198 )</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915,732</w:t>
            </w:r>
          </w:p>
        </w:tc>
        <w:tc>
          <w:tcPr>
            <w:tcW w:w="22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License costs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(1,500,000 )</w:t>
            </w:r>
          </w:p>
        </w:tc>
        <w:tc>
          <w:tcPr>
            <w:tcW w:w="216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(1,500,000 )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Intellectual Property costs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(111,708 )</w:t>
            </w:r>
          </w:p>
        </w:tc>
        <w:tc>
          <w:tcPr>
            <w:tcW w:w="216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(111,708 )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3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research and development expenses</w:t>
            </w:r>
          </w:p>
        </w:tc>
        <w:tc>
          <w:tcPr>
            <w:tcW w:w="1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(18,513,016 )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(13,744,431 )</w:t>
            </w:r>
          </w:p>
        </w:tc>
        <w:tc>
          <w:tcPr>
            <w:tcW w:w="4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(4,768,585 )</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71" w:lineRule="exact"/>
        <w:rPr>
          <w:sz w:val="20"/>
          <w:szCs w:val="20"/>
          <w:color w:val="auto"/>
        </w:rPr>
      </w:pPr>
    </w:p>
    <w:p>
      <w:pPr>
        <w:ind w:right="340" w:firstLine="374"/>
        <w:spacing w:after="0" w:line="254" w:lineRule="auto"/>
        <w:rPr>
          <w:sz w:val="20"/>
          <w:szCs w:val="20"/>
          <w:color w:val="auto"/>
        </w:rPr>
      </w:pPr>
      <w:r>
        <w:rPr>
          <w:rFonts w:ascii="Arial" w:cs="Arial" w:eastAsia="Arial" w:hAnsi="Arial"/>
          <w:sz w:val="16"/>
          <w:szCs w:val="16"/>
          <w:color w:val="auto"/>
        </w:rPr>
        <w:t>Research and development expenses increased from €13.7 million for the three months ended March 31, 2023 to €18.5 million for the three months ended March 31, 2024. The increase in the research and development expenses is primarily due to (a) increased clinical expenses and (b) the upfront license fee of €1.5 million earned by AnalytiCon Discovery GmBH ("AnalytiCon") under the license agreement between the Company and AnalytiCon (the "AnalytiCon License") to collaborate for the development of an orally available bradykinin-B2-receptor antagonist. To date, AnalytiCon has earned an aggregate amount of approximately €2.7 million (approximately €0.3 million up-front plus €2.4 million in milestone achievements). Under the AnalytiCon License, up to €9 million in aggregate potential milestone payments remain outstanding.</w:t>
      </w:r>
    </w:p>
    <w:p>
      <w:pPr>
        <w:spacing w:after="0" w:line="155" w:lineRule="exact"/>
        <w:rPr>
          <w:sz w:val="20"/>
          <w:szCs w:val="20"/>
          <w:color w:val="auto"/>
        </w:rPr>
      </w:pPr>
    </w:p>
    <w:p>
      <w:pPr>
        <w:ind w:right="460" w:firstLine="374"/>
        <w:spacing w:after="0" w:line="266" w:lineRule="auto"/>
        <w:rPr>
          <w:sz w:val="20"/>
          <w:szCs w:val="20"/>
          <w:color w:val="auto"/>
        </w:rPr>
      </w:pPr>
      <w:r>
        <w:rPr>
          <w:rFonts w:ascii="Arial" w:cs="Arial" w:eastAsia="Arial" w:hAnsi="Arial"/>
          <w:sz w:val="16"/>
          <w:szCs w:val="16"/>
          <w:color w:val="auto"/>
        </w:rPr>
        <w:t>For the three months ended March 31, 2024 and 2023, personnel expenses were €5.2 million and €4.2 million, respectively. This represents an increase of €1.0 million, or 23%. The increase is primarily due to the increased headcount and yearly merit pay adjustments. Personnel expenses in this period in 2024 included an amount of €1.1 million (2023: €1.2 million) of share-based compensation.</w:t>
      </w:r>
    </w:p>
    <w:p>
      <w:pPr>
        <w:spacing w:after="0" w:line="144" w:lineRule="exact"/>
        <w:rPr>
          <w:sz w:val="20"/>
          <w:szCs w:val="20"/>
          <w:color w:val="auto"/>
        </w:rPr>
      </w:pPr>
    </w:p>
    <w:p>
      <w:pPr>
        <w:ind w:right="100" w:firstLine="374"/>
        <w:spacing w:after="0" w:line="286" w:lineRule="auto"/>
        <w:rPr>
          <w:sz w:val="20"/>
          <w:szCs w:val="20"/>
          <w:color w:val="auto"/>
        </w:rPr>
      </w:pPr>
      <w:r>
        <w:rPr>
          <w:rFonts w:ascii="Arial" w:cs="Arial" w:eastAsia="Arial" w:hAnsi="Arial"/>
          <w:sz w:val="16"/>
          <w:szCs w:val="16"/>
          <w:color w:val="auto"/>
        </w:rPr>
        <w:t>For the three months ended March 31, 2024 and 2023, clinical expenses were €7.3 million and €4.9 million, respectively. This represents an increase of €2.5 million, or 50%. The increase in clinical expenses is primarily due to</w:t>
      </w:r>
    </w:p>
    <w:p>
      <w:pPr>
        <w:spacing w:after="0" w:line="36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4" w:name="page15"/>
    <w:bookmarkEnd w:id="14"/>
    <w:p>
      <w:pPr>
        <w:ind w:right="220"/>
        <w:spacing w:after="0" w:line="286" w:lineRule="auto"/>
        <w:rPr>
          <w:sz w:val="20"/>
          <w:szCs w:val="20"/>
          <w:color w:val="auto"/>
        </w:rPr>
      </w:pPr>
      <w:r>
        <w:rPr>
          <w:rFonts w:ascii="Arial" w:cs="Arial" w:eastAsia="Arial" w:hAnsi="Arial"/>
          <w:sz w:val="16"/>
          <w:szCs w:val="16"/>
          <w:color w:val="auto"/>
        </w:rPr>
        <w:t>increased clinical trial activity, including the start of the RAPIDe-3, a global pivotal Phase 3 study of deucrictibant immediate-release capsule (PHVS416) for the on-demand treatment.</w:t>
      </w:r>
    </w:p>
    <w:p>
      <w:pPr>
        <w:spacing w:after="0" w:line="129" w:lineRule="exact"/>
        <w:rPr>
          <w:sz w:val="20"/>
          <w:szCs w:val="20"/>
          <w:color w:val="auto"/>
        </w:rPr>
      </w:pPr>
    </w:p>
    <w:p>
      <w:pPr>
        <w:ind w:right="420" w:firstLine="374"/>
        <w:spacing w:after="0" w:line="266" w:lineRule="auto"/>
        <w:rPr>
          <w:sz w:val="20"/>
          <w:szCs w:val="20"/>
          <w:color w:val="auto"/>
        </w:rPr>
      </w:pPr>
      <w:r>
        <w:rPr>
          <w:rFonts w:ascii="Arial" w:cs="Arial" w:eastAsia="Arial" w:hAnsi="Arial"/>
          <w:sz w:val="16"/>
          <w:szCs w:val="16"/>
          <w:color w:val="auto"/>
        </w:rPr>
        <w:t>For the three months ended March 31, 2024 and 2023, manufacturing costs were €2.6 million and €1.9 million, respectively. This represents an increase of €0.7 million, or 34%. Manufacturing costs were higher primarily due to increased expenses for manufacturing, process and analytical method development and stability studies as preparation for our clinical trials in 2024 and 2025, as well as to support our regulatory approval process.</w:t>
      </w:r>
    </w:p>
    <w:p>
      <w:pPr>
        <w:spacing w:after="0" w:line="144" w:lineRule="exact"/>
        <w:rPr>
          <w:sz w:val="20"/>
          <w:szCs w:val="20"/>
          <w:color w:val="auto"/>
        </w:rPr>
      </w:pPr>
    </w:p>
    <w:p>
      <w:pPr>
        <w:ind w:right="120" w:firstLine="374"/>
        <w:spacing w:after="0" w:line="266" w:lineRule="auto"/>
        <w:rPr>
          <w:sz w:val="20"/>
          <w:szCs w:val="20"/>
          <w:color w:val="auto"/>
        </w:rPr>
      </w:pPr>
      <w:r>
        <w:rPr>
          <w:rFonts w:ascii="Arial" w:cs="Arial" w:eastAsia="Arial" w:hAnsi="Arial"/>
          <w:sz w:val="16"/>
          <w:szCs w:val="16"/>
          <w:color w:val="auto"/>
        </w:rPr>
        <w:t>For the three months ended March 31, 2024 and 2023, nonclinical expenses were €1.8 million and €2.8 million, respectively. This represents an decrease of €0.9 million, or 33%. The decrease in nonclinical expenses is primarily due to the cost of the 26-week rodent toxicology study in 2023 to address the clinical hold in the U.S.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60" w:type="dxa"/>
            <w:vAlign w:val="bottom"/>
          </w:tcPr>
          <w:p>
            <w:pPr>
              <w:ind w:left="380"/>
              <w:spacing w:after="0"/>
              <w:rPr>
                <w:sz w:val="20"/>
                <w:szCs w:val="20"/>
                <w:color w:val="auto"/>
              </w:rPr>
            </w:pPr>
            <w:r>
              <w:rPr>
                <w:rFonts w:ascii="Arial" w:cs="Arial" w:eastAsia="Arial" w:hAnsi="Arial"/>
                <w:sz w:val="16"/>
                <w:szCs w:val="16"/>
                <w:i w:val="1"/>
                <w:iCs w:val="1"/>
                <w:color w:val="auto"/>
              </w:rPr>
              <w:t>General and administrative expenses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91"/>
        </w:trPr>
        <w:tc>
          <w:tcPr>
            <w:tcW w:w="5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gridSpan w:val="4"/>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5"/>
        </w:trPr>
        <w:tc>
          <w:tcPr>
            <w:tcW w:w="526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5260" w:type="dxa"/>
            <w:vAlign w:val="bottom"/>
          </w:tcPr>
          <w:p>
            <w:pPr>
              <w:spacing w:after="0"/>
              <w:rPr>
                <w:sz w:val="19"/>
                <w:szCs w:val="19"/>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212"/>
        </w:trPr>
        <w:tc>
          <w:tcPr>
            <w:tcW w:w="5260" w:type="dxa"/>
            <w:vAlign w:val="bottom"/>
          </w:tcPr>
          <w:p>
            <w:pPr>
              <w:spacing w:after="0"/>
              <w:rPr>
                <w:sz w:val="18"/>
                <w:szCs w:val="18"/>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8"/>
                <w:szCs w:val="18"/>
                <w:color w:val="auto"/>
              </w:rPr>
            </w:pPr>
          </w:p>
        </w:tc>
        <w:tc>
          <w:tcPr>
            <w:tcW w:w="142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2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Personnel expenses</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(3,270,195 )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(3,301,584 )</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31,389</w:t>
            </w: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Facilities, communication and office expenses</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(1,680,267 )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(1,491,273 )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(188,994 )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13 %</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(1,177,229 )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(882,470 )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(294,759 )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33 %</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Accounting, tax and auditing fees</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(1,254,086 )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(359,353 )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(894,733 )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249 %</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Travel expenses</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(624,029 )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(322,733 )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(301,296 )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93 %</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Consulting fees</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(126,525 )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(177,869 )</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51,344</w:t>
            </w: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4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(1,666,512 )</w:t>
            </w:r>
          </w:p>
        </w:tc>
        <w:tc>
          <w:tcPr>
            <w:tcW w:w="120" w:type="dxa"/>
            <w:vAlign w:val="bottom"/>
          </w:tcPr>
          <w:p>
            <w:pPr>
              <w:spacing w:after="0"/>
              <w:rPr>
                <w:sz w:val="21"/>
                <w:szCs w:val="21"/>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(796,314 )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(870,198 )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109 %</w:t>
            </w:r>
          </w:p>
        </w:tc>
      </w:tr>
      <w:tr>
        <w:trPr>
          <w:trHeight w:val="20"/>
        </w:trPr>
        <w:tc>
          <w:tcPr>
            <w:tcW w:w="5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(9,798,843 )</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(7,331,596 )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(2,467,247 )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34 %</w:t>
            </w:r>
          </w:p>
        </w:tc>
      </w:tr>
      <w:tr>
        <w:trPr>
          <w:trHeight w:val="20"/>
        </w:trPr>
        <w:tc>
          <w:tcPr>
            <w:tcW w:w="5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1" w:lineRule="exact"/>
        <w:rPr>
          <w:sz w:val="20"/>
          <w:szCs w:val="20"/>
          <w:color w:val="auto"/>
        </w:rPr>
      </w:pPr>
    </w:p>
    <w:p>
      <w:pPr>
        <w:ind w:right="100" w:firstLine="374"/>
        <w:spacing w:after="0" w:line="266" w:lineRule="auto"/>
        <w:rPr>
          <w:sz w:val="20"/>
          <w:szCs w:val="20"/>
          <w:color w:val="auto"/>
        </w:rPr>
      </w:pPr>
      <w:r>
        <w:rPr>
          <w:rFonts w:ascii="Arial" w:cs="Arial" w:eastAsia="Arial" w:hAnsi="Arial"/>
          <w:sz w:val="16"/>
          <w:szCs w:val="16"/>
          <w:color w:val="auto"/>
        </w:rPr>
        <w:t>General and administrative expenses increased from €7.3 million for the three months ended March 31, 2023 to €9.8 million for the three months ended March 31, 2024. The increase in general and administrative expenses was primarily due to increased accounting, tax and auditing fees related to our equity offerings as well as increased other expenses. The increase in other expenses was primarily due to industry sponsorships and corporate events.</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Finance income - net / (expense)</w:t>
      </w:r>
    </w:p>
    <w:p>
      <w:pPr>
        <w:spacing w:after="0" w:line="179" w:lineRule="exact"/>
        <w:rPr>
          <w:sz w:val="20"/>
          <w:szCs w:val="20"/>
          <w:color w:val="auto"/>
        </w:rPr>
      </w:pPr>
    </w:p>
    <w:p>
      <w:pPr>
        <w:ind w:right="120" w:firstLine="374"/>
        <w:spacing w:after="0" w:line="266" w:lineRule="auto"/>
        <w:rPr>
          <w:sz w:val="20"/>
          <w:szCs w:val="20"/>
          <w:color w:val="auto"/>
        </w:rPr>
      </w:pPr>
      <w:r>
        <w:rPr>
          <w:rFonts w:ascii="Arial" w:cs="Arial" w:eastAsia="Arial" w:hAnsi="Arial"/>
          <w:sz w:val="16"/>
          <w:szCs w:val="16"/>
          <w:color w:val="auto"/>
        </w:rPr>
        <w:t>Finance income for the three months ended March 31, 2024 and 2023 were €0.6 million and (€1.5) million, respectively. The amount primarily relates to unrealized foreign exchange (losses)/income, which is mostly the result of translating the Company’s bank balances held in USD to EUR, which is the functional currency of the Company.</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Income taxes</w:t>
      </w:r>
    </w:p>
    <w:p>
      <w:pPr>
        <w:spacing w:after="0" w:line="192" w:lineRule="exact"/>
        <w:rPr>
          <w:sz w:val="20"/>
          <w:szCs w:val="20"/>
          <w:color w:val="auto"/>
        </w:rPr>
      </w:pPr>
    </w:p>
    <w:p>
      <w:pPr>
        <w:ind w:right="100" w:firstLine="374"/>
        <w:spacing w:after="0" w:line="256" w:lineRule="auto"/>
        <w:rPr>
          <w:sz w:val="20"/>
          <w:szCs w:val="20"/>
          <w:color w:val="auto"/>
        </w:rPr>
      </w:pPr>
      <w:r>
        <w:rPr>
          <w:rFonts w:ascii="Arial" w:cs="Arial" w:eastAsia="Arial" w:hAnsi="Arial"/>
          <w:sz w:val="16"/>
          <w:szCs w:val="16"/>
          <w:color w:val="auto"/>
        </w:rPr>
        <w:t>Income taxes are accounted for in accordance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and subsequently allocated using the expected full-year effective tax rate. The one-off items are recognized in full in the interim period in which they emerge. In the total interim tax charge, no distinction is made between current and deferred tax expenses/income.</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tax expense over the three months ended March 31, 2024 relates to the Company's U.S. and Dutch fiscal unity.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ind w:right="220" w:firstLine="374"/>
        <w:spacing w:after="0" w:line="259" w:lineRule="auto"/>
        <w:rPr>
          <w:sz w:val="20"/>
          <w:szCs w:val="20"/>
          <w:color w:val="auto"/>
        </w:rPr>
      </w:pPr>
      <w:r>
        <w:rPr>
          <w:rFonts w:ascii="Arial" w:cs="Arial" w:eastAsia="Arial" w:hAnsi="Arial"/>
          <w:sz w:val="16"/>
          <w:szCs w:val="16"/>
          <w:color w:val="auto"/>
        </w:rPr>
        <w:t>Since inception, we have incurred significant operating losses. For the three months ended March 31, 2024 and 2023, we incurred losses of €28.0 million and €22.7 million, respectively. Since inception, we have not generated any revenues or net cash flows from sales. We will not receive any revenues or net cash flows from sales until we successfully develop a product candidate, obtain regulatory approval and successfully commercialize it. There is no assurance that we will be able to do so.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21" w:right="239" w:bottom="1440" w:gutter="0" w:footer="0" w:header="0"/>
        </w:sectPr>
      </w:pPr>
    </w:p>
    <w:bookmarkStart w:id="15" w:name="page16"/>
    <w:bookmarkEnd w:id="15"/>
    <w:p>
      <w:pPr>
        <w:ind w:right="300" w:firstLine="374"/>
        <w:spacing w:after="0" w:line="266" w:lineRule="auto"/>
        <w:rPr>
          <w:sz w:val="20"/>
          <w:szCs w:val="20"/>
          <w:color w:val="auto"/>
        </w:rPr>
      </w:pPr>
      <w:r>
        <w:rPr>
          <w:rFonts w:ascii="Arial" w:cs="Arial" w:eastAsia="Arial" w:hAnsi="Arial"/>
          <w:sz w:val="16"/>
          <w:szCs w:val="16"/>
          <w:color w:val="auto"/>
        </w:rPr>
        <w:t>To date, we have relied solely on the issuance of equity securities to finance our operations and internal growth. On March 1, 2022, we entered into a sales agreement (the "2022 Sales Agreement") with Leerink Partners (formerly known as SVB Securities LLC), pursuant to which we may sell ordinary shares having an aggregate offering price of up to $75 million from time to time through Leerink Partners.</w:t>
      </w:r>
    </w:p>
    <w:p>
      <w:pPr>
        <w:spacing w:after="0" w:line="144" w:lineRule="exact"/>
        <w:rPr>
          <w:sz w:val="20"/>
          <w:szCs w:val="20"/>
          <w:color w:val="auto"/>
        </w:rPr>
      </w:pPr>
    </w:p>
    <w:p>
      <w:pPr>
        <w:ind w:right="300" w:firstLine="374"/>
        <w:spacing w:after="0" w:line="259" w:lineRule="auto"/>
        <w:rPr>
          <w:sz w:val="20"/>
          <w:szCs w:val="20"/>
          <w:color w:val="auto"/>
        </w:rPr>
      </w:pPr>
      <w:r>
        <w:rPr>
          <w:rFonts w:ascii="Arial" w:cs="Arial" w:eastAsia="Arial" w:hAnsi="Arial"/>
          <w:sz w:val="16"/>
          <w:szCs w:val="16"/>
          <w:color w:val="auto"/>
        </w:rPr>
        <w:t>As of March 31, 2024, we have sold a total of 593,927 ordinary shares under the 2022 Sales Agreement generating total net proceeds of $9.8 million (€9.3 million), after deducting $0.3 million (€0.3 million), which was payable to Leerink Partners as commission in respect of such sales. On April 12, 2024, we terminated the 2022 Sales Agreement and entered into a new sales agreement with Leerink Partners, pursuant to which we may sell ordinary shares having an aggregate offering price of up to $175 million from time to time through Leerink Partners.</w:t>
      </w:r>
    </w:p>
    <w:p>
      <w:pPr>
        <w:spacing w:after="0" w:line="151" w:lineRule="exact"/>
        <w:rPr>
          <w:sz w:val="20"/>
          <w:szCs w:val="20"/>
          <w:color w:val="auto"/>
        </w:rPr>
      </w:pPr>
    </w:p>
    <w:p>
      <w:pPr>
        <w:ind w:right="280" w:firstLine="374"/>
        <w:spacing w:after="0" w:line="286" w:lineRule="auto"/>
        <w:rPr>
          <w:sz w:val="20"/>
          <w:szCs w:val="20"/>
          <w:color w:val="auto"/>
        </w:rPr>
      </w:pPr>
      <w:r>
        <w:rPr>
          <w:rFonts w:ascii="Arial" w:cs="Arial" w:eastAsia="Arial" w:hAnsi="Arial"/>
          <w:sz w:val="16"/>
          <w:szCs w:val="16"/>
          <w:color w:val="auto"/>
        </w:rPr>
        <w:t>In June 2023, the Company sold a total of 6,951,340 ordinary shares, par value €0.12 per share, in a private placement at a purchase price of $10.07 per ordinary share. The sale generated total proceeds of approximately $70 million (€64.2 million).</w:t>
      </w:r>
    </w:p>
    <w:p>
      <w:pPr>
        <w:spacing w:after="0" w:line="129" w:lineRule="exact"/>
        <w:rPr>
          <w:sz w:val="20"/>
          <w:szCs w:val="20"/>
          <w:color w:val="auto"/>
        </w:rPr>
      </w:pPr>
    </w:p>
    <w:p>
      <w:pPr>
        <w:ind w:right="200" w:firstLine="374"/>
        <w:spacing w:after="0" w:line="259" w:lineRule="auto"/>
        <w:rPr>
          <w:sz w:val="20"/>
          <w:szCs w:val="20"/>
          <w:color w:val="auto"/>
        </w:rPr>
      </w:pPr>
      <w:r>
        <w:rPr>
          <w:rFonts w:ascii="Arial" w:cs="Arial" w:eastAsia="Arial" w:hAnsi="Arial"/>
          <w:sz w:val="16"/>
          <w:szCs w:val="16"/>
          <w:color w:val="auto"/>
        </w:rPr>
        <w:t>During December 2023, we entered into an underwriting agreement with Morgan Stanley &amp; Co. LLC and Leerink Partners as underwriters, pursuant to which we agreed to issue and sell (i) 11,125,000 ordinary shares, par value €0.12 per share and (ii) pre-funded warrants to purchase up to 1,375,000 ordinary shares in an underwritten offering. The Offering closed on December 8, 2023, and we generated net proceeds of $282.0 million (€261.6 million), after deducting bank fees of $18.0 million (€16.7 million).</w:t>
      </w:r>
    </w:p>
    <w:p>
      <w:pPr>
        <w:spacing w:after="0" w:line="147" w:lineRule="exact"/>
        <w:rPr>
          <w:sz w:val="20"/>
          <w:szCs w:val="20"/>
          <w:color w:val="auto"/>
        </w:rPr>
      </w:pPr>
    </w:p>
    <w:p>
      <w:pPr>
        <w:ind w:right="180" w:firstLine="374"/>
        <w:spacing w:after="0" w:line="259" w:lineRule="auto"/>
        <w:rPr>
          <w:sz w:val="20"/>
          <w:szCs w:val="20"/>
          <w:color w:val="auto"/>
        </w:rPr>
      </w:pPr>
      <w:r>
        <w:rPr>
          <w:rFonts w:ascii="Arial" w:cs="Arial" w:eastAsia="Arial" w:hAnsi="Arial"/>
          <w:sz w:val="16"/>
          <w:szCs w:val="16"/>
          <w:color w:val="auto"/>
        </w:rPr>
        <w:t>As of March 31, 2024 we held cash and cash equivalents of €368.3 million. Of the cash on hand, €0.07 million relates to guarantees</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for at least twelve months from the issuance date of the consolidated statements of loss and comprehensive loss. Accordingly, the consolidated statements of loss and comprehensive loss have been prepared on a going concern basis.</w:t>
      </w:r>
    </w:p>
    <w:p>
      <w:pPr>
        <w:spacing w:after="0" w:line="150" w:lineRule="exact"/>
        <w:rPr>
          <w:sz w:val="20"/>
          <w:szCs w:val="20"/>
          <w:color w:val="auto"/>
        </w:rPr>
      </w:pPr>
    </w:p>
    <w:p>
      <w:pPr>
        <w:ind w:right="100" w:firstLine="374"/>
        <w:spacing w:after="0" w:line="254" w:lineRule="auto"/>
        <w:rPr>
          <w:sz w:val="20"/>
          <w:szCs w:val="20"/>
          <w:color w:val="auto"/>
        </w:rPr>
      </w:pPr>
      <w:r>
        <w:rPr>
          <w:rFonts w:ascii="Arial" w:cs="Arial" w:eastAsia="Arial" w:hAnsi="Arial"/>
          <w:sz w:val="16"/>
          <w:szCs w:val="16"/>
          <w:color w:val="auto"/>
        </w:rPr>
        <w:t>Our future viability is dependent on our ability to raise additional capital to finance operations. We will need to finance our operations through public or private securities offerings, debt financings or other sources, which may include licensing, collaborations or other strategic transactions or arrangements. Although we have been successful in raising capital in the past, there is no assurance that we will be successful in obtaining such additional financing on terms acceptable to us, if at all. If we are unable to obtain funding, we could be forced to delay, reduce, or eliminate some or all of our research and development programs for product candidates, product portfolio expansion or commercialization efforts, which could adversely affect our business prospects, or we may be unable to continue operations.</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contractual obligations and commitments as of March 31, 2024 amounted to €67.9 million primarily related to research and development contracts.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Comparison for the three months ended March 31, 2024 and 2023.</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primary sources and uses of our cash and cash equivalents for each of the periods set forth below:</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gridSpan w:val="5"/>
          </w:tcPr>
          <w:p>
            <w:pPr>
              <w:jc w:val="right"/>
              <w:ind w:right="11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9"/>
                <w:szCs w:val="19"/>
                <w:color w:val="auto"/>
              </w:rPr>
            </w:pPr>
          </w:p>
        </w:tc>
        <w:tc>
          <w:tcPr>
            <w:tcW w:w="15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8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 w:type="dxa"/>
            <w:vAlign w:val="bottom"/>
          </w:tcPr>
          <w:p>
            <w:pPr>
              <w:spacing w:after="0"/>
              <w:rPr>
                <w:sz w:val="18"/>
                <w:szCs w:val="18"/>
                <w:color w:val="auto"/>
              </w:rPr>
            </w:pPr>
          </w:p>
        </w:tc>
        <w:tc>
          <w:tcPr>
            <w:tcW w:w="154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flows used in operating activities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(24,231,811 )</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(25,204,785 )</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972,974</w:t>
            </w:r>
          </w:p>
        </w:tc>
        <w:tc>
          <w:tcPr>
            <w:tcW w:w="2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(30,708 )</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(19,038 )</w:t>
            </w:r>
          </w:p>
        </w:tc>
        <w:tc>
          <w:tcPr>
            <w:tcW w:w="2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(11,670 )</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flows provided by (used in) financing activities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795,042</w:t>
            </w:r>
          </w:p>
        </w:tc>
        <w:tc>
          <w:tcPr>
            <w:tcW w:w="14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(56,752 )</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851,794</w:t>
            </w:r>
          </w:p>
        </w:tc>
        <w:tc>
          <w:tcPr>
            <w:tcW w:w="2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(1501 )%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(23,467,477 )</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(25,280,575 )</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1,813,098</w:t>
            </w:r>
          </w:p>
        </w:tc>
        <w:tc>
          <w:tcPr>
            <w:tcW w:w="2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391,231,637</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161,837,429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229,394,208</w:t>
            </w:r>
          </w:p>
        </w:tc>
        <w:tc>
          <w:tcPr>
            <w:tcW w:w="2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142 %</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578,008</w:t>
            </w:r>
          </w:p>
        </w:tc>
        <w:tc>
          <w:tcPr>
            <w:tcW w:w="14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(1,375,631 )</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1,953,639</w:t>
            </w:r>
          </w:p>
        </w:tc>
        <w:tc>
          <w:tcPr>
            <w:tcW w:w="2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0" w:type="dxa"/>
            <w:vAlign w:val="bottom"/>
          </w:tcPr>
          <w:p>
            <w:pPr>
              <w:spacing w:after="0"/>
              <w:rPr>
                <w:sz w:val="1"/>
                <w:szCs w:val="1"/>
                <w:color w:val="auto"/>
              </w:rPr>
            </w:pPr>
          </w:p>
        </w:tc>
      </w:tr>
      <w:tr>
        <w:trPr>
          <w:trHeight w:val="3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the end of the period</w:t>
            </w:r>
          </w:p>
        </w:tc>
        <w:tc>
          <w:tcPr>
            <w:tcW w:w="1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368,342,168</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135,181,223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233,160,945</w:t>
            </w: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172 %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21" w:right="239" w:bottom="1440" w:gutter="0" w:footer="0" w:header="0"/>
        </w:sectPr>
      </w:pPr>
    </w:p>
    <w:bookmarkStart w:id="16" w:name="page17"/>
    <w:bookmarkEnd w:id="16"/>
    <w:p>
      <w:pPr>
        <w:spacing w:after="0" w:line="186"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79" w:lineRule="exact"/>
        <w:rPr>
          <w:sz w:val="20"/>
          <w:szCs w:val="20"/>
          <w:color w:val="auto"/>
        </w:rPr>
      </w:pPr>
    </w:p>
    <w:p>
      <w:pPr>
        <w:ind w:right="700" w:firstLine="374"/>
        <w:spacing w:after="0" w:line="286" w:lineRule="auto"/>
        <w:rPr>
          <w:sz w:val="20"/>
          <w:szCs w:val="20"/>
          <w:color w:val="auto"/>
        </w:rPr>
      </w:pPr>
      <w:r>
        <w:rPr>
          <w:rFonts w:ascii="Arial" w:cs="Arial" w:eastAsia="Arial" w:hAnsi="Arial"/>
          <w:sz w:val="16"/>
          <w:szCs w:val="16"/>
          <w:color w:val="auto"/>
        </w:rPr>
        <w:t>Net cash flows used in operating activities, reflects our results for the period adjusted for, among other things, depreciation, unrealized foreign exchange results, share-based compensation arrangements, changes in working capital and accruals.</w:t>
      </w:r>
    </w:p>
    <w:p>
      <w:pPr>
        <w:spacing w:after="0" w:line="129" w:lineRule="exact"/>
        <w:rPr>
          <w:sz w:val="20"/>
          <w:szCs w:val="20"/>
          <w:color w:val="auto"/>
        </w:rPr>
      </w:pPr>
    </w:p>
    <w:p>
      <w:pPr>
        <w:ind w:right="280" w:firstLine="374"/>
        <w:spacing w:after="0" w:line="259" w:lineRule="auto"/>
        <w:rPr>
          <w:sz w:val="20"/>
          <w:szCs w:val="20"/>
          <w:color w:val="auto"/>
        </w:rPr>
      </w:pPr>
      <w:r>
        <w:rPr>
          <w:rFonts w:ascii="Arial" w:cs="Arial" w:eastAsia="Arial" w:hAnsi="Arial"/>
          <w:sz w:val="16"/>
          <w:szCs w:val="16"/>
          <w:color w:val="auto"/>
        </w:rPr>
        <w:t>Net cash used in operating activities was €24.2 million for the three months ended March 31, 2024, a decrease of €1.0 million compared to €25.2 million for the three months ended March 31, 2023. Operating cash is adjusted for non-cash items such as the decrease in share-based compensation of €0.2 million and a change in net foreign exchange (gains) losses of (€2.1 million). Working capital increased by €8.5 million, in part due to the change of current assets by €4.9 million, current liabilities of €1.4 million and a change in accrued liabilities of €2.0 million.</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79" w:lineRule="exact"/>
        <w:rPr>
          <w:sz w:val="20"/>
          <w:szCs w:val="20"/>
          <w:color w:val="auto"/>
        </w:rPr>
      </w:pPr>
    </w:p>
    <w:p>
      <w:pPr>
        <w:jc w:val="both"/>
        <w:ind w:right="220" w:firstLine="374"/>
        <w:spacing w:after="0" w:line="266" w:lineRule="auto"/>
        <w:rPr>
          <w:sz w:val="20"/>
          <w:szCs w:val="20"/>
          <w:color w:val="auto"/>
        </w:rPr>
      </w:pPr>
      <w:r>
        <w:rPr>
          <w:rFonts w:ascii="Arial" w:cs="Arial" w:eastAsia="Arial" w:hAnsi="Arial"/>
          <w:sz w:val="16"/>
          <w:szCs w:val="16"/>
          <w:color w:val="auto"/>
        </w:rPr>
        <w:t>Net cash flows provided by (used in) financing activities increased by €0.9 million from (€0.1) million for the three months ended March 31, 2023, to €0.8 million for the three months ended March 31, 2024. The cash inflow in the three months ended March 31, 2024 relates to a partial reimbursement for certain of the Company’s expenses in connection with the December 2023 offering.</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March 31, 2024, we did not have any off-balance sheet arrangements other than the disclosed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194"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During the three months ended March 31, 2024, there were no significant changes to our quantitative and qualitative disclosures about market risk from those reported in “Item 11. Quantitative and Qualitative Disclosures About Market Risk” in the Annual Report.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181" w:lineRule="exact"/>
        <w:rPr>
          <w:sz w:val="20"/>
          <w:szCs w:val="20"/>
          <w:color w:val="auto"/>
        </w:rPr>
      </w:pPr>
    </w:p>
    <w:p>
      <w:pPr>
        <w:ind w:right="700" w:firstLine="374"/>
        <w:spacing w:after="0" w:line="286"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in Note 2.19 to our consolidated financial statements in the Annual Report.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94" w:lineRule="exact"/>
        <w:rPr>
          <w:sz w:val="20"/>
          <w:szCs w:val="20"/>
          <w:color w:val="auto"/>
        </w:rPr>
      </w:pPr>
    </w:p>
    <w:p>
      <w:pPr>
        <w:ind w:right="100" w:firstLine="374"/>
        <w:spacing w:after="0" w:line="252" w:lineRule="auto"/>
        <w:rPr>
          <w:sz w:val="20"/>
          <w:szCs w:val="20"/>
          <w:color w:val="auto"/>
        </w:rPr>
      </w:pPr>
      <w:r>
        <w:rPr>
          <w:rFonts w:ascii="Arial" w:cs="Arial" w:eastAsia="Arial" w:hAnsi="Arial"/>
          <w:sz w:val="16"/>
          <w:szCs w:val="16"/>
          <w:color w:val="auto"/>
        </w:rPr>
        <w:t>Certain statements in this management’s discussion and analysis are or may be forward-looking statements with respect to us, our industry and our business that involve substantial risks and uncertainties. All statements other than statements of historical fact contained in this management’s discussion and analysis,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Factors that might cause such a difference include, but are not limited to:</w:t>
      </w:r>
    </w:p>
    <w:p>
      <w:pPr>
        <w:spacing w:after="0" w:line="302" w:lineRule="exact"/>
        <w:rPr>
          <w:sz w:val="20"/>
          <w:szCs w:val="20"/>
          <w:color w:val="auto"/>
        </w:rPr>
      </w:pPr>
    </w:p>
    <w:p>
      <w:pPr>
        <w:ind w:left="1020" w:right="260" w:hanging="503"/>
        <w:spacing w:after="0" w:line="285"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uncertainty in the outcome of our interactions with regulatory authorities, including the FDA, with respect to clinical trials in the U.S. and our ability to resolve any issues to the satisfaction of the FDA or any regulatory agency in a timely manner;</w:t>
      </w:r>
    </w:p>
    <w:p>
      <w:pPr>
        <w:spacing w:after="0" w:line="48" w:lineRule="exact"/>
        <w:rPr>
          <w:rFonts w:ascii="Times New Roman" w:cs="Times New Roman" w:eastAsia="Times New Roman" w:hAnsi="Times New Roman"/>
          <w:sz w:val="16"/>
          <w:szCs w:val="16"/>
          <w:color w:val="auto"/>
        </w:rPr>
      </w:pPr>
    </w:p>
    <w:p>
      <w:pPr>
        <w:ind w:left="1020" w:right="320" w:hanging="503"/>
        <w:spacing w:after="0" w:line="285"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the expected timing, progress, or success of our clinical development programs, especially for PHVS416 (immediate-release deucrictibant capsules) and PHVS719 (extended-release deucrictibant tablets), which are in late-stage global clinical trials;</w:t>
      </w:r>
    </w:p>
    <w:p>
      <w:pPr>
        <w:spacing w:after="0" w:line="48" w:lineRule="exact"/>
        <w:rPr>
          <w:rFonts w:ascii="Times New Roman" w:cs="Times New Roman" w:eastAsia="Times New Roman" w:hAnsi="Times New Roman"/>
          <w:sz w:val="16"/>
          <w:szCs w:val="16"/>
          <w:color w:val="auto"/>
        </w:rPr>
      </w:pPr>
    </w:p>
    <w:p>
      <w:pPr>
        <w:ind w:left="1020" w:right="40" w:hanging="503"/>
        <w:spacing w:after="0" w:line="285" w:lineRule="auto"/>
        <w:tabs>
          <w:tab w:leader="none" w:pos="102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replicate the efficacy and safety demonstrated in the RAPIDe-1 and CHAPTER-1 Phase 2 study in ongoing and future nonclinical studies and clinical trials;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90" w:lineRule="exact"/>
        <w:rPr>
          <w:sz w:val="20"/>
          <w:szCs w:val="20"/>
          <w:color w:val="auto"/>
        </w:rPr>
      </w:pPr>
    </w:p>
    <w:p>
      <w:pPr>
        <w:ind w:left="503" w:right="360" w:hanging="503"/>
        <w:spacing w:after="0" w:line="285" w:lineRule="auto"/>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risks arising from epidemic diseases, such as the COVID-19 pandemic, which may adversely impact our business, nonclinical studies and clinical trials, the outcome and timing of regulatory approvals and the value of our ordinary shares;</w:t>
      </w:r>
    </w:p>
    <w:p>
      <w:pPr>
        <w:spacing w:after="0" w:line="48" w:lineRule="exact"/>
        <w:rPr>
          <w:rFonts w:ascii="Times New Roman" w:cs="Times New Roman" w:eastAsia="Times New Roman" w:hAnsi="Times New Roman"/>
          <w:sz w:val="16"/>
          <w:szCs w:val="16"/>
          <w:color w:val="auto"/>
        </w:rPr>
      </w:pPr>
    </w:p>
    <w:p>
      <w:pPr>
        <w:ind w:left="503" w:right="360" w:hanging="503"/>
        <w:spacing w:after="0" w:line="285" w:lineRule="auto"/>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costs and other limitations involved in obtaining regulatory approval for our product candidates PHVS416 and PHVS719 or any other product candidate that we may develop in the future;</w:t>
      </w:r>
    </w:p>
    <w:p>
      <w:pPr>
        <w:spacing w:after="0" w:line="48" w:lineRule="exact"/>
        <w:rPr>
          <w:rFonts w:ascii="Times New Roman" w:cs="Times New Roman" w:eastAsia="Times New Roman" w:hAnsi="Times New Roman"/>
          <w:sz w:val="16"/>
          <w:szCs w:val="16"/>
          <w:color w:val="auto"/>
        </w:rPr>
      </w:pPr>
    </w:p>
    <w:p>
      <w:pPr>
        <w:ind w:left="503" w:right="220" w:hanging="503"/>
        <w:spacing w:after="0" w:line="285" w:lineRule="auto"/>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market, commercialize and achieve market acceptance for our product candidates PHVS416 and PHVS719 or any of our other product candidates that we may develop in the future, if approved;</w:t>
      </w:r>
    </w:p>
    <w:p>
      <w:pPr>
        <w:spacing w:after="0" w:line="48" w:lineRule="exact"/>
        <w:rPr>
          <w:rFonts w:ascii="Times New Roman" w:cs="Times New Roman" w:eastAsia="Times New Roman" w:hAnsi="Times New Roman"/>
          <w:sz w:val="16"/>
          <w:szCs w:val="16"/>
          <w:color w:val="auto"/>
        </w:rPr>
      </w:pPr>
    </w:p>
    <w:p>
      <w:pPr>
        <w:ind w:left="503" w:hanging="503"/>
        <w:spacing w:after="0"/>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25" w:lineRule="exact"/>
        <w:rPr>
          <w:rFonts w:ascii="Times New Roman" w:cs="Times New Roman" w:eastAsia="Times New Roman" w:hAnsi="Times New Roman"/>
          <w:sz w:val="16"/>
          <w:szCs w:val="16"/>
          <w:color w:val="auto"/>
        </w:rPr>
      </w:pPr>
    </w:p>
    <w:p>
      <w:pPr>
        <w:ind w:left="503" w:right="20" w:hanging="503"/>
        <w:spacing w:after="0" w:line="285" w:lineRule="auto"/>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dependence on third parties to perform critical activities related to the research, nonclinical safety and toxicology studies, development and manufacturing of our product candidates;</w:t>
      </w:r>
    </w:p>
    <w:p>
      <w:pPr>
        <w:spacing w:after="0" w:line="48" w:lineRule="exact"/>
        <w:rPr>
          <w:rFonts w:ascii="Times New Roman" w:cs="Times New Roman" w:eastAsia="Times New Roman" w:hAnsi="Times New Roman"/>
          <w:sz w:val="16"/>
          <w:szCs w:val="16"/>
          <w:color w:val="auto"/>
        </w:rPr>
      </w:pPr>
    </w:p>
    <w:p>
      <w:pPr>
        <w:ind w:left="503" w:hanging="503"/>
        <w:spacing w:after="0"/>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disruptions at the FDA and other government agencies;</w:t>
      </w:r>
    </w:p>
    <w:p>
      <w:pPr>
        <w:spacing w:after="0" w:line="125" w:lineRule="exact"/>
        <w:rPr>
          <w:rFonts w:ascii="Times New Roman" w:cs="Times New Roman" w:eastAsia="Times New Roman" w:hAnsi="Times New Roman"/>
          <w:sz w:val="16"/>
          <w:szCs w:val="16"/>
          <w:color w:val="auto"/>
        </w:rPr>
      </w:pPr>
    </w:p>
    <w:p>
      <w:pPr>
        <w:ind w:left="503" w:right="200" w:hanging="503"/>
        <w:spacing w:after="0" w:line="285" w:lineRule="auto"/>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the expense, time and uncertainty involved in the development and consistent manufacturing and supply of our product candidates, some or all of which may never reach the regulatory approval stage;</w:t>
      </w:r>
    </w:p>
    <w:p>
      <w:pPr>
        <w:spacing w:after="0" w:line="48" w:lineRule="exact"/>
        <w:rPr>
          <w:rFonts w:ascii="Times New Roman" w:cs="Times New Roman" w:eastAsia="Times New Roman" w:hAnsi="Times New Roman"/>
          <w:sz w:val="16"/>
          <w:szCs w:val="16"/>
          <w:color w:val="auto"/>
        </w:rPr>
      </w:pPr>
    </w:p>
    <w:p>
      <w:pPr>
        <w:ind w:left="503" w:hanging="503"/>
        <w:spacing w:after="0"/>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raise capital when needed and on acceptable terms;</w:t>
      </w:r>
    </w:p>
    <w:p>
      <w:pPr>
        <w:spacing w:after="0" w:line="125" w:lineRule="exact"/>
        <w:rPr>
          <w:rFonts w:ascii="Times New Roman" w:cs="Times New Roman" w:eastAsia="Times New Roman" w:hAnsi="Times New Roman"/>
          <w:sz w:val="16"/>
          <w:szCs w:val="16"/>
          <w:color w:val="auto"/>
        </w:rPr>
      </w:pPr>
    </w:p>
    <w:p>
      <w:pPr>
        <w:ind w:left="503" w:hanging="503"/>
        <w:spacing w:after="0"/>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any new licensing agreements or to maintain any licensing agreements with respect to our product candidates;</w:t>
      </w:r>
    </w:p>
    <w:p>
      <w:pPr>
        <w:spacing w:after="0" w:line="125" w:lineRule="exact"/>
        <w:rPr>
          <w:rFonts w:ascii="Times New Roman" w:cs="Times New Roman" w:eastAsia="Times New Roman" w:hAnsi="Times New Roman"/>
          <w:sz w:val="16"/>
          <w:szCs w:val="16"/>
          <w:color w:val="auto"/>
        </w:rPr>
      </w:pPr>
    </w:p>
    <w:p>
      <w:pPr>
        <w:ind w:left="503" w:hanging="503"/>
        <w:spacing w:after="0"/>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reliance on collaboration partners and licensees, whose actions we cannot control;</w:t>
      </w:r>
    </w:p>
    <w:p>
      <w:pPr>
        <w:spacing w:after="0" w:line="125" w:lineRule="exact"/>
        <w:rPr>
          <w:rFonts w:ascii="Times New Roman" w:cs="Times New Roman" w:eastAsia="Times New Roman" w:hAnsi="Times New Roman"/>
          <w:sz w:val="16"/>
          <w:szCs w:val="16"/>
          <w:color w:val="auto"/>
        </w:rPr>
      </w:pPr>
    </w:p>
    <w:p>
      <w:pPr>
        <w:ind w:left="503" w:hanging="503"/>
        <w:spacing w:after="0"/>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private insurers and other payors to provide reimbursement for our products;</w:t>
      </w:r>
    </w:p>
    <w:p>
      <w:pPr>
        <w:spacing w:after="0" w:line="125" w:lineRule="exact"/>
        <w:rPr>
          <w:rFonts w:ascii="Times New Roman" w:cs="Times New Roman" w:eastAsia="Times New Roman" w:hAnsi="Times New Roman"/>
          <w:sz w:val="16"/>
          <w:szCs w:val="16"/>
          <w:color w:val="auto"/>
        </w:rPr>
      </w:pPr>
    </w:p>
    <w:p>
      <w:pPr>
        <w:ind w:left="503" w:hanging="503"/>
        <w:spacing w:after="0"/>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regulatory developments in the United States, the European Union and other jurisdictions;</w:t>
      </w:r>
    </w:p>
    <w:p>
      <w:pPr>
        <w:spacing w:after="0" w:line="125" w:lineRule="exact"/>
        <w:rPr>
          <w:rFonts w:ascii="Times New Roman" w:cs="Times New Roman" w:eastAsia="Times New Roman" w:hAnsi="Times New Roman"/>
          <w:sz w:val="16"/>
          <w:szCs w:val="16"/>
          <w:color w:val="auto"/>
        </w:rPr>
      </w:pPr>
    </w:p>
    <w:p>
      <w:pPr>
        <w:ind w:left="503" w:hanging="503"/>
        <w:spacing w:after="0"/>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the outcome and timing of price negotiations with governmental authorities;</w:t>
      </w:r>
    </w:p>
    <w:p>
      <w:pPr>
        <w:spacing w:after="0" w:line="125" w:lineRule="exact"/>
        <w:rPr>
          <w:rFonts w:ascii="Times New Roman" w:cs="Times New Roman" w:eastAsia="Times New Roman" w:hAnsi="Times New Roman"/>
          <w:sz w:val="16"/>
          <w:szCs w:val="16"/>
          <w:color w:val="auto"/>
        </w:rPr>
      </w:pPr>
    </w:p>
    <w:p>
      <w:pPr>
        <w:ind w:left="503" w:right="240" w:hanging="503"/>
        <w:spacing w:after="0" w:line="285" w:lineRule="auto"/>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compete in the pharmaceutical industry, including with respect to existing therapies, emerging potentially competitive therapies and with competitive generic products;</w:t>
      </w:r>
    </w:p>
    <w:p>
      <w:pPr>
        <w:spacing w:after="0" w:line="48" w:lineRule="exact"/>
        <w:rPr>
          <w:rFonts w:ascii="Times New Roman" w:cs="Times New Roman" w:eastAsia="Times New Roman" w:hAnsi="Times New Roman"/>
          <w:sz w:val="16"/>
          <w:szCs w:val="16"/>
          <w:color w:val="auto"/>
        </w:rPr>
      </w:pPr>
    </w:p>
    <w:p>
      <w:pPr>
        <w:ind w:left="503" w:right="500" w:hanging="503"/>
        <w:spacing w:after="0" w:line="285" w:lineRule="auto"/>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protect our intellectual property and know-how and operate our business without infringing the intellectual property rights or regulatory exclusivity of others;</w:t>
      </w:r>
    </w:p>
    <w:p>
      <w:pPr>
        <w:spacing w:after="0" w:line="48" w:lineRule="exact"/>
        <w:rPr>
          <w:rFonts w:ascii="Times New Roman" w:cs="Times New Roman" w:eastAsia="Times New Roman" w:hAnsi="Times New Roman"/>
          <w:sz w:val="16"/>
          <w:szCs w:val="16"/>
          <w:color w:val="auto"/>
        </w:rPr>
      </w:pPr>
    </w:p>
    <w:p>
      <w:pPr>
        <w:ind w:left="503" w:hanging="503"/>
        <w:spacing w:after="0"/>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side effects or adverse events associated with the use of our product candidates;</w:t>
      </w:r>
    </w:p>
    <w:p>
      <w:pPr>
        <w:spacing w:after="0" w:line="125" w:lineRule="exact"/>
        <w:rPr>
          <w:rFonts w:ascii="Times New Roman" w:cs="Times New Roman" w:eastAsia="Times New Roman" w:hAnsi="Times New Roman"/>
          <w:sz w:val="16"/>
          <w:szCs w:val="16"/>
          <w:color w:val="auto"/>
        </w:rPr>
      </w:pPr>
    </w:p>
    <w:p>
      <w:pPr>
        <w:ind w:left="503" w:right="740" w:hanging="503"/>
        <w:spacing w:after="0" w:line="285" w:lineRule="auto"/>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defend against costly and damaging liability claims resulting from the testing of our product candidates in the clinic or, if, approved, any commercial sales;</w:t>
      </w:r>
    </w:p>
    <w:p>
      <w:pPr>
        <w:spacing w:after="0" w:line="48" w:lineRule="exact"/>
        <w:rPr>
          <w:rFonts w:ascii="Times New Roman" w:cs="Times New Roman" w:eastAsia="Times New Roman" w:hAnsi="Times New Roman"/>
          <w:sz w:val="16"/>
          <w:szCs w:val="16"/>
          <w:color w:val="auto"/>
        </w:rPr>
      </w:pPr>
    </w:p>
    <w:p>
      <w:pPr>
        <w:ind w:left="503" w:hanging="503"/>
        <w:spacing w:after="0"/>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any of our key personnel;</w:t>
      </w:r>
    </w:p>
    <w:p>
      <w:pPr>
        <w:spacing w:after="0" w:line="125" w:lineRule="exact"/>
        <w:rPr>
          <w:rFonts w:ascii="Times New Roman" w:cs="Times New Roman" w:eastAsia="Times New Roman" w:hAnsi="Times New Roman"/>
          <w:sz w:val="16"/>
          <w:szCs w:val="16"/>
          <w:color w:val="auto"/>
        </w:rPr>
      </w:pPr>
    </w:p>
    <w:p>
      <w:pPr>
        <w:ind w:left="503" w:hanging="503"/>
        <w:spacing w:after="0"/>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market sizes and anticipated uses of our product candidates;</w:t>
      </w:r>
    </w:p>
    <w:p>
      <w:pPr>
        <w:spacing w:after="0" w:line="125" w:lineRule="exact"/>
        <w:rPr>
          <w:rFonts w:ascii="Times New Roman" w:cs="Times New Roman" w:eastAsia="Times New Roman" w:hAnsi="Times New Roman"/>
          <w:sz w:val="16"/>
          <w:szCs w:val="16"/>
          <w:color w:val="auto"/>
        </w:rPr>
      </w:pPr>
    </w:p>
    <w:p>
      <w:pPr>
        <w:ind w:left="503" w:hanging="503"/>
        <w:spacing w:after="0"/>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future performance;</w:t>
      </w:r>
    </w:p>
    <w:p>
      <w:pPr>
        <w:spacing w:after="0" w:line="125" w:lineRule="exact"/>
        <w:rPr>
          <w:rFonts w:ascii="Times New Roman" w:cs="Times New Roman" w:eastAsia="Times New Roman" w:hAnsi="Times New Roman"/>
          <w:sz w:val="16"/>
          <w:szCs w:val="16"/>
          <w:color w:val="auto"/>
        </w:rPr>
      </w:pPr>
    </w:p>
    <w:p>
      <w:pPr>
        <w:ind w:left="503" w:hanging="503"/>
        <w:spacing w:after="0"/>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125" w:lineRule="exact"/>
        <w:rPr>
          <w:rFonts w:ascii="Times New Roman" w:cs="Times New Roman" w:eastAsia="Times New Roman" w:hAnsi="Times New Roman"/>
          <w:sz w:val="16"/>
          <w:szCs w:val="16"/>
          <w:color w:val="auto"/>
        </w:rPr>
      </w:pPr>
    </w:p>
    <w:p>
      <w:pPr>
        <w:ind w:left="503" w:hanging="503"/>
        <w:spacing w:after="0"/>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comply with existing or future laws and regulations in a cost-efficient manner;</w:t>
      </w:r>
    </w:p>
    <w:p>
      <w:pPr>
        <w:spacing w:after="0" w:line="125" w:lineRule="exact"/>
        <w:rPr>
          <w:rFonts w:ascii="Times New Roman" w:cs="Times New Roman" w:eastAsia="Times New Roman" w:hAnsi="Times New Roman"/>
          <w:sz w:val="16"/>
          <w:szCs w:val="16"/>
          <w:color w:val="auto"/>
        </w:rPr>
      </w:pPr>
    </w:p>
    <w:p>
      <w:pPr>
        <w:ind w:left="503" w:hanging="503"/>
        <w:spacing w:after="0"/>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negative consequences from changes in applicable laws and regulations, including tax laws;</w:t>
      </w:r>
    </w:p>
    <w:p>
      <w:pPr>
        <w:spacing w:after="0" w:line="125" w:lineRule="exact"/>
        <w:rPr>
          <w:rFonts w:ascii="Times New Roman" w:cs="Times New Roman" w:eastAsia="Times New Roman" w:hAnsi="Times New Roman"/>
          <w:sz w:val="16"/>
          <w:szCs w:val="16"/>
          <w:color w:val="auto"/>
        </w:rPr>
      </w:pPr>
    </w:p>
    <w:p>
      <w:pPr>
        <w:ind w:left="503" w:hanging="503"/>
        <w:spacing w:after="0" w:line="285" w:lineRule="auto"/>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successfully remediate the material weaknesses in our internal control over financial reporting and to maintain an effective system of internal control over financial reporting;</w:t>
      </w:r>
    </w:p>
    <w:p>
      <w:pPr>
        <w:spacing w:after="0" w:line="48" w:lineRule="exact"/>
        <w:rPr>
          <w:rFonts w:ascii="Times New Roman" w:cs="Times New Roman" w:eastAsia="Times New Roman" w:hAnsi="Times New Roman"/>
          <w:sz w:val="16"/>
          <w:szCs w:val="16"/>
          <w:color w:val="auto"/>
        </w:rPr>
      </w:pPr>
    </w:p>
    <w:p>
      <w:pPr>
        <w:ind w:left="503" w:right="40" w:hanging="503"/>
        <w:spacing w:after="0" w:line="285" w:lineRule="auto"/>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our expectations regarding the time during which we will be an emerging growth company under the Jumpstart Our Business Startups Act or a foreign private issuer; and</w:t>
      </w:r>
    </w:p>
    <w:p>
      <w:pPr>
        <w:spacing w:after="0" w:line="48" w:lineRule="exact"/>
        <w:rPr>
          <w:rFonts w:ascii="Times New Roman" w:cs="Times New Roman" w:eastAsia="Times New Roman" w:hAnsi="Times New Roman"/>
          <w:sz w:val="16"/>
          <w:szCs w:val="16"/>
          <w:color w:val="auto"/>
        </w:rPr>
      </w:pPr>
    </w:p>
    <w:p>
      <w:pPr>
        <w:ind w:left="503" w:right="40" w:hanging="503"/>
        <w:spacing w:after="0" w:line="285" w:lineRule="auto"/>
        <w:tabs>
          <w:tab w:leader="none" w:pos="503"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changes and uncertainty in general market, political and economic conditions, including as a result of inflation and the current conflict between Russia and Ukraine and the Hamas attack against Israel and the ensuing war.</w:t>
      </w:r>
    </w:p>
    <w:p>
      <w:pPr>
        <w:spacing w:after="0" w:line="200" w:lineRule="exact"/>
        <w:rPr>
          <w:sz w:val="20"/>
          <w:szCs w:val="20"/>
          <w:color w:val="auto"/>
        </w:rPr>
      </w:pPr>
    </w:p>
    <w:p>
      <w:pPr>
        <w:spacing w:after="0" w:line="384"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18" w:name="page19"/>
    <w:bookmarkEnd w:id="18"/>
    <w:p>
      <w:pPr>
        <w:ind w:firstLine="374"/>
        <w:spacing w:after="0" w:line="259" w:lineRule="auto"/>
        <w:rPr>
          <w:sz w:val="20"/>
          <w:szCs w:val="20"/>
          <w:color w:val="auto"/>
        </w:rPr>
      </w:pPr>
      <w:r>
        <w:rPr>
          <w:rFonts w:ascii="Arial" w:cs="Arial" w:eastAsia="Arial" w:hAnsi="Arial"/>
          <w:sz w:val="16"/>
          <w:szCs w:val="16"/>
          <w:color w:val="auto"/>
        </w:rPr>
        <w:t>You should refer to “ITEM 3. Key information—D. Risk factors.” section of our Annual Report and under “Risk factors” in any other periodic filings with the Securities and Exchange Commission for a discussion of important factors that may cause our actual results to differ materially from those expressed or implied by our forward-looking statements. As a result of these factors, we cannot assure you that the forward-looking statements in this management’s discussion and analysis will prove to be accurate. Furthermore, if our forward-looking statements prove to be inaccurate, the inaccuracy may be material.</w:t>
      </w:r>
    </w:p>
    <w:p>
      <w:pPr>
        <w:spacing w:after="0" w:line="137" w:lineRule="exact"/>
        <w:rPr>
          <w:sz w:val="20"/>
          <w:szCs w:val="20"/>
          <w:color w:val="auto"/>
        </w:rPr>
      </w:pPr>
    </w:p>
    <w:p>
      <w:pPr>
        <w:ind w:right="60" w:firstLine="374"/>
        <w:spacing w:after="0" w:line="286" w:lineRule="auto"/>
        <w:rPr>
          <w:sz w:val="20"/>
          <w:szCs w:val="20"/>
          <w:color w:val="auto"/>
        </w:rPr>
      </w:pPr>
      <w:r>
        <w:rPr>
          <w:rFonts w:ascii="Arial" w:cs="Arial" w:eastAsia="Arial" w:hAnsi="Arial"/>
          <w:sz w:val="16"/>
          <w:szCs w:val="16"/>
          <w:color w:val="auto"/>
        </w:rPr>
        <w:t>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29" w:lineRule="exact"/>
        <w:rPr>
          <w:sz w:val="20"/>
          <w:szCs w:val="20"/>
          <w:color w:val="auto"/>
        </w:rPr>
      </w:pPr>
    </w:p>
    <w:p>
      <w:pPr>
        <w:ind w:right="360" w:firstLine="374"/>
        <w:spacing w:after="0" w:line="286"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except as required by law.</w:t>
      </w:r>
    </w:p>
    <w:p>
      <w:pPr>
        <w:spacing w:after="0" w:line="115" w:lineRule="exact"/>
        <w:rPr>
          <w:sz w:val="20"/>
          <w:szCs w:val="20"/>
          <w:color w:val="auto"/>
        </w:rPr>
      </w:pPr>
    </w:p>
    <w:p>
      <w:pPr>
        <w:ind w:firstLine="374"/>
        <w:spacing w:after="0" w:line="256" w:lineRule="auto"/>
        <w:rPr>
          <w:sz w:val="20"/>
          <w:szCs w:val="20"/>
          <w:color w:val="auto"/>
        </w:rPr>
      </w:pPr>
      <w:r>
        <w:rPr>
          <w:rFonts w:ascii="Arial" w:cs="Arial" w:eastAsia="Arial" w:hAnsi="Arial"/>
          <w:sz w:val="16"/>
          <w:szCs w:val="16"/>
          <w:color w:val="auto"/>
        </w:rPr>
        <w:t>In addition, statements that “we believe” and other similar statements reflect our belief and opinions on the relevant subject. These statements are based upon information available to us as of the date of this management’s discussion and analysis,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21" w:right="4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Pharvaris N.V.</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Condensed Consolidated Interim Financial Statements</w:t>
      </w:r>
    </w:p>
    <w:p>
      <w:pPr>
        <w:spacing w:after="0"/>
        <w:rPr>
          <w:sz w:val="20"/>
          <w:szCs w:val="20"/>
          <w:color w:val="auto"/>
        </w:rPr>
      </w:pPr>
      <w:r>
        <w:rPr>
          <w:rFonts w:ascii="Arial" w:cs="Arial" w:eastAsia="Arial" w:hAnsi="Arial"/>
          <w:sz w:val="22"/>
          <w:szCs w:val="22"/>
          <w:b w:val="1"/>
          <w:bCs w:val="1"/>
          <w:color w:val="auto"/>
        </w:rPr>
        <w:t>For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1228090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Contents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Loss and Other Comprehensive Income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3</w:t>
            </w:r>
          </w:p>
        </w:tc>
      </w:tr>
      <w:tr>
        <w:trPr>
          <w:trHeight w:val="466"/>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financial position</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4</w:t>
            </w:r>
          </w:p>
        </w:tc>
      </w:tr>
      <w:tr>
        <w:trPr>
          <w:trHeight w:val="466"/>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changes in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5</w:t>
            </w:r>
          </w:p>
        </w:tc>
      </w:tr>
      <w:tr>
        <w:trPr>
          <w:trHeight w:val="466"/>
        </w:trPr>
        <w:tc>
          <w:tcPr>
            <w:tcW w:w="111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cash flows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6</w:t>
            </w:r>
          </w:p>
        </w:tc>
      </w:tr>
      <w:tr>
        <w:trPr>
          <w:trHeight w:val="466"/>
        </w:trPr>
        <w:tc>
          <w:tcPr>
            <w:tcW w:w="11120" w:type="dxa"/>
            <w:vAlign w:val="bottom"/>
          </w:tcPr>
          <w:p>
            <w:pPr>
              <w:spacing w:after="0"/>
              <w:rPr>
                <w:sz w:val="20"/>
                <w:szCs w:val="20"/>
                <w:color w:val="auto"/>
              </w:rPr>
            </w:pPr>
            <w:r>
              <w:rPr>
                <w:rFonts w:ascii="Arial" w:cs="Arial" w:eastAsia="Arial" w:hAnsi="Arial"/>
                <w:sz w:val="16"/>
                <w:szCs w:val="16"/>
                <w:b w:val="1"/>
                <w:bCs w:val="1"/>
                <w:color w:val="auto"/>
              </w:rPr>
              <w:t>Notes to the unaudited condensed consolidated interim financial statements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 of loss and other comprehensive income</w:t>
      </w: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color w:val="auto"/>
              </w:rPr>
              <w:t>Three months ended March 31,</w:t>
            </w:r>
          </w:p>
        </w:tc>
      </w:tr>
      <w:tr>
        <w:trPr>
          <w:trHeight w:val="243"/>
        </w:trPr>
        <w:tc>
          <w:tcPr>
            <w:tcW w:w="6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1"/>
                <w:szCs w:val="21"/>
                <w:color w:val="auto"/>
              </w:rPr>
            </w:pPr>
          </w:p>
        </w:tc>
        <w:tc>
          <w:tcPr>
            <w:tcW w:w="15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21"/>
                <w:szCs w:val="21"/>
                <w:color w:val="auto"/>
              </w:rPr>
            </w:pPr>
          </w:p>
        </w:tc>
      </w:tr>
      <w:tr>
        <w:trPr>
          <w:trHeight w:val="220"/>
        </w:trPr>
        <w:tc>
          <w:tcPr>
            <w:tcW w:w="6320" w:type="dxa"/>
            <w:vAlign w:val="bottom"/>
          </w:tcPr>
          <w:p>
            <w:pPr>
              <w:spacing w:after="0"/>
              <w:rPr>
                <w:sz w:val="19"/>
                <w:szCs w:val="19"/>
                <w:color w:val="auto"/>
              </w:rPr>
            </w:pPr>
          </w:p>
        </w:tc>
        <w:tc>
          <w:tcPr>
            <w:tcW w:w="1320" w:type="dxa"/>
            <w:vAlign w:val="bottom"/>
          </w:tcPr>
          <w:p>
            <w:pPr>
              <w:jc w:val="center"/>
              <w:ind w:left="859"/>
              <w:spacing w:after="0"/>
              <w:rPr>
                <w:sz w:val="20"/>
                <w:szCs w:val="20"/>
                <w:color w:val="auto"/>
              </w:rPr>
            </w:pPr>
            <w:r>
              <w:rPr>
                <w:rFonts w:ascii="Times New Roman" w:cs="Times New Roman" w:eastAsia="Times New Roman" w:hAnsi="Times New Roman"/>
                <w:sz w:val="16"/>
                <w:szCs w:val="16"/>
                <w:color w:val="auto"/>
              </w:rPr>
              <w:t>Notes</w:t>
            </w:r>
          </w:p>
        </w:tc>
        <w:tc>
          <w:tcPr>
            <w:tcW w:w="2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3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3</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(18,513,016 )</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(13,744,431 )</w:t>
            </w:r>
          </w:p>
        </w:tc>
      </w:tr>
      <w:tr>
        <w:trPr>
          <w:trHeight w:val="227"/>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32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4</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(9,798,843 )</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(7,331,596 )</w:t>
            </w:r>
          </w:p>
        </w:tc>
      </w:tr>
      <w:tr>
        <w:trPr>
          <w:trHeight w:val="20"/>
        </w:trPr>
        <w:tc>
          <w:tcPr>
            <w:tcW w:w="6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(28,311,859 )</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(21,076,027 )</w:t>
            </w:r>
          </w:p>
        </w:tc>
      </w:tr>
      <w:tr>
        <w:trPr>
          <w:trHeight w:val="22"/>
        </w:trPr>
        <w:tc>
          <w:tcPr>
            <w:tcW w:w="632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Finance income/(expense)</w:t>
            </w:r>
          </w:p>
        </w:tc>
        <w:tc>
          <w:tcPr>
            <w:tcW w:w="132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6</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578,220</w:t>
            </w:r>
          </w:p>
        </w:tc>
        <w:tc>
          <w:tcPr>
            <w:tcW w:w="1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(1,494,265 )</w:t>
            </w:r>
          </w:p>
        </w:tc>
      </w:tr>
      <w:tr>
        <w:trPr>
          <w:trHeight w:val="20"/>
        </w:trPr>
        <w:tc>
          <w:tcPr>
            <w:tcW w:w="6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(27,733,639 )</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(22,570,292 )</w:t>
            </w:r>
          </w:p>
        </w:tc>
      </w:tr>
      <w:tr>
        <w:trPr>
          <w:trHeight w:val="22"/>
        </w:trPr>
        <w:tc>
          <w:tcPr>
            <w:tcW w:w="632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7"/>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32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7</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(285,117 )</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(60,657 )</w:t>
            </w:r>
          </w:p>
        </w:tc>
      </w:tr>
      <w:tr>
        <w:trPr>
          <w:trHeight w:val="20"/>
        </w:trPr>
        <w:tc>
          <w:tcPr>
            <w:tcW w:w="6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3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(28,018,756 )</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(22,630,949 )</w:t>
            </w:r>
          </w:p>
        </w:tc>
      </w:tr>
      <w:tr>
        <w:trPr>
          <w:trHeight w:val="208"/>
        </w:trPr>
        <w:tc>
          <w:tcPr>
            <w:tcW w:w="6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3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8"/>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Items that may be reclassified to profit or loss:</w:t>
            </w:r>
          </w:p>
        </w:tc>
        <w:tc>
          <w:tcPr>
            <w:tcW w:w="1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Exchange gains/(losses) arising on translation of foreign operations</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35,633</w:t>
            </w:r>
          </w:p>
        </w:tc>
        <w:tc>
          <w:tcPr>
            <w:tcW w:w="1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(30,509 )</w:t>
            </w:r>
          </w:p>
        </w:tc>
      </w:tr>
      <w:tr>
        <w:trPr>
          <w:trHeight w:val="20"/>
        </w:trPr>
        <w:tc>
          <w:tcPr>
            <w:tcW w:w="6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 attributable to:</w:t>
            </w: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Equity holders of the Company</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(27,983,123 )</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(22,661,458 )</w:t>
            </w:r>
          </w:p>
        </w:tc>
      </w:tr>
      <w:tr>
        <w:trPr>
          <w:trHeight w:val="20"/>
        </w:trPr>
        <w:tc>
          <w:tcPr>
            <w:tcW w:w="6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per share attributable to the equity holders of the Company during the periods</w:t>
            </w: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(0.52 )</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-1703070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-1703070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-1394460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-1394460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-1085850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-1068705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-1085850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-1068705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4" w:right="39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Unaudited condensed consolidated statement of financial position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March 31,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7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tcPr>
          <w:p>
            <w:pPr>
              <w:spacing w:after="0"/>
              <w:rPr>
                <w:sz w:val="19"/>
                <w:szCs w:val="19"/>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7680" w:type="dxa"/>
            <w:vAlign w:val="bottom"/>
          </w:tcPr>
          <w:p>
            <w:pPr>
              <w:ind w:left="7260"/>
              <w:spacing w:after="0"/>
              <w:rPr>
                <w:sz w:val="20"/>
                <w:szCs w:val="20"/>
                <w:color w:val="auto"/>
              </w:rPr>
            </w:pPr>
            <w:r>
              <w:rPr>
                <w:rFonts w:ascii="Times New Roman" w:cs="Times New Roman" w:eastAsia="Times New Roman" w:hAnsi="Times New Roman"/>
                <w:sz w:val="16"/>
                <w:szCs w:val="16"/>
                <w:color w:val="auto"/>
              </w:rPr>
              <w:t>Notes</w:t>
            </w:r>
          </w:p>
        </w:tc>
        <w:tc>
          <w:tcPr>
            <w:tcW w:w="5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1"/>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8</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237,483</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223,678</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assets</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183,481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231,893</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7</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396,097</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387,529</w:t>
            </w:r>
          </w:p>
        </w:tc>
        <w:tc>
          <w:tcPr>
            <w:tcW w:w="100" w:type="dxa"/>
            <w:vAlign w:val="bottom"/>
            <w:shd w:val="clear" w:color="auto" w:fill="CFF0FC"/>
          </w:tcPr>
          <w:p>
            <w:pPr>
              <w:spacing w:after="0"/>
              <w:rPr>
                <w:sz w:val="20"/>
                <w:szCs w:val="20"/>
                <w:color w:val="auto"/>
              </w:rPr>
            </w:pPr>
          </w:p>
        </w:tc>
      </w:tr>
      <w:tr>
        <w:trPr>
          <w:trHeight w:val="221"/>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Receivables</w:t>
            </w: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10</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363,071</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423,486</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11</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7,593,379</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5,580,704</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368,342,168</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391,231,637</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tax receivable</w:t>
            </w:r>
          </w:p>
        </w:tc>
        <w:tc>
          <w:tcPr>
            <w:tcW w:w="5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479,528</w:t>
            </w:r>
          </w:p>
        </w:tc>
        <w:tc>
          <w:tcPr>
            <w:tcW w:w="2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615,538</w:t>
            </w:r>
          </w:p>
        </w:tc>
        <w:tc>
          <w:tcPr>
            <w:tcW w:w="100" w:type="dxa"/>
            <w:vAlign w:val="bottom"/>
          </w:tcPr>
          <w:p>
            <w:pPr>
              <w:spacing w:after="0"/>
              <w:rPr>
                <w:sz w:val="19"/>
                <w:szCs w:val="19"/>
                <w:color w:val="auto"/>
              </w:rPr>
            </w:pPr>
          </w:p>
        </w:tc>
      </w:tr>
      <w:tr>
        <w:trPr>
          <w:trHeight w:val="26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0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377,595,207</w:t>
            </w:r>
          </w:p>
        </w:tc>
        <w:tc>
          <w:tcPr>
            <w:tcW w:w="26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398,694,465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7"/>
        </w:trPr>
        <w:tc>
          <w:tcPr>
            <w:tcW w:w="7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5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 capital</w:t>
            </w: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13</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6,458,005</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6,274,833</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premium</w:t>
            </w: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616,843,552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615,811,986</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reserves</w:t>
            </w:r>
          </w:p>
        </w:tc>
        <w:tc>
          <w:tcPr>
            <w:tcW w:w="5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29,863,658</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27,894,796</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reserve</w:t>
            </w: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21,049</w:t>
            </w:r>
          </w:p>
        </w:tc>
        <w:tc>
          <w:tcPr>
            <w:tcW w:w="2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(14,584 )</w:t>
            </w:r>
          </w:p>
        </w:tc>
      </w:tr>
      <w:tr>
        <w:trPr>
          <w:trHeight w:val="23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loss</w:t>
            </w:r>
          </w:p>
        </w:tc>
        <w:tc>
          <w:tcPr>
            <w:tcW w:w="50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(294,017,604 )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(265,918,628 )</w:t>
            </w:r>
          </w:p>
        </w:tc>
      </w:tr>
      <w:tr>
        <w:trPr>
          <w:trHeight w:val="223"/>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500" w:type="dxa"/>
            <w:vAlign w:val="bottom"/>
            <w:tcBorders>
              <w:top w:val="single" w:sz="8" w:color="CFF0FC"/>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359,168,660</w:t>
            </w:r>
          </w:p>
        </w:tc>
        <w:tc>
          <w:tcPr>
            <w:tcW w:w="260" w:type="dxa"/>
            <w:vAlign w:val="bottom"/>
            <w:tcBorders>
              <w:top w:val="single" w:sz="8" w:color="CFF0FC"/>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384,048,403</w:t>
            </w:r>
          </w:p>
        </w:tc>
        <w:tc>
          <w:tcPr>
            <w:tcW w:w="100" w:type="dxa"/>
            <w:vAlign w:val="bottom"/>
            <w:tcBorders>
              <w:top w:val="single" w:sz="8" w:color="CFF0FC"/>
            </w:tcBorders>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6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Long term liabilities</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Non-current lease liability</w:t>
            </w: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9</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43,564</w:t>
            </w:r>
          </w:p>
        </w:tc>
        <w:tc>
          <w:tcPr>
            <w:tcW w:w="100" w:type="dxa"/>
            <w:vAlign w:val="bottom"/>
            <w:shd w:val="clear" w:color="auto" w:fill="CFF0FC"/>
          </w:tcPr>
          <w:p>
            <w:pPr>
              <w:spacing w:after="0"/>
              <w:rPr>
                <w:sz w:val="20"/>
                <w:szCs w:val="20"/>
                <w:color w:val="auto"/>
              </w:rPr>
            </w:pPr>
          </w:p>
        </w:tc>
      </w:tr>
      <w:tr>
        <w:trPr>
          <w:trHeight w:val="221"/>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and other payables</w:t>
            </w: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14</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5,558,487</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2,909,725</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liabilities</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15</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12,149,527</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11,067,510</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lease liability</w:t>
            </w:r>
          </w:p>
        </w:tc>
        <w:tc>
          <w:tcPr>
            <w:tcW w:w="50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9</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120,461</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195,341</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tax payable</w:t>
            </w:r>
          </w:p>
        </w:tc>
        <w:tc>
          <w:tcPr>
            <w:tcW w:w="5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528,072</w:t>
            </w:r>
          </w:p>
        </w:tc>
        <w:tc>
          <w:tcPr>
            <w:tcW w:w="2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429,922</w:t>
            </w:r>
          </w:p>
        </w:tc>
        <w:tc>
          <w:tcPr>
            <w:tcW w:w="100" w:type="dxa"/>
            <w:vAlign w:val="bottom"/>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50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18,426,547</w:t>
            </w:r>
          </w:p>
        </w:tc>
        <w:tc>
          <w:tcPr>
            <w:tcW w:w="2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14,646,062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5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377,595,207</w:t>
            </w:r>
          </w:p>
        </w:tc>
        <w:tc>
          <w:tcPr>
            <w:tcW w:w="2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398,694,465</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-2870835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-2853690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-1679575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-179705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Unaudited condensed consolidated statement of changes in equity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2024 and March 31, 2023</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Currency</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Share</w:t>
            </w:r>
          </w:p>
        </w:tc>
        <w:tc>
          <w:tcPr>
            <w:tcW w:w="2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Share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translation</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Total</w:t>
            </w:r>
          </w:p>
        </w:tc>
      </w:tr>
      <w:tr>
        <w:trPr>
          <w:trHeight w:val="223"/>
        </w:trPr>
        <w:tc>
          <w:tcPr>
            <w:tcW w:w="2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capital</w:t>
            </w:r>
          </w:p>
        </w:tc>
        <w:tc>
          <w:tcPr>
            <w:tcW w:w="24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premium</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reserves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reserve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losses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Equity</w:t>
            </w:r>
          </w:p>
        </w:tc>
      </w:tr>
      <w:tr>
        <w:trPr>
          <w:trHeight w:val="220"/>
        </w:trPr>
        <w:tc>
          <w:tcPr>
            <w:tcW w:w="2880" w:type="dxa"/>
            <w:vAlign w:val="bottom"/>
          </w:tcPr>
          <w:p>
            <w:pPr>
              <w:spacing w:after="0"/>
              <w:rPr>
                <w:sz w:val="19"/>
                <w:szCs w:val="19"/>
                <w:color w:val="auto"/>
              </w:rPr>
            </w:pPr>
          </w:p>
        </w:tc>
        <w:tc>
          <w:tcPr>
            <w:tcW w:w="10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Notes</w:t>
            </w: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10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4,057,976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289,177,197</w:t>
            </w: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20,169,459</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43,290</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(164,188,892 )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149,259,030</w:t>
            </w:r>
          </w:p>
        </w:tc>
        <w:tc>
          <w:tcPr>
            <w:tcW w:w="100" w:type="dxa"/>
            <w:vAlign w:val="bottom"/>
            <w:shd w:val="clear" w:color="auto" w:fill="CFF0FC"/>
          </w:tcPr>
          <w:p>
            <w:pPr>
              <w:spacing w:after="0"/>
              <w:rPr>
                <w:sz w:val="20"/>
                <w:szCs w:val="20"/>
                <w:color w:val="auto"/>
              </w:rPr>
            </w:pP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(22,630,949 )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(22,630,949 )</w:t>
            </w:r>
          </w:p>
        </w:tc>
      </w:tr>
      <w:tr>
        <w:trPr>
          <w:trHeight w:val="23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Currency translation reserve</w:t>
            </w:r>
          </w:p>
        </w:tc>
        <w:tc>
          <w:tcPr>
            <w:tcW w:w="10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(30,509 )</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(30,509 )</w:t>
            </w: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payments</w:t>
            </w: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2,582,887</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(32,800 )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2,550,087</w:t>
            </w:r>
          </w:p>
        </w:tc>
        <w:tc>
          <w:tcPr>
            <w:tcW w:w="100" w:type="dxa"/>
            <w:vAlign w:val="bottom"/>
          </w:tcPr>
          <w:p>
            <w:pPr>
              <w:spacing w:after="0"/>
              <w:rPr>
                <w:sz w:val="19"/>
                <w:szCs w:val="19"/>
                <w:color w:val="auto"/>
              </w:rPr>
            </w:pPr>
          </w:p>
        </w:tc>
      </w:tr>
      <w:tr>
        <w:trPr>
          <w:trHeight w:val="230"/>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Settlement of share-based payments</w:t>
            </w:r>
          </w:p>
        </w:tc>
        <w:tc>
          <w:tcPr>
            <w:tcW w:w="10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275,061</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(276,809 )</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288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4,059,724</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289,452,258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22,475,537</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12,781</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(186,852,641 )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129,147,659</w:t>
            </w:r>
          </w:p>
        </w:tc>
        <w:tc>
          <w:tcPr>
            <w:tcW w:w="10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10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6,274,833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615,811,986</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27,894,796</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(14,584 )</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(265,918,628 )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384,048,403</w:t>
            </w:r>
          </w:p>
        </w:tc>
        <w:tc>
          <w:tcPr>
            <w:tcW w:w="100" w:type="dxa"/>
            <w:vAlign w:val="bottom"/>
            <w:shd w:val="clear" w:color="auto" w:fill="CFF0FC"/>
          </w:tcPr>
          <w:p>
            <w:pPr>
              <w:spacing w:after="0"/>
              <w:rPr>
                <w:sz w:val="18"/>
                <w:szCs w:val="18"/>
                <w:color w:val="auto"/>
              </w:rPr>
            </w:pP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(28,018,756 )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(28,018,756 )</w:t>
            </w:r>
          </w:p>
        </w:tc>
      </w:tr>
      <w:tr>
        <w:trPr>
          <w:trHeight w:val="23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Issue of share capital</w:t>
            </w:r>
          </w:p>
        </w:tc>
        <w:tc>
          <w:tcPr>
            <w:tcW w:w="10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1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(165,000 )</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12,609</w:t>
            </w: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12,609</w:t>
            </w:r>
          </w:p>
        </w:tc>
        <w:tc>
          <w:tcPr>
            <w:tcW w:w="100" w:type="dxa"/>
            <w:vAlign w:val="bottom"/>
            <w:shd w:val="clear" w:color="auto" w:fill="CFF0FC"/>
          </w:tcPr>
          <w:p>
            <w:pPr>
              <w:spacing w:after="0"/>
              <w:rPr>
                <w:sz w:val="20"/>
                <w:szCs w:val="20"/>
                <w:color w:val="auto"/>
              </w:rPr>
            </w:pP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costs on issue of shares, net</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592,968</w:t>
            </w:r>
          </w:p>
        </w:tc>
        <w:tc>
          <w:tcPr>
            <w:tcW w:w="2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592,968</w:t>
            </w:r>
          </w:p>
        </w:tc>
        <w:tc>
          <w:tcPr>
            <w:tcW w:w="100" w:type="dxa"/>
            <w:vAlign w:val="bottom"/>
          </w:tcPr>
          <w:p>
            <w:pPr>
              <w:spacing w:after="0"/>
              <w:rPr>
                <w:sz w:val="19"/>
                <w:szCs w:val="19"/>
                <w:color w:val="auto"/>
              </w:rPr>
            </w:pPr>
          </w:p>
        </w:tc>
      </w:tr>
      <w:tr>
        <w:trPr>
          <w:trHeight w:val="23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Currency translation reserve</w:t>
            </w:r>
          </w:p>
        </w:tc>
        <w:tc>
          <w:tcPr>
            <w:tcW w:w="10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35,633</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35,633</w:t>
            </w:r>
          </w:p>
        </w:tc>
        <w:tc>
          <w:tcPr>
            <w:tcW w:w="100" w:type="dxa"/>
            <w:vAlign w:val="bottom"/>
            <w:shd w:val="clear" w:color="auto" w:fill="CFF0FC"/>
          </w:tcPr>
          <w:p>
            <w:pPr>
              <w:spacing w:after="0"/>
              <w:rPr>
                <w:sz w:val="20"/>
                <w:szCs w:val="20"/>
                <w:color w:val="auto"/>
              </w:rPr>
            </w:pP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share-based payments</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603,598</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(444,614 )</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(80,220 )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96,936</w:t>
            </w:r>
          </w:p>
        </w:tc>
        <w:tc>
          <w:tcPr>
            <w:tcW w:w="100" w:type="dxa"/>
            <w:vAlign w:val="bottom"/>
          </w:tcPr>
          <w:p>
            <w:pPr>
              <w:spacing w:after="0"/>
              <w:rPr>
                <w:sz w:val="19"/>
                <w:szCs w:val="19"/>
                <w:color w:val="auto"/>
              </w:rPr>
            </w:pPr>
          </w:p>
        </w:tc>
      </w:tr>
      <w:tr>
        <w:trPr>
          <w:trHeight w:val="233"/>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payments</w:t>
            </w:r>
          </w:p>
        </w:tc>
        <w:tc>
          <w:tcPr>
            <w:tcW w:w="102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2,400,867</w:t>
            </w:r>
          </w:p>
        </w:tc>
        <w:tc>
          <w:tcPr>
            <w:tcW w:w="2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2,400,867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0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6,458,005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616,843,552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29,863,658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21,049</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(294,017,604 )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359,168,660</w:t>
            </w:r>
          </w:p>
        </w:tc>
        <w:tc>
          <w:tcPr>
            <w:tcW w:w="10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-1379220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-1379220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-1379220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-1379220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-1379220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-179070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-179070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-179070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-179070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-179070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24" w:name="page25"/>
    <w:bookmarkEnd w:id="24"/>
    <w:p>
      <w:pPr>
        <w:spacing w:after="0"/>
        <w:rPr>
          <w:sz w:val="20"/>
          <w:szCs w:val="20"/>
          <w:color w:val="auto"/>
        </w:rPr>
      </w:pPr>
      <w:r>
        <w:rPr>
          <w:rFonts w:ascii="Arial" w:cs="Arial" w:eastAsia="Arial" w:hAnsi="Arial"/>
          <w:sz w:val="21"/>
          <w:szCs w:val="21"/>
          <w:b w:val="1"/>
          <w:bCs w:val="1"/>
          <w:color w:val="auto"/>
        </w:rPr>
        <w:t>Unaudited condensed consolidated statement of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Loss before tax</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Non-cash adjustments to reconcile loss before tax to net cash flows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Share-based payment expense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Depreciation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foreign exchange (gain) loss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Changes in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Decrease (increase) in receivables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Increase in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Increase trade and other payables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Increase (decrease) in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Income 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Received interest</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cash flows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Purchase of property, plant and equipment</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Proceeds from issue of shares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Transaction costs on issue of shares,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Payment of principal portion of lease liabilities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cash flows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the end of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18</w:t>
      </w:r>
    </w:p>
    <w:p>
      <w:pPr>
        <w:spacing w:after="0" w:line="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4</w:t>
      </w:r>
    </w:p>
    <w:p>
      <w:pPr>
        <w:spacing w:after="0" w:line="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6</w:t>
      </w:r>
    </w:p>
    <w:p>
      <w:pPr>
        <w:spacing w:after="0" w:line="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13</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19"/>
                <w:szCs w:val="19"/>
                <w:color w:val="auto"/>
              </w:rPr>
            </w:pPr>
          </w:p>
        </w:tc>
        <w:tc>
          <w:tcPr>
            <w:tcW w:w="14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19"/>
                <w:szCs w:val="19"/>
                <w:color w:val="auto"/>
              </w:rPr>
            </w:pPr>
          </w:p>
        </w:tc>
      </w:tr>
      <w:tr>
        <w:trPr>
          <w:trHeight w:val="210"/>
        </w:trPr>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r>
      <w:tr>
        <w:trPr>
          <w:trHeight w:val="459"/>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(27,733,639 )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(22,570,292 )</w:t>
            </w:r>
          </w:p>
        </w:tc>
      </w:tr>
      <w:tr>
        <w:trPr>
          <w:trHeight w:val="459"/>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2,400,867</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2,582,887</w:t>
            </w:r>
          </w:p>
        </w:tc>
        <w:tc>
          <w:tcPr>
            <w:tcW w:w="60" w:type="dxa"/>
            <w:vAlign w:val="bottom"/>
          </w:tcPr>
          <w:p>
            <w:pPr>
              <w:spacing w:after="0"/>
              <w:rPr>
                <w:sz w:val="24"/>
                <w:szCs w:val="24"/>
                <w:color w:val="auto"/>
              </w:rPr>
            </w:pPr>
          </w:p>
        </w:tc>
      </w:tr>
      <w:tr>
        <w:trPr>
          <w:trHeight w:val="230"/>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66,355</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61,869</w:t>
            </w:r>
          </w:p>
        </w:tc>
        <w:tc>
          <w:tcPr>
            <w:tcW w:w="60" w:type="dxa"/>
            <w:vAlign w:val="bottom"/>
          </w:tcPr>
          <w:p>
            <w:pPr>
              <w:spacing w:after="0"/>
              <w:rPr>
                <w:sz w:val="19"/>
                <w:szCs w:val="19"/>
                <w:color w:val="auto"/>
              </w:rPr>
            </w:pPr>
          </w:p>
        </w:tc>
      </w:tr>
      <w:tr>
        <w:trPr>
          <w:trHeight w:val="229"/>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(541,252 )</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1,595,478</w:t>
            </w:r>
          </w:p>
        </w:tc>
        <w:tc>
          <w:tcPr>
            <w:tcW w:w="60" w:type="dxa"/>
            <w:vAlign w:val="bottom"/>
          </w:tcPr>
          <w:p>
            <w:pPr>
              <w:spacing w:after="0"/>
              <w:rPr>
                <w:sz w:val="19"/>
                <w:szCs w:val="19"/>
                <w:color w:val="auto"/>
              </w:rPr>
            </w:pPr>
          </w:p>
        </w:tc>
      </w:tr>
      <w:tr>
        <w:trPr>
          <w:trHeight w:val="229"/>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(55,968 )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(101,213 )</w:t>
            </w:r>
          </w:p>
        </w:tc>
      </w:tr>
      <w:tr>
        <w:trPr>
          <w:trHeight w:val="689"/>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60,447</w:t>
            </w:r>
          </w:p>
        </w:tc>
        <w:tc>
          <w:tcPr>
            <w:tcW w:w="24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(11,614 )</w:t>
            </w:r>
          </w:p>
        </w:tc>
      </w:tr>
      <w:tr>
        <w:trPr>
          <w:trHeight w:val="229"/>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(2,012,674 )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(6,927,554 )</w:t>
            </w:r>
          </w:p>
        </w:tc>
      </w:tr>
      <w:tr>
        <w:trPr>
          <w:trHeight w:val="229"/>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2,648,762</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1,215,762</w:t>
            </w:r>
          </w:p>
        </w:tc>
        <w:tc>
          <w:tcPr>
            <w:tcW w:w="60" w:type="dxa"/>
            <w:vAlign w:val="bottom"/>
          </w:tcPr>
          <w:p>
            <w:pPr>
              <w:spacing w:after="0"/>
              <w:rPr>
                <w:sz w:val="19"/>
                <w:szCs w:val="19"/>
                <w:color w:val="auto"/>
              </w:rPr>
            </w:pPr>
          </w:p>
        </w:tc>
      </w:tr>
      <w:tr>
        <w:trPr>
          <w:trHeight w:val="230"/>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935,123</w:t>
            </w:r>
          </w:p>
        </w:tc>
        <w:tc>
          <w:tcPr>
            <w:tcW w:w="2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(1,101,550 )</w:t>
            </w:r>
          </w:p>
        </w:tc>
      </w:tr>
      <w:tr>
        <w:trPr>
          <w:trHeight w:val="459"/>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(60,003 )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(2,270 )</w:t>
            </w:r>
          </w:p>
        </w:tc>
      </w:tr>
      <w:tr>
        <w:trPr>
          <w:trHeight w:val="243"/>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60,171</w:t>
            </w:r>
          </w:p>
        </w:tc>
        <w:tc>
          <w:tcPr>
            <w:tcW w:w="24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53,712</w:t>
            </w:r>
          </w:p>
        </w:tc>
        <w:tc>
          <w:tcPr>
            <w:tcW w:w="60" w:type="dxa"/>
            <w:vAlign w:val="bottom"/>
          </w:tcPr>
          <w:p>
            <w:pPr>
              <w:spacing w:after="0"/>
              <w:rPr>
                <w:sz w:val="21"/>
                <w:szCs w:val="21"/>
                <w:color w:val="auto"/>
              </w:rPr>
            </w:pPr>
          </w:p>
        </w:tc>
      </w:tr>
      <w:tr>
        <w:trPr>
          <w:trHeight w:val="223"/>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(24,231,811</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(25,204,785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9"/>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(30,708 )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(19,038 )</w:t>
            </w:r>
          </w:p>
        </w:tc>
      </w:tr>
      <w:tr>
        <w:trPr>
          <w:trHeight w:val="223"/>
        </w:trPr>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(30,708</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56"/>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189,764</w:t>
            </w:r>
          </w:p>
        </w:tc>
        <w:tc>
          <w:tcPr>
            <w:tcW w:w="24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659,039</w:t>
            </w:r>
          </w:p>
        </w:tc>
        <w:tc>
          <w:tcPr>
            <w:tcW w:w="2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(53,761 )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(56,752 )</w:t>
            </w:r>
          </w:p>
        </w:tc>
      </w:tr>
      <w:tr>
        <w:trPr>
          <w:trHeight w:val="223"/>
        </w:trPr>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795,042</w:t>
            </w:r>
          </w:p>
        </w:tc>
        <w:tc>
          <w:tcPr>
            <w:tcW w:w="2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(56,752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16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(23,467,477 )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(25,280,575 )</w:t>
            </w:r>
          </w:p>
        </w:tc>
      </w:tr>
      <w:tr>
        <w:trPr>
          <w:trHeight w:val="230"/>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391,231,637</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161,837,429</w:t>
            </w:r>
          </w:p>
        </w:tc>
        <w:tc>
          <w:tcPr>
            <w:tcW w:w="60" w:type="dxa"/>
            <w:vAlign w:val="bottom"/>
          </w:tcPr>
          <w:p>
            <w:pPr>
              <w:spacing w:after="0"/>
              <w:rPr>
                <w:sz w:val="19"/>
                <w:szCs w:val="19"/>
                <w:color w:val="auto"/>
              </w:rPr>
            </w:pPr>
          </w:p>
        </w:tc>
      </w:tr>
      <w:tr>
        <w:trPr>
          <w:trHeight w:val="243"/>
        </w:trPr>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578,008</w:t>
            </w:r>
          </w:p>
        </w:tc>
        <w:tc>
          <w:tcPr>
            <w:tcW w:w="24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(1,375,631 )</w:t>
            </w:r>
          </w:p>
        </w:tc>
      </w:tr>
      <w:tr>
        <w:trPr>
          <w:trHeight w:val="223"/>
        </w:trPr>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368,342,168</w:t>
            </w:r>
          </w:p>
        </w:tc>
        <w:tc>
          <w:tcPr>
            <w:tcW w:w="2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135,181,223</w:t>
            </w:r>
          </w:p>
        </w:tc>
        <w:tc>
          <w:tcPr>
            <w:tcW w:w="60" w:type="dxa"/>
            <w:vAlign w:val="bottom"/>
          </w:tcPr>
          <w:p>
            <w:pPr>
              <w:spacing w:after="0"/>
              <w:rPr>
                <w:sz w:val="19"/>
                <w:szCs w:val="19"/>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3">
            <w:col w:w="6480" w:space="720"/>
            <w:col w:w="380" w:space="460"/>
            <w:col w:w="3160"/>
          </w:cols>
          <w:pgMar w:left="320" w:top="1407" w:right="379" w:bottom="1440" w:gutter="0" w:footer="0" w:header="0"/>
        </w:sectPr>
      </w:pPr>
    </w:p>
    <w:p>
      <w:pPr>
        <w:jc w:val="center"/>
        <w:ind w:right="-59"/>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type w:val="continuous"/>
        </w:sectPr>
      </w:pPr>
    </w:p>
    <w:bookmarkStart w:id="25" w:name="page26"/>
    <w:bookmarkEnd w:id="25"/>
    <w:p>
      <w:pPr>
        <w:ind w:right="3320"/>
        <w:spacing w:after="0" w:line="371" w:lineRule="auto"/>
        <w:rPr>
          <w:sz w:val="20"/>
          <w:szCs w:val="20"/>
          <w:color w:val="auto"/>
        </w:rPr>
      </w:pPr>
      <w:r>
        <w:rPr>
          <w:rFonts w:ascii="Arial" w:cs="Arial" w:eastAsia="Arial" w:hAnsi="Arial"/>
          <w:sz w:val="22"/>
          <w:szCs w:val="22"/>
          <w:b w:val="1"/>
          <w:bCs w:val="1"/>
          <w:color w:val="auto"/>
        </w:rPr>
        <w:t xml:space="preserve">Notes to the unaudited condensed consolidated interim financial statements </w:t>
      </w:r>
      <w:r>
        <w:rPr>
          <w:rFonts w:ascii="Times New Roman" w:cs="Times New Roman" w:eastAsia="Times New Roman" w:hAnsi="Times New Roman"/>
          <w:sz w:val="25"/>
          <w:szCs w:val="25"/>
          <w:b w:val="1"/>
          <w:bCs w:val="1"/>
          <w:color w:val="auto"/>
        </w:rPr>
        <w:t>1</w:t>
      </w:r>
      <w:r>
        <w:rPr>
          <w:rFonts w:ascii="Times New Roman" w:cs="Times New Roman" w:eastAsia="Times New Roman" w:hAnsi="Times New Roman"/>
          <w:sz w:val="21"/>
          <w:szCs w:val="21"/>
          <w:b w:val="1"/>
          <w:bCs w:val="1"/>
          <w:color w:val="auto"/>
        </w:rPr>
        <w:t>. Corporate and Group information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general corporate and group information about Pharvaris N.V. and its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Corporate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Pharvaris N.V. was incorporated on September 30, 2015 and is based in Leiden, the Netherlands.</w:t>
      </w:r>
    </w:p>
    <w:p>
      <w:pPr>
        <w:spacing w:after="0" w:line="11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Company’s registered office is located at Emmy Noetherweg 2, Leiden. The Company is registered at the Chamber of Commerce under file number 64239411.</w:t>
      </w:r>
    </w:p>
    <w:p>
      <w:pPr>
        <w:spacing w:after="0" w:line="4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Pharvaris is a clinical-stage biopharmaceutical company focused on the development and commercialization of innovative therapies for rare diseases with significant unmet need, initially focused on angioedema and other bradykinin-mediated diseases.</w:t>
      </w:r>
    </w:p>
    <w:p>
      <w:pPr>
        <w:spacing w:after="0" w:line="48"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The unaudited condensed consolidated interim financial statements of Pharvaris N.V. (the “Company” or “Pharvaris”) and its subsidiaries (collectively, “The Group”) as of March 31, 2024, and December 31, 2023, and for the three months ended March 31, 2024 and 2023 were authorized for issue in accordance with a resolution of the directors on May 8,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Group information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unaudited condensed consolidated interim financial statements of the Group include:</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60" w:type="dxa"/>
            <w:vAlign w:val="bottom"/>
            <w:gridSpan w:val="3"/>
          </w:tcPr>
          <w:p>
            <w:pPr>
              <w:jc w:val="center"/>
              <w:ind w:right="939"/>
              <w:spacing w:after="0"/>
              <w:rPr>
                <w:sz w:val="20"/>
                <w:szCs w:val="20"/>
                <w:color w:val="auto"/>
              </w:rPr>
            </w:pPr>
            <w:r>
              <w:rPr>
                <w:rFonts w:ascii="Times New Roman" w:cs="Times New Roman" w:eastAsia="Times New Roman" w:hAnsi="Times New Roman"/>
                <w:sz w:val="16"/>
                <w:szCs w:val="16"/>
                <w:color w:val="auto"/>
              </w:rPr>
              <w:t>% of equity interest as</w:t>
            </w:r>
          </w:p>
        </w:tc>
      </w:tr>
      <w:tr>
        <w:trPr>
          <w:trHeight w:val="224"/>
        </w:trPr>
        <w:tc>
          <w:tcPr>
            <w:tcW w:w="3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Country of</w:t>
            </w:r>
          </w:p>
        </w:tc>
        <w:tc>
          <w:tcPr>
            <w:tcW w:w="10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center"/>
              <w:ind w:right="919"/>
              <w:spacing w:after="0"/>
              <w:rPr>
                <w:sz w:val="20"/>
                <w:szCs w:val="20"/>
                <w:color w:val="auto"/>
              </w:rPr>
            </w:pPr>
            <w:r>
              <w:rPr>
                <w:rFonts w:ascii="Times New Roman" w:cs="Times New Roman" w:eastAsia="Times New Roman" w:hAnsi="Times New Roman"/>
                <w:sz w:val="16"/>
                <w:szCs w:val="16"/>
                <w:color w:val="auto"/>
              </w:rPr>
              <w:t>March 31,</w:t>
            </w:r>
          </w:p>
        </w:tc>
      </w:tr>
      <w:tr>
        <w:trPr>
          <w:trHeight w:val="222"/>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Name</w:t>
            </w:r>
          </w:p>
        </w:tc>
        <w:tc>
          <w:tcPr>
            <w:tcW w:w="180" w:type="dxa"/>
            <w:vAlign w:val="bottom"/>
          </w:tcPr>
          <w:p>
            <w:pPr>
              <w:spacing w:after="0"/>
              <w:rPr>
                <w:sz w:val="19"/>
                <w:szCs w:val="19"/>
                <w:color w:val="auto"/>
              </w:rPr>
            </w:pPr>
          </w:p>
        </w:tc>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Legal seat</w:t>
            </w:r>
          </w:p>
        </w:tc>
        <w:tc>
          <w:tcPr>
            <w:tcW w:w="200" w:type="dxa"/>
            <w:vAlign w:val="bottom"/>
          </w:tcPr>
          <w:p>
            <w:pPr>
              <w:spacing w:after="0"/>
              <w:rPr>
                <w:sz w:val="19"/>
                <w:szCs w:val="19"/>
                <w:color w:val="auto"/>
              </w:rPr>
            </w:pP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incorporation</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center"/>
              <w:ind w:left="559"/>
              <w:spacing w:after="0"/>
              <w:rPr>
                <w:sz w:val="20"/>
                <w:szCs w:val="20"/>
                <w:color w:val="auto"/>
              </w:rPr>
            </w:pPr>
            <w:r>
              <w:rPr>
                <w:rFonts w:ascii="Times New Roman" w:cs="Times New Roman" w:eastAsia="Times New Roman" w:hAnsi="Times New Roman"/>
                <w:sz w:val="16"/>
                <w:szCs w:val="16"/>
                <w:color w:val="auto"/>
                <w:w w:val="99"/>
              </w:rPr>
              <w:t>2024</w:t>
            </w: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r>
      <w:tr>
        <w:trPr>
          <w:trHeight w:val="23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Pharvaris Holdings B.V.</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Leiden</w:t>
            </w:r>
          </w:p>
        </w:tc>
        <w:tc>
          <w:tcPr>
            <w:tcW w:w="200" w:type="dxa"/>
            <w:vAlign w:val="bottom"/>
            <w:shd w:val="clear" w:color="auto" w:fill="CFF0FC"/>
          </w:tcPr>
          <w:p>
            <w:pPr>
              <w:spacing w:after="0"/>
              <w:rPr>
                <w:sz w:val="19"/>
                <w:szCs w:val="19"/>
                <w:color w:val="auto"/>
              </w:rPr>
            </w:pP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The Netherlands</w:t>
            </w:r>
          </w:p>
        </w:tc>
        <w:tc>
          <w:tcPr>
            <w:tcW w:w="1000" w:type="dxa"/>
            <w:vAlign w:val="bottom"/>
            <w:shd w:val="clear" w:color="auto" w:fill="CFF0FC"/>
          </w:tcPr>
          <w:p>
            <w:pPr>
              <w:jc w:val="center"/>
              <w:ind w:left="539"/>
              <w:spacing w:after="0"/>
              <w:rPr>
                <w:sz w:val="20"/>
                <w:szCs w:val="20"/>
                <w:color w:val="auto"/>
              </w:rPr>
            </w:pPr>
            <w:r>
              <w:rPr>
                <w:rFonts w:ascii="Times New Roman" w:cs="Times New Roman" w:eastAsia="Times New Roman" w:hAnsi="Times New Roman"/>
                <w:sz w:val="16"/>
                <w:szCs w:val="16"/>
                <w:color w:val="auto"/>
              </w:rPr>
              <w:t>100%</w:t>
            </w:r>
          </w:p>
        </w:tc>
        <w:tc>
          <w:tcPr>
            <w:tcW w:w="2460" w:type="dxa"/>
            <w:vAlign w:val="bottom"/>
            <w:gridSpan w:val="3"/>
            <w:shd w:val="clear" w:color="auto" w:fill="CFF0FC"/>
          </w:tcPr>
          <w:p>
            <w:pPr>
              <w:jc w:val="center"/>
              <w:ind w:left="719"/>
              <w:spacing w:after="0"/>
              <w:rPr>
                <w:sz w:val="20"/>
                <w:szCs w:val="20"/>
                <w:color w:val="auto"/>
              </w:rPr>
            </w:pPr>
            <w:r>
              <w:rPr>
                <w:rFonts w:ascii="Times New Roman" w:cs="Times New Roman" w:eastAsia="Times New Roman" w:hAnsi="Times New Roman"/>
                <w:sz w:val="16"/>
                <w:szCs w:val="16"/>
                <w:color w:val="auto"/>
              </w:rPr>
              <w:t>100%</w:t>
            </w:r>
          </w:p>
        </w:tc>
      </w:tr>
      <w:tr>
        <w:trPr>
          <w:trHeight w:val="220"/>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Pharvaris Netherlands B.V.</w:t>
            </w:r>
          </w:p>
        </w:tc>
        <w:tc>
          <w:tcPr>
            <w:tcW w:w="18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Leiden</w:t>
            </w:r>
          </w:p>
        </w:tc>
        <w:tc>
          <w:tcPr>
            <w:tcW w:w="20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Netherlands</w:t>
            </w:r>
          </w:p>
        </w:tc>
        <w:tc>
          <w:tcPr>
            <w:tcW w:w="100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100%</w:t>
            </w:r>
          </w:p>
        </w:tc>
        <w:tc>
          <w:tcPr>
            <w:tcW w:w="2460" w:type="dxa"/>
            <w:vAlign w:val="bottom"/>
            <w:gridSpan w:val="3"/>
          </w:tcPr>
          <w:p>
            <w:pPr>
              <w:jc w:val="center"/>
              <w:ind w:left="719"/>
              <w:spacing w:after="0"/>
              <w:rPr>
                <w:sz w:val="20"/>
                <w:szCs w:val="20"/>
                <w:color w:val="auto"/>
              </w:rPr>
            </w:pPr>
            <w:r>
              <w:rPr>
                <w:rFonts w:ascii="Times New Roman" w:cs="Times New Roman" w:eastAsia="Times New Roman" w:hAnsi="Times New Roman"/>
                <w:sz w:val="16"/>
                <w:szCs w:val="16"/>
                <w:color w:val="auto"/>
              </w:rPr>
              <w:t>100%</w:t>
            </w:r>
          </w:p>
        </w:tc>
      </w:tr>
      <w:tr>
        <w:trPr>
          <w:trHeight w:val="239"/>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Pharvaris GmbH</w:t>
            </w:r>
          </w:p>
        </w:tc>
        <w:tc>
          <w:tcPr>
            <w:tcW w:w="18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Zug</w:t>
            </w:r>
          </w:p>
        </w:tc>
        <w:tc>
          <w:tcPr>
            <w:tcW w:w="200" w:type="dxa"/>
            <w:vAlign w:val="bottom"/>
            <w:shd w:val="clear" w:color="auto" w:fill="CFF0FC"/>
          </w:tcPr>
          <w:p>
            <w:pPr>
              <w:spacing w:after="0"/>
              <w:rPr>
                <w:sz w:val="20"/>
                <w:szCs w:val="20"/>
                <w:color w:val="auto"/>
              </w:rPr>
            </w:pP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Switzerland</w:t>
            </w:r>
          </w:p>
        </w:tc>
        <w:tc>
          <w:tcPr>
            <w:tcW w:w="1000" w:type="dxa"/>
            <w:vAlign w:val="bottom"/>
            <w:shd w:val="clear" w:color="auto" w:fill="CFF0FC"/>
          </w:tcPr>
          <w:p>
            <w:pPr>
              <w:jc w:val="center"/>
              <w:ind w:left="539"/>
              <w:spacing w:after="0"/>
              <w:rPr>
                <w:sz w:val="20"/>
                <w:szCs w:val="20"/>
                <w:color w:val="auto"/>
              </w:rPr>
            </w:pPr>
            <w:r>
              <w:rPr>
                <w:rFonts w:ascii="Times New Roman" w:cs="Times New Roman" w:eastAsia="Times New Roman" w:hAnsi="Times New Roman"/>
                <w:sz w:val="16"/>
                <w:szCs w:val="16"/>
                <w:color w:val="auto"/>
              </w:rPr>
              <w:t>100%</w:t>
            </w:r>
          </w:p>
        </w:tc>
        <w:tc>
          <w:tcPr>
            <w:tcW w:w="2460" w:type="dxa"/>
            <w:vAlign w:val="bottom"/>
            <w:gridSpan w:val="3"/>
            <w:shd w:val="clear" w:color="auto" w:fill="CFF0FC"/>
          </w:tcPr>
          <w:p>
            <w:pPr>
              <w:jc w:val="center"/>
              <w:ind w:left="719"/>
              <w:spacing w:after="0"/>
              <w:rPr>
                <w:sz w:val="20"/>
                <w:szCs w:val="20"/>
                <w:color w:val="auto"/>
              </w:rPr>
            </w:pPr>
            <w:r>
              <w:rPr>
                <w:rFonts w:ascii="Times New Roman" w:cs="Times New Roman" w:eastAsia="Times New Roman" w:hAnsi="Times New Roman"/>
                <w:sz w:val="16"/>
                <w:szCs w:val="16"/>
                <w:color w:val="auto"/>
              </w:rPr>
              <w:t>100%</w:t>
            </w:r>
          </w:p>
        </w:tc>
      </w:t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Pharvaris, Inc.</w:t>
            </w:r>
          </w:p>
        </w:tc>
        <w:tc>
          <w:tcPr>
            <w:tcW w:w="18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Delaware</w:t>
            </w:r>
          </w:p>
        </w:tc>
        <w:tc>
          <w:tcPr>
            <w:tcW w:w="20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00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100%</w:t>
            </w:r>
          </w:p>
        </w:tc>
        <w:tc>
          <w:tcPr>
            <w:tcW w:w="2460" w:type="dxa"/>
            <w:vAlign w:val="bottom"/>
            <w:gridSpan w:val="3"/>
          </w:tcPr>
          <w:p>
            <w:pPr>
              <w:jc w:val="center"/>
              <w:ind w:left="719"/>
              <w:spacing w:after="0"/>
              <w:rPr>
                <w:sz w:val="20"/>
                <w:szCs w:val="20"/>
                <w:color w:val="auto"/>
              </w:rPr>
            </w:pPr>
            <w:r>
              <w:rPr>
                <w:rFonts w:ascii="Times New Roman" w:cs="Times New Roman" w:eastAsia="Times New Roman" w:hAnsi="Times New Roman"/>
                <w:sz w:val="16"/>
                <w:szCs w:val="16"/>
                <w:color w:val="auto"/>
              </w:rPr>
              <w:t>100%</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ultimate parent company of the Group is Pharvaris N.V., which is based in the Netherlands.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unaudited condensed consolidated interim financial statements have been prepared in accordance with IAS 34 Interim Financial Reporting as issued by the International Accounting Standards Board (IASB) and should be read in conjunction with the Group’s annual consolidated financial statements for the year ended December 31, 2023 (“last annual financial statements”). These unaudited condensed consolidated interim financial statements do not include all the information required for a complete set of financial statements prepared in accordance with IFRS as issued by the IASB.</w:t>
      </w:r>
    </w:p>
    <w:p>
      <w:pPr>
        <w:spacing w:after="0" w:line="7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However, selected explanatory notes are included to explain events and transactions that are significant to an understanding of the changes in the Group’s financial position and performance since the last annual financial statements.</w:t>
      </w:r>
    </w:p>
    <w:p>
      <w:pPr>
        <w:spacing w:after="0" w:line="48"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Going concern</w:t>
      </w:r>
    </w:p>
    <w:p>
      <w:pPr>
        <w:spacing w:after="0" w:line="1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Management assessed the Company’s ability to fund its operations for a period of at least one year after the date the financial statements are issued. Management has not identified a material uncertainty relating to the Company’s ability to continue as a going concern for a period of at least a year from the issuance of these financial statements. The financial statements of the Company have been prepared on the basis of the going concern assumption based on its existing funding, taking into account the Company’s current cash position and the projected cash flows based on the activities under execution on the basis of Pharvaris’ business plan and budget.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26" w:name="page27"/>
    <w:bookmarkEnd w:id="26"/>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Use of judgements and estimates</w:t>
      </w:r>
    </w:p>
    <w:p>
      <w:pPr>
        <w:spacing w:after="0" w:line="10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spacing w:after="0" w:line="4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significant judgements made by management in applying the Group’s accounting policies and the key sources of estimation uncertainty were the same as those described in the last annual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Change in material accounting policies</w:t>
      </w:r>
    </w:p>
    <w:p>
      <w:pPr>
        <w:spacing w:after="0" w:line="10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accounting policies applied in these unaudited condensed consolidated interim financial statements are the same as those applied in the consolidated financial statements for the year ended December 31, 2023.</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standards and interpretations issued not yet effective</w:t>
      </w:r>
    </w:p>
    <w:p>
      <w:pPr>
        <w:spacing w:after="0" w:line="113"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In April 2024, the IASB issued IFRS 18 Presentation and Disclosure in Financial Statements (“IFRS 18”) which replaces IAS 1 Presentation of Financial Statements. IFRS 18 requires an entity to classify all income and expenses within its statement of profit or loss into one of five categories: operating; investing; financing; income taxes; and discontinued operations. The first three categories are new. These categories are complemented by the requirement to present subtotals and totals for “operating profit or loss”, “profit or loss before financing income and taxes” and “profit or loss”. IFRS 18, and the amendments to the other standards, is effective for reporting periods beginning on or after January 1, 2027, but earlier application is permitted. The Group is currently evaluating the impact of this amendment.</w:t>
      </w:r>
    </w:p>
    <w:p>
      <w:pPr>
        <w:spacing w:after="0" w:line="7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There are no other IFRS or IFRIC interpretations that are not yet effective and that are expected to have a material impact to the interim consolidated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Research and development expenses</w:t>
      </w: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7100" w:type="dxa"/>
            <w:vAlign w:val="bottom"/>
          </w:tcPr>
          <w:p>
            <w:pPr>
              <w:spacing w:after="0"/>
              <w:rPr>
                <w:sz w:val="19"/>
                <w:szCs w:val="19"/>
                <w:color w:val="auto"/>
              </w:rPr>
            </w:pPr>
          </w:p>
        </w:tc>
        <w:tc>
          <w:tcPr>
            <w:tcW w:w="4000" w:type="dxa"/>
            <w:vAlign w:val="bottom"/>
            <w:gridSpan w:val="4"/>
          </w:tcPr>
          <w:p>
            <w:pPr>
              <w:jc w:val="right"/>
              <w:ind w:right="820"/>
              <w:spacing w:after="0"/>
              <w:rPr>
                <w:sz w:val="20"/>
                <w:szCs w:val="20"/>
                <w:color w:val="auto"/>
              </w:rPr>
            </w:pPr>
            <w:r>
              <w:rPr>
                <w:rFonts w:ascii="Times New Roman" w:cs="Times New Roman" w:eastAsia="Times New Roman" w:hAnsi="Times New Roman"/>
                <w:sz w:val="16"/>
                <w:szCs w:val="16"/>
                <w:color w:val="auto"/>
              </w:rPr>
              <w:t>For the three months ended March 31,</w:t>
            </w:r>
          </w:p>
        </w:tc>
      </w:tr>
      <w:tr>
        <w:trPr>
          <w:trHeight w:val="223"/>
        </w:trPr>
        <w:tc>
          <w:tcPr>
            <w:tcW w:w="7100" w:type="dxa"/>
            <w:vAlign w:val="bottom"/>
          </w:tcPr>
          <w:p>
            <w:pPr>
              <w:spacing w:after="0"/>
              <w:rPr>
                <w:sz w:val="19"/>
                <w:szCs w:val="19"/>
                <w:color w:val="auto"/>
              </w:rPr>
            </w:pPr>
          </w:p>
        </w:tc>
        <w:tc>
          <w:tcPr>
            <w:tcW w:w="2500" w:type="dxa"/>
            <w:vAlign w:val="bottom"/>
            <w:tcBorders>
              <w:top w:val="single" w:sz="8" w:color="auto"/>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710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Personnel expenses (Note 5)</w:t>
            </w:r>
          </w:p>
        </w:tc>
        <w:tc>
          <w:tcPr>
            <w:tcW w:w="2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(5,180,476 )</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(4,217,700 )</w:t>
            </w:r>
          </w:p>
        </w:tc>
      </w:tr>
      <w:tr>
        <w:trPr>
          <w:trHeight w:val="220"/>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Clinical expenses</w:t>
            </w:r>
          </w:p>
        </w:tc>
        <w:tc>
          <w:tcPr>
            <w:tcW w:w="2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(7,321,412 )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(4,868,447 )</w:t>
            </w:r>
          </w:p>
        </w:tc>
      </w:tr>
      <w:tr>
        <w:trPr>
          <w:trHeight w:val="239"/>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Manufacturing costs</w:t>
            </w:r>
          </w:p>
        </w:tc>
        <w:tc>
          <w:tcPr>
            <w:tcW w:w="2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(2,563,954 )</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(1,907,086 )</w:t>
            </w:r>
          </w:p>
        </w:tc>
      </w:tr>
      <w:tr>
        <w:trPr>
          <w:trHeight w:val="220"/>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Nonclinical expenses</w:t>
            </w:r>
          </w:p>
        </w:tc>
        <w:tc>
          <w:tcPr>
            <w:tcW w:w="2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(1,835,466 )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(2,751,198 )</w:t>
            </w:r>
          </w:p>
        </w:tc>
      </w:tr>
      <w:tr>
        <w:trPr>
          <w:trHeight w:val="239"/>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License costs</w:t>
            </w:r>
          </w:p>
        </w:tc>
        <w:tc>
          <w:tcPr>
            <w:tcW w:w="2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(1,500,000 )</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 costs</w:t>
            </w:r>
          </w:p>
        </w:tc>
        <w:tc>
          <w:tcPr>
            <w:tcW w:w="2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(111,708 )</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7100" w:type="dxa"/>
            <w:vAlign w:val="bottom"/>
          </w:tcPr>
          <w:p>
            <w:pPr>
              <w:spacing w:after="0"/>
              <w:rPr>
                <w:sz w:val="2"/>
                <w:szCs w:val="2"/>
                <w:color w:val="auto"/>
              </w:rPr>
            </w:pPr>
          </w:p>
        </w:tc>
        <w:tc>
          <w:tcPr>
            <w:tcW w:w="2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100" w:type="dxa"/>
            <w:vAlign w:val="bottom"/>
            <w:shd w:val="clear" w:color="auto" w:fill="CFF0FC"/>
          </w:tcPr>
          <w:p>
            <w:pPr>
              <w:spacing w:after="0"/>
              <w:rPr>
                <w:sz w:val="21"/>
                <w:szCs w:val="21"/>
                <w:color w:val="auto"/>
              </w:rPr>
            </w:pPr>
          </w:p>
        </w:tc>
        <w:tc>
          <w:tcPr>
            <w:tcW w:w="2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(18,513,016 )</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(13,744,431 )</w:t>
            </w:r>
          </w:p>
        </w:tc>
      </w:tr>
      <w:tr>
        <w:trPr>
          <w:trHeight w:val="20"/>
        </w:trPr>
        <w:tc>
          <w:tcPr>
            <w:tcW w:w="710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Research and development expenses are currently not capitalized but are recorded in the unaudited condensed consolidated statements of profit or loss and other comprehensive loss because the recognition criteria for capitalization are not met.</w:t>
      </w:r>
    </w:p>
    <w:p>
      <w:pPr>
        <w:spacing w:after="0" w:line="1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Nonclinical expenses include costs of our outsourced discovery, preclinical and nonclinical development studies.</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Manufacturing expenses include costs related to manufacturing of active pharmaceutical ingredients and manufacturing of the products used in our clinical trials and research and development activities.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0" w:type="dxa"/>
            <w:vAlign w:val="bottom"/>
          </w:tcPr>
          <w:p>
            <w:pPr>
              <w:spacing w:after="0"/>
              <w:rPr>
                <w:sz w:val="19"/>
                <w:szCs w:val="19"/>
                <w:color w:val="auto"/>
              </w:rPr>
            </w:pPr>
          </w:p>
        </w:tc>
        <w:tc>
          <w:tcPr>
            <w:tcW w:w="380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6"/>
                <w:szCs w:val="16"/>
                <w:color w:val="auto"/>
              </w:rPr>
              <w:t>For the three months ended March 31,</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200" w:type="dxa"/>
            <w:vAlign w:val="bottom"/>
          </w:tcPr>
          <w:p>
            <w:pPr>
              <w:spacing w:after="0"/>
              <w:rPr>
                <w:sz w:val="19"/>
                <w:szCs w:val="19"/>
                <w:color w:val="auto"/>
              </w:rPr>
            </w:pPr>
          </w:p>
        </w:tc>
        <w:tc>
          <w:tcPr>
            <w:tcW w:w="3040" w:type="dxa"/>
            <w:vAlign w:val="bottom"/>
            <w:tcBorders>
              <w:bottom w:val="single" w:sz="8" w:color="auto"/>
            </w:tcBorders>
          </w:tcPr>
          <w:p>
            <w:pPr>
              <w:jc w:val="right"/>
              <w:ind w:right="12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620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Personnel expenses (Note 5)</w:t>
            </w:r>
          </w:p>
        </w:tc>
        <w:tc>
          <w:tcPr>
            <w:tcW w:w="3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(3,270,195 )</w:t>
            </w:r>
          </w:p>
        </w:tc>
        <w:tc>
          <w:tcPr>
            <w:tcW w:w="6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(3,301,584 )</w:t>
            </w:r>
          </w:p>
        </w:tc>
      </w:tr>
      <w:tr>
        <w:trPr>
          <w:trHeight w:val="22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Facilities, communication &amp; office expenses</w:t>
            </w:r>
          </w:p>
        </w:tc>
        <w:tc>
          <w:tcPr>
            <w:tcW w:w="3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(1,680,267 )</w:t>
            </w:r>
          </w:p>
        </w:tc>
        <w:tc>
          <w:tcPr>
            <w:tcW w:w="6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(1,491,273 )</w:t>
            </w:r>
          </w:p>
        </w:tc>
      </w:tr>
      <w:tr>
        <w:trPr>
          <w:trHeight w:val="23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3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(1,177,229 )</w:t>
            </w:r>
          </w:p>
        </w:tc>
        <w:tc>
          <w:tcPr>
            <w:tcW w:w="6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(882,470 )</w:t>
            </w:r>
          </w:p>
        </w:tc>
      </w:tr>
      <w:tr>
        <w:trPr>
          <w:trHeight w:val="22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Accounting, tax and auditing fees</w:t>
            </w:r>
          </w:p>
        </w:tc>
        <w:tc>
          <w:tcPr>
            <w:tcW w:w="3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(1,254,086 )</w:t>
            </w:r>
          </w:p>
        </w:tc>
        <w:tc>
          <w:tcPr>
            <w:tcW w:w="6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(359,353 )</w:t>
            </w:r>
          </w:p>
        </w:tc>
      </w:tr>
      <w:tr>
        <w:trPr>
          <w:trHeight w:val="23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Travel expenses</w:t>
            </w:r>
          </w:p>
        </w:tc>
        <w:tc>
          <w:tcPr>
            <w:tcW w:w="3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(624,029 )</w:t>
            </w:r>
          </w:p>
        </w:tc>
        <w:tc>
          <w:tcPr>
            <w:tcW w:w="6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(322,733 )</w:t>
            </w:r>
          </w:p>
        </w:tc>
      </w:tr>
      <w:tr>
        <w:trPr>
          <w:trHeight w:val="22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Consulting fees</w:t>
            </w:r>
          </w:p>
        </w:tc>
        <w:tc>
          <w:tcPr>
            <w:tcW w:w="3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(126,525 )</w:t>
            </w:r>
          </w:p>
        </w:tc>
        <w:tc>
          <w:tcPr>
            <w:tcW w:w="6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(177,869 )</w:t>
            </w:r>
          </w:p>
        </w:tc>
      </w:tr>
      <w:tr>
        <w:trPr>
          <w:trHeight w:val="230"/>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3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(1,666,512 )</w:t>
            </w:r>
          </w:p>
        </w:tc>
        <w:tc>
          <w:tcPr>
            <w:tcW w:w="6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(796,314 )</w:t>
            </w:r>
          </w:p>
        </w:tc>
      </w:tr>
      <w:tr>
        <w:trPr>
          <w:trHeight w:val="23"/>
        </w:trPr>
        <w:tc>
          <w:tcPr>
            <w:tcW w:w="6200" w:type="dxa"/>
            <w:vAlign w:val="bottom"/>
            <w:shd w:val="clear" w:color="auto" w:fill="CFF0FC"/>
          </w:tcPr>
          <w:p>
            <w:pPr>
              <w:spacing w:after="0"/>
              <w:rPr>
                <w:sz w:val="2"/>
                <w:szCs w:val="2"/>
                <w:color w:val="auto"/>
              </w:rPr>
            </w:pPr>
          </w:p>
        </w:tc>
        <w:tc>
          <w:tcPr>
            <w:tcW w:w="30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6200" w:type="dxa"/>
            <w:vAlign w:val="bottom"/>
          </w:tcPr>
          <w:p>
            <w:pPr>
              <w:spacing w:after="0"/>
              <w:rPr>
                <w:sz w:val="19"/>
                <w:szCs w:val="19"/>
                <w:color w:val="auto"/>
              </w:rPr>
            </w:pPr>
          </w:p>
        </w:tc>
        <w:tc>
          <w:tcPr>
            <w:tcW w:w="3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(9,798,843 )</w:t>
            </w:r>
          </w:p>
        </w:tc>
        <w:tc>
          <w:tcPr>
            <w:tcW w:w="6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(7,331,596 )</w:t>
            </w:r>
          </w:p>
        </w:tc>
      </w:tr>
      <w:tr>
        <w:trPr>
          <w:trHeight w:val="20"/>
        </w:trPr>
        <w:tc>
          <w:tcPr>
            <w:tcW w:w="6200" w:type="dxa"/>
            <w:vAlign w:val="bottom"/>
          </w:tcPr>
          <w:p>
            <w:pPr>
              <w:spacing w:after="0" w:line="20" w:lineRule="exact"/>
              <w:rPr>
                <w:sz w:val="1"/>
                <w:szCs w:val="1"/>
                <w:color w:val="auto"/>
              </w:rPr>
            </w:pPr>
          </w:p>
        </w:tc>
        <w:tc>
          <w:tcPr>
            <w:tcW w:w="3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-179705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Since 2022, the Group entered into a number of short-term rental arrangements, the expenses are included in "Other expenses".</w:t>
      </w:r>
    </w:p>
    <w:p>
      <w:pPr>
        <w:spacing w:after="0" w:line="11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Depreciation expense in the three months ended March 31, 2024 and 2023 was €0.07 million and €0.06 million, respectively, which related to property, plant and equipment and leases and is included in the 'Other expenses' line.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Personnel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80" w:type="dxa"/>
            <w:vAlign w:val="bottom"/>
          </w:tcPr>
          <w:p>
            <w:pPr>
              <w:spacing w:after="0"/>
              <w:rPr>
                <w:sz w:val="19"/>
                <w:szCs w:val="19"/>
                <w:color w:val="auto"/>
              </w:rPr>
            </w:pPr>
          </w:p>
        </w:tc>
        <w:tc>
          <w:tcPr>
            <w:tcW w:w="374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6"/>
                <w:szCs w:val="16"/>
                <w:color w:val="auto"/>
              </w:rPr>
              <w:t>For the three months ended March 31,</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280" w:type="dxa"/>
            <w:vAlign w:val="bottom"/>
          </w:tcPr>
          <w:p>
            <w:pPr>
              <w:spacing w:after="0"/>
              <w:rPr>
                <w:sz w:val="19"/>
                <w:szCs w:val="19"/>
                <w:color w:val="auto"/>
              </w:rPr>
            </w:pPr>
          </w:p>
        </w:tc>
        <w:tc>
          <w:tcPr>
            <w:tcW w:w="2980" w:type="dxa"/>
            <w:vAlign w:val="bottom"/>
            <w:tcBorders>
              <w:bottom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628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center"/>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Wages and salaries</w:t>
            </w:r>
          </w:p>
        </w:tc>
        <w:tc>
          <w:tcPr>
            <w:tcW w:w="3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(5,070,456 )</w:t>
            </w:r>
          </w:p>
        </w:tc>
        <w:tc>
          <w:tcPr>
            <w:tcW w:w="6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(4,204,384 )</w:t>
            </w:r>
          </w:p>
        </w:tc>
      </w:tr>
      <w:tr>
        <w:trPr>
          <w:trHeight w:val="22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charges</w:t>
            </w:r>
          </w:p>
        </w:tc>
        <w:tc>
          <w:tcPr>
            <w:tcW w:w="3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(394,633 )</w:t>
            </w:r>
          </w:p>
        </w:tc>
        <w:tc>
          <w:tcPr>
            <w:tcW w:w="6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(288,883 )</w:t>
            </w:r>
          </w:p>
        </w:tc>
      </w:tr>
      <w:tr>
        <w:trPr>
          <w:trHeight w:val="239"/>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social security charges</w:t>
            </w:r>
          </w:p>
        </w:tc>
        <w:tc>
          <w:tcPr>
            <w:tcW w:w="3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(584,715 )</w:t>
            </w:r>
          </w:p>
        </w:tc>
        <w:tc>
          <w:tcPr>
            <w:tcW w:w="6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(443,130 )</w:t>
            </w:r>
          </w:p>
        </w:tc>
      </w:tr>
      <w:tr>
        <w:trPr>
          <w:trHeight w:val="22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payments</w:t>
            </w:r>
          </w:p>
        </w:tc>
        <w:tc>
          <w:tcPr>
            <w:tcW w:w="3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(2,400,867 )</w:t>
            </w:r>
          </w:p>
        </w:tc>
        <w:tc>
          <w:tcPr>
            <w:tcW w:w="6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(2,582,887 )</w:t>
            </w:r>
          </w:p>
        </w:tc>
      </w:tr>
      <w:tr>
        <w:trPr>
          <w:trHeight w:val="23"/>
        </w:trPr>
        <w:tc>
          <w:tcPr>
            <w:tcW w:w="6280" w:type="dxa"/>
            <w:vAlign w:val="bottom"/>
          </w:tcPr>
          <w:p>
            <w:pPr>
              <w:spacing w:after="0"/>
              <w:rPr>
                <w:sz w:val="2"/>
                <w:szCs w:val="2"/>
                <w:color w:val="auto"/>
              </w:rPr>
            </w:pPr>
          </w:p>
        </w:tc>
        <w:tc>
          <w:tcPr>
            <w:tcW w:w="2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280" w:type="dxa"/>
            <w:vAlign w:val="bottom"/>
            <w:shd w:val="clear" w:color="auto" w:fill="CFF0FC"/>
          </w:tcPr>
          <w:p>
            <w:pPr>
              <w:spacing w:after="0"/>
              <w:rPr>
                <w:sz w:val="21"/>
                <w:szCs w:val="21"/>
                <w:color w:val="auto"/>
              </w:rPr>
            </w:pPr>
          </w:p>
        </w:tc>
        <w:tc>
          <w:tcPr>
            <w:tcW w:w="3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(8,450,671 )</w:t>
            </w:r>
          </w:p>
        </w:tc>
        <w:tc>
          <w:tcPr>
            <w:tcW w:w="6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(7,519,284 )</w:t>
            </w:r>
          </w:p>
        </w:tc>
      </w:tr>
      <w:tr>
        <w:trPr>
          <w:trHeight w:val="20"/>
        </w:trPr>
        <w:tc>
          <w:tcPr>
            <w:tcW w:w="6280" w:type="dxa"/>
            <w:vAlign w:val="bottom"/>
            <w:tcBorders>
              <w:top w:val="single" w:sz="8" w:color="CFF0FC"/>
            </w:tcBorders>
            <w:shd w:val="clear" w:color="auto" w:fill="CFF0FC"/>
          </w:tcPr>
          <w:p>
            <w:pPr>
              <w:spacing w:after="0" w:line="20" w:lineRule="exact"/>
              <w:rPr>
                <w:sz w:val="1"/>
                <w:szCs w:val="1"/>
                <w:color w:val="auto"/>
              </w:rPr>
            </w:pPr>
          </w:p>
        </w:tc>
        <w:tc>
          <w:tcPr>
            <w:tcW w:w="2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The average number of staff (in FTEs) employed by the Group in the three months ended March 31, 2024 was 83 (2023: 66).</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Finance income/(expense)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tcPr>
          <w:p>
            <w:pPr>
              <w:spacing w:after="0"/>
              <w:rPr>
                <w:sz w:val="19"/>
                <w:szCs w:val="19"/>
                <w:color w:val="auto"/>
              </w:rPr>
            </w:pPr>
          </w:p>
        </w:tc>
        <w:tc>
          <w:tcPr>
            <w:tcW w:w="378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6"/>
                <w:szCs w:val="16"/>
                <w:color w:val="auto"/>
              </w:rPr>
              <w:t>For the three months ended March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300" w:type="dxa"/>
            <w:vAlign w:val="bottom"/>
          </w:tcPr>
          <w:p>
            <w:pPr>
              <w:spacing w:after="0"/>
              <w:rPr>
                <w:sz w:val="19"/>
                <w:szCs w:val="19"/>
                <w:color w:val="auto"/>
              </w:rPr>
            </w:pPr>
          </w:p>
        </w:tc>
        <w:tc>
          <w:tcPr>
            <w:tcW w:w="316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630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center"/>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Foreign exchange differences</w:t>
            </w:r>
          </w:p>
        </w:tc>
        <w:tc>
          <w:tcPr>
            <w:tcW w:w="3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522,251</w:t>
            </w: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(1,595,478 )</w:t>
            </w:r>
          </w:p>
        </w:tc>
      </w:tr>
      <w:tr>
        <w:trPr>
          <w:trHeight w:val="220"/>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over bank balances</w:t>
            </w:r>
          </w:p>
        </w:tc>
        <w:tc>
          <w:tcPr>
            <w:tcW w:w="3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106,527</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finance expenses</w:t>
            </w:r>
          </w:p>
        </w:tc>
        <w:tc>
          <w:tcPr>
            <w:tcW w:w="3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(7,952 )</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(5,314 )</w:t>
            </w:r>
          </w:p>
        </w:tc>
      </w:tr>
      <w:tr>
        <w:trPr>
          <w:trHeight w:val="23"/>
        </w:trPr>
        <w:tc>
          <w:tcPr>
            <w:tcW w:w="6300" w:type="dxa"/>
            <w:vAlign w:val="bottom"/>
            <w:shd w:val="clear" w:color="auto" w:fill="CFF0FC"/>
          </w:tcPr>
          <w:p>
            <w:pPr>
              <w:spacing w:after="0"/>
              <w:rPr>
                <w:sz w:val="2"/>
                <w:szCs w:val="2"/>
                <w:color w:val="auto"/>
              </w:rPr>
            </w:pPr>
          </w:p>
        </w:tc>
        <w:tc>
          <w:tcPr>
            <w:tcW w:w="31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6300" w:type="dxa"/>
            <w:vAlign w:val="bottom"/>
          </w:tcPr>
          <w:p>
            <w:pPr>
              <w:spacing w:after="0"/>
              <w:rPr>
                <w:sz w:val="19"/>
                <w:szCs w:val="19"/>
                <w:color w:val="auto"/>
              </w:rPr>
            </w:pPr>
          </w:p>
        </w:tc>
        <w:tc>
          <w:tcPr>
            <w:tcW w:w="3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578,220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(1,494,265 )</w:t>
            </w:r>
          </w:p>
        </w:tc>
      </w:tr>
      <w:tr>
        <w:trPr>
          <w:trHeight w:val="20"/>
        </w:trPr>
        <w:tc>
          <w:tcPr>
            <w:tcW w:w="6300" w:type="dxa"/>
            <w:vAlign w:val="bottom"/>
          </w:tcPr>
          <w:p>
            <w:pPr>
              <w:spacing w:after="0" w:line="20" w:lineRule="exact"/>
              <w:rPr>
                <w:sz w:val="1"/>
                <w:szCs w:val="1"/>
                <w:color w:val="auto"/>
              </w:rPr>
            </w:pPr>
          </w:p>
        </w:tc>
        <w:tc>
          <w:tcPr>
            <w:tcW w:w="3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-179705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0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Income taxes are accounted for in line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(P&amp;L) and subsequently allocated using the expected full year effective tax rate. The discrete items are recognized in full in the interim period in which they emerge. In the total interim tax charge, no distinction is made between current and deferred tax expenses/ income.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tcPr>
          <w:p>
            <w:pPr>
              <w:spacing w:after="0"/>
              <w:rPr>
                <w:sz w:val="19"/>
                <w:szCs w:val="19"/>
                <w:color w:val="auto"/>
              </w:rPr>
            </w:pPr>
          </w:p>
        </w:tc>
        <w:tc>
          <w:tcPr>
            <w:tcW w:w="376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6"/>
                <w:szCs w:val="16"/>
                <w:color w:val="auto"/>
              </w:rPr>
              <w:t>For the three months ended March 31,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300" w:type="dxa"/>
            <w:vAlign w:val="bottom"/>
          </w:tcPr>
          <w:p>
            <w:pPr>
              <w:spacing w:after="0"/>
              <w:rPr>
                <w:sz w:val="19"/>
                <w:szCs w:val="19"/>
                <w:color w:val="auto"/>
              </w:rPr>
            </w:pPr>
          </w:p>
        </w:tc>
        <w:tc>
          <w:tcPr>
            <w:tcW w:w="3000" w:type="dxa"/>
            <w:vAlign w:val="bottom"/>
            <w:tcBorders>
              <w:bottom w:val="single" w:sz="8" w:color="auto"/>
            </w:tcBorders>
          </w:tcPr>
          <w:p>
            <w:pPr>
              <w:jc w:val="right"/>
              <w:ind w:right="1259"/>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630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center"/>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6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32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(285,117 )</w:t>
            </w:r>
          </w:p>
        </w:tc>
        <w:tc>
          <w:tcPr>
            <w:tcW w:w="5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(60,657 )</w:t>
            </w:r>
          </w:p>
        </w:tc>
      </w:tr>
      <w:tr>
        <w:trPr>
          <w:trHeight w:val="217"/>
        </w:trPr>
        <w:tc>
          <w:tcPr>
            <w:tcW w:w="63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(285,117</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(60,657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0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 tax expense over the three months ended March 31, 2024 and 2023 relates to the Company's U.S. and Dutch subsidiaries as the result of a cost-plus agreement between the Company's principal entity and the U.S. and the Dutch subsidiaries, resulting in an estimated taxable profit in the U.S. and the Netherlands.</w:t>
      </w:r>
    </w:p>
    <w:p>
      <w:pPr>
        <w:spacing w:after="0" w:line="37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90"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Reconciliation of income tax benefit at statutory tax rate and the income tax expense as reported in the unaudited condensed consolidated statement of profit or loss and other comprehensive income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40" w:type="dxa"/>
            <w:vAlign w:val="bottom"/>
          </w:tcPr>
          <w:p>
            <w:pPr>
              <w:spacing w:after="0"/>
              <w:rPr>
                <w:sz w:val="19"/>
                <w:szCs w:val="19"/>
                <w:color w:val="auto"/>
              </w:rPr>
            </w:pPr>
          </w:p>
        </w:tc>
        <w:tc>
          <w:tcPr>
            <w:tcW w:w="310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color w:val="auto"/>
              </w:rPr>
              <w:t>For the three months ended March 31,</w:t>
            </w:r>
          </w:p>
        </w:tc>
      </w:tr>
      <w:tr>
        <w:trPr>
          <w:trHeight w:val="223"/>
        </w:trPr>
        <w:tc>
          <w:tcPr>
            <w:tcW w:w="8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81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before income tax</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(27,733,639 )</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(22,570,292 )</w:t>
            </w:r>
          </w:p>
        </w:tc>
      </w:tr>
      <w:tr>
        <w:trPr>
          <w:trHeight w:val="220"/>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against statutory rate in The Netherlands (25.8%)</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7,155,279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5,823,135</w:t>
            </w:r>
          </w:p>
        </w:tc>
        <w:tc>
          <w:tcPr>
            <w:tcW w:w="100" w:type="dxa"/>
            <w:vAlign w:val="bottom"/>
          </w:tcPr>
          <w:p>
            <w:pPr>
              <w:spacing w:after="0"/>
              <w:rPr>
                <w:sz w:val="19"/>
                <w:szCs w:val="19"/>
                <w:color w:val="auto"/>
              </w:rPr>
            </w:pPr>
          </w:p>
        </w:tc>
      </w:tr>
      <w:tr>
        <w:trPr>
          <w:trHeight w:val="239"/>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tax rates in other countries</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(4,152,528 )</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(3,244,604 )</w:t>
            </w:r>
          </w:p>
        </w:tc>
      </w:tr>
      <w:tr>
        <w:trPr>
          <w:trHeight w:val="220"/>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recognition effects</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(2,782,989 )</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(2,516,131 )</w:t>
            </w:r>
          </w:p>
        </w:tc>
      </w:tr>
      <w:tr>
        <w:trPr>
          <w:trHeight w:val="239"/>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Non-deductible expenses</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(334,866 )</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(123,057 )</w:t>
            </w:r>
          </w:p>
        </w:tc>
      </w:tr>
      <w:tr>
        <w:trPr>
          <w:trHeight w:val="220"/>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Prior period adjustments</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(170,013 )</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814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tax charge</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(285,117 )</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(60,657 )</w:t>
            </w:r>
          </w:p>
        </w:tc>
      </w:tr>
      <w:tr>
        <w:trPr>
          <w:trHeight w:val="20"/>
        </w:trPr>
        <w:tc>
          <w:tcPr>
            <w:tcW w:w="814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Income tax expense is recognized based on management’s estimate of the weighted average effective annual income tax rate expected for the full financial year, bearing in mind the impact of non-discrete and discrete items. Non discrete items in the income tax expense are recognized based on management’s estimate of the weighted average effective annual income tax rate expected for the full financial year. Discrete items in the income tax expense are recognized at the applicable statutory tax rate.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(estimated) average annual tax rate used for the three months ended March 31, 2024 was (1.0%), compared to (0.3%) for the March 31, 2023.</w:t>
      </w:r>
    </w:p>
    <w:p>
      <w:pPr>
        <w:spacing w:after="0" w:line="113" w:lineRule="exact"/>
        <w:rPr>
          <w:sz w:val="20"/>
          <w:szCs w:val="20"/>
          <w:color w:val="auto"/>
        </w:rPr>
      </w:pPr>
    </w:p>
    <w:p>
      <w:pPr>
        <w:jc w:val="both"/>
        <w:ind w:right="780"/>
        <w:spacing w:after="0" w:line="266" w:lineRule="auto"/>
        <w:rPr>
          <w:sz w:val="20"/>
          <w:szCs w:val="20"/>
          <w:color w:val="auto"/>
        </w:rPr>
      </w:pPr>
      <w:r>
        <w:rPr>
          <w:rFonts w:ascii="Arial" w:cs="Arial" w:eastAsia="Arial" w:hAnsi="Arial"/>
          <w:sz w:val="16"/>
          <w:szCs w:val="16"/>
          <w:color w:val="auto"/>
        </w:rPr>
        <w:t>The current period losses for which no deferred tax asset has been recognized mainly consists of the unrecognized tax effect of losses incurred in Switzerland. The differences in the overseas tax rates are due to the lower tax rate in Switzerland compared to the statutory income tax rate in the Netherlands.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Pharvaris N.V. is the head of the fiscal unity including Pharvaris Netherlands B.V. and Pharvaris Holdings B.V.</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w:t>
      </w:r>
    </w:p>
    <w:p>
      <w:pPr>
        <w:spacing w:after="0" w:line="108"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w:t>
      </w:r>
    </w:p>
    <w:p>
      <w:pPr>
        <w:spacing w:after="0" w:line="4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p>
    <w:p>
      <w:pPr>
        <w:sectPr>
          <w:pgSz w:w="11900" w:h="16838" w:orient="portrait"/>
          <w:cols w:equalWidth="0" w:num="1">
            <w:col w:w="11240"/>
          </w:cols>
          <w:pgMar w:left="320" w:top="1440"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Property, plant and equipment</w:t>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book value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beginning of period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 expenses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end of period</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Cumulative depreciation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January 1,</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end of period</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Cumulative Costs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beginning of period</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14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color w:val="auto"/>
              </w:rPr>
              <w:t>March 31, 2024</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10"/>
        </w:trPr>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r>
      <w:tr>
        <w:trPr>
          <w:trHeight w:val="229"/>
        </w:trPr>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223,678</w:t>
            </w:r>
          </w:p>
        </w:tc>
        <w:tc>
          <w:tcPr>
            <w:tcW w:w="2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193,474</w:t>
            </w:r>
          </w:p>
        </w:tc>
        <w:tc>
          <w:tcPr>
            <w:tcW w:w="60" w:type="dxa"/>
            <w:vAlign w:val="bottom"/>
          </w:tcPr>
          <w:p>
            <w:pPr>
              <w:spacing w:after="0"/>
              <w:rPr>
                <w:sz w:val="19"/>
                <w:szCs w:val="19"/>
                <w:color w:val="auto"/>
              </w:rPr>
            </w:pPr>
          </w:p>
        </w:tc>
      </w:tr>
      <w:tr>
        <w:trPr>
          <w:trHeight w:val="230"/>
        </w:trPr>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30,708</w:t>
            </w:r>
          </w:p>
        </w:tc>
        <w:tc>
          <w:tcPr>
            <w:tcW w:w="2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90,051</w:t>
            </w:r>
          </w:p>
        </w:tc>
        <w:tc>
          <w:tcPr>
            <w:tcW w:w="60" w:type="dxa"/>
            <w:vAlign w:val="bottom"/>
          </w:tcPr>
          <w:p>
            <w:pPr>
              <w:spacing w:after="0"/>
              <w:rPr>
                <w:sz w:val="19"/>
                <w:szCs w:val="19"/>
                <w:color w:val="auto"/>
              </w:rPr>
            </w:pPr>
          </w:p>
        </w:tc>
      </w:tr>
      <w:tr>
        <w:trPr>
          <w:trHeight w:val="243"/>
        </w:trPr>
        <w:tc>
          <w:tcPr>
            <w:tcW w:w="2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(16,903 )</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(59,847 )</w:t>
            </w:r>
          </w:p>
        </w:tc>
      </w:tr>
      <w:tr>
        <w:trPr>
          <w:trHeight w:val="223"/>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237,483</w:t>
            </w:r>
          </w:p>
        </w:tc>
        <w:tc>
          <w:tcPr>
            <w:tcW w:w="220" w:type="dxa"/>
            <w:vAlign w:val="bottom"/>
          </w:tcPr>
          <w:p>
            <w:pPr>
              <w:spacing w:after="0"/>
              <w:rPr>
                <w:sz w:val="19"/>
                <w:szCs w:val="19"/>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223,678</w:t>
            </w:r>
          </w:p>
        </w:tc>
        <w:tc>
          <w:tcPr>
            <w:tcW w:w="60" w:type="dxa"/>
            <w:vAlign w:val="bottom"/>
          </w:tcPr>
          <w:p>
            <w:pPr>
              <w:spacing w:after="0"/>
              <w:rPr>
                <w:sz w:val="19"/>
                <w:szCs w:val="19"/>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0"/>
        </w:trPr>
        <w:tc>
          <w:tcPr>
            <w:tcW w:w="214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color w:val="auto"/>
              </w:rPr>
              <w:t>March 31, 2024</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10"/>
        </w:trPr>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8"/>
                <w:szCs w:val="18"/>
                <w:color w:val="auto"/>
              </w:rPr>
            </w:pPr>
          </w:p>
        </w:tc>
      </w:tr>
      <w:tr>
        <w:trPr>
          <w:trHeight w:val="229"/>
        </w:trPr>
        <w:tc>
          <w:tcPr>
            <w:tcW w:w="2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(125,373 )</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(65,526 )</w:t>
            </w:r>
          </w:p>
        </w:tc>
      </w:tr>
      <w:tr>
        <w:trPr>
          <w:trHeight w:val="243"/>
        </w:trPr>
        <w:tc>
          <w:tcPr>
            <w:tcW w:w="21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(16,903 )</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(59,847 )</w:t>
            </w:r>
          </w:p>
        </w:tc>
      </w:tr>
      <w:tr>
        <w:trPr>
          <w:trHeight w:val="223"/>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(142,276</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(125,373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March 31, 2024</w:t>
            </w:r>
          </w:p>
        </w:tc>
        <w:tc>
          <w:tcPr>
            <w:tcW w:w="22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31, 2023</w:t>
            </w:r>
          </w:p>
        </w:tc>
        <w:tc>
          <w:tcPr>
            <w:tcW w:w="60" w:type="dxa"/>
            <w:vAlign w:val="bottom"/>
          </w:tcPr>
          <w:p>
            <w:pPr>
              <w:spacing w:after="0"/>
              <w:rPr>
                <w:sz w:val="24"/>
                <w:szCs w:val="24"/>
                <w:color w:val="auto"/>
              </w:rPr>
            </w:pPr>
          </w:p>
        </w:tc>
      </w:tr>
      <w:tr>
        <w:trPr>
          <w:trHeight w:val="223"/>
        </w:trPr>
        <w:tc>
          <w:tcPr>
            <w:tcW w:w="214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3"/>
        </w:trPr>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349,051</w:t>
            </w:r>
          </w:p>
        </w:tc>
        <w:tc>
          <w:tcPr>
            <w:tcW w:w="22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259,000</w:t>
            </w:r>
          </w:p>
        </w:tc>
        <w:tc>
          <w:tcPr>
            <w:tcW w:w="60" w:type="dxa"/>
            <w:vAlign w:val="bottom"/>
          </w:tcPr>
          <w:p>
            <w:pPr>
              <w:spacing w:after="0"/>
              <w:rPr>
                <w:sz w:val="21"/>
                <w:szCs w:val="21"/>
                <w:color w:val="auto"/>
              </w:rPr>
            </w:pPr>
          </w:p>
        </w:tc>
      </w:tr>
      <w:tr>
        <w:trPr>
          <w:trHeight w:val="243"/>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30,708</w:t>
            </w:r>
          </w:p>
        </w:tc>
        <w:tc>
          <w:tcPr>
            <w:tcW w:w="220" w:type="dxa"/>
            <w:vAlign w:val="bottom"/>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90,051</w:t>
            </w:r>
          </w:p>
        </w:tc>
        <w:tc>
          <w:tcPr>
            <w:tcW w:w="60" w:type="dxa"/>
            <w:vAlign w:val="bottom"/>
          </w:tcPr>
          <w:p>
            <w:pPr>
              <w:spacing w:after="0"/>
              <w:rPr>
                <w:sz w:val="21"/>
                <w:szCs w:val="21"/>
                <w:color w:val="auto"/>
              </w:rPr>
            </w:pPr>
          </w:p>
        </w:tc>
      </w:tr>
      <w:tr>
        <w:trPr>
          <w:trHeight w:val="223"/>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379,759</w:t>
            </w:r>
          </w:p>
        </w:tc>
        <w:tc>
          <w:tcPr>
            <w:tcW w:w="22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349,051</w:t>
            </w:r>
          </w:p>
        </w:tc>
        <w:tc>
          <w:tcPr>
            <w:tcW w:w="60" w:type="dxa"/>
            <w:vAlign w:val="bottom"/>
          </w:tcPr>
          <w:p>
            <w:pPr>
              <w:spacing w:after="0"/>
              <w:rPr>
                <w:sz w:val="19"/>
                <w:szCs w:val="19"/>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-2476500</wp:posOffset>
            </wp:positionV>
            <wp:extent cx="71323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-1559560</wp:posOffset>
            </wp:positionV>
            <wp:extent cx="713232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-633730</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-2185035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-1268095</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-4350385</wp:posOffset>
            </wp:positionH>
            <wp:positionV relativeFrom="paragraph">
              <wp:posOffset>-325120</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40" w:space="720"/>
            <w:col w:w="4380"/>
          </w:cols>
          <w:pgMar w:left="320" w:top="1440" w:right="339" w:bottom="1440" w:gutter="0" w:footer="0" w:header="0"/>
          <w:type w:val="continuous"/>
        </w:sectPr>
      </w:pPr>
    </w:p>
    <w:p>
      <w:pPr>
        <w:spacing w:after="0" w:line="13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During the three months ended March 31, 2024, the Group acquired assets with a cost of €0.03 million (December 31, 2023: €0.1 million). The acquisitions were mainly related to equipment, tools and installations.</w:t>
      </w:r>
    </w:p>
    <w:p>
      <w:pPr>
        <w:spacing w:after="0" w:line="3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Group’s right-of-use assets: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226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March 31,</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834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20"/>
        </w:trPr>
        <w:tc>
          <w:tcPr>
            <w:tcW w:w="6080" w:type="dxa"/>
            <w:vAlign w:val="bottom"/>
          </w:tcPr>
          <w:p>
            <w:pPr>
              <w:spacing w:after="0"/>
              <w:rPr>
                <w:sz w:val="19"/>
                <w:szCs w:val="19"/>
                <w:color w:val="auto"/>
              </w:rPr>
            </w:pPr>
          </w:p>
        </w:tc>
        <w:tc>
          <w:tcPr>
            <w:tcW w:w="2260" w:type="dxa"/>
            <w:vAlign w:val="bottom"/>
            <w:tcBorders>
              <w:top w:val="single" w:sz="8" w:color="auto"/>
            </w:tcBorders>
          </w:tcPr>
          <w:p>
            <w:pPr>
              <w:jc w:val="center"/>
              <w:ind w:left="8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8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231,893</w:t>
            </w:r>
          </w:p>
        </w:tc>
        <w:tc>
          <w:tcPr>
            <w:tcW w:w="22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432,965</w:t>
            </w:r>
          </w:p>
        </w:tc>
        <w:tc>
          <w:tcPr>
            <w:tcW w:w="100" w:type="dxa"/>
            <w:vAlign w:val="bottom"/>
            <w:shd w:val="clear" w:color="auto" w:fill="CFF0FC"/>
          </w:tcPr>
          <w:p>
            <w:pPr>
              <w:spacing w:after="0"/>
              <w:rPr>
                <w:sz w:val="20"/>
                <w:szCs w:val="20"/>
                <w:color w:val="auto"/>
              </w:rPr>
            </w:pPr>
          </w:p>
        </w:tc>
      </w:tr>
      <w:tr>
        <w:trPr>
          <w:trHeight w:val="22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Addition</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(3,302 )</w:t>
            </w:r>
          </w:p>
        </w:tc>
      </w:tr>
      <w:tr>
        <w:trPr>
          <w:trHeight w:val="239"/>
        </w:trPr>
        <w:tc>
          <w:tcPr>
            <w:tcW w:w="8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charges</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(49,500 )</w:t>
            </w: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(197,770 )</w:t>
            </w: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Impact of transaction of foreign currency</w:t>
            </w:r>
          </w:p>
        </w:tc>
        <w:tc>
          <w:tcPr>
            <w:tcW w:w="2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2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3"/>
        </w:trPr>
        <w:tc>
          <w:tcPr>
            <w:tcW w:w="6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183,481</w:t>
            </w:r>
          </w:p>
        </w:tc>
        <w:tc>
          <w:tcPr>
            <w:tcW w:w="220" w:type="dxa"/>
            <w:vAlign w:val="bottom"/>
            <w:tcBorders>
              <w:bottom w:val="single" w:sz="8" w:color="CFF0FC"/>
            </w:tcBorders>
            <w:shd w:val="clear" w:color="auto" w:fill="CFF0FC"/>
          </w:tcPr>
          <w:p>
            <w:pPr>
              <w:spacing w:after="0"/>
              <w:rPr>
                <w:sz w:val="22"/>
                <w:szCs w:val="2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231,893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Group’s lease liabilities at March 31, 2024:</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3380" w:type="dxa"/>
            <w:vAlign w:val="bottom"/>
            <w:gridSpan w:val="2"/>
          </w:tcPr>
          <w:p>
            <w:pPr>
              <w:jc w:val="right"/>
              <w:ind w:right="1379"/>
              <w:spacing w:after="0"/>
              <w:rPr>
                <w:sz w:val="20"/>
                <w:szCs w:val="20"/>
                <w:color w:val="auto"/>
              </w:rPr>
            </w:pPr>
            <w:r>
              <w:rPr>
                <w:rFonts w:ascii="Times New Roman" w:cs="Times New Roman" w:eastAsia="Times New Roman" w:hAnsi="Times New Roman"/>
                <w:sz w:val="16"/>
                <w:szCs w:val="16"/>
                <w:color w:val="auto"/>
              </w:rPr>
              <w:t>March 31,</w:t>
            </w:r>
          </w:p>
        </w:tc>
        <w:tc>
          <w:tcPr>
            <w:tcW w:w="178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6080" w:type="dxa"/>
            <w:vAlign w:val="bottom"/>
          </w:tcPr>
          <w:p>
            <w:pPr>
              <w:spacing w:after="0"/>
              <w:rPr>
                <w:sz w:val="19"/>
                <w:szCs w:val="19"/>
                <w:color w:val="auto"/>
              </w:rPr>
            </w:pPr>
          </w:p>
        </w:tc>
        <w:tc>
          <w:tcPr>
            <w:tcW w:w="316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9"/>
                <w:szCs w:val="19"/>
                <w:color w:val="auto"/>
              </w:rPr>
            </w:pPr>
          </w:p>
        </w:tc>
        <w:tc>
          <w:tcPr>
            <w:tcW w:w="16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608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6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Office leases</w:t>
            </w:r>
          </w:p>
        </w:tc>
        <w:tc>
          <w:tcPr>
            <w:tcW w:w="33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(190,461 )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(238,905 )</w:t>
            </w:r>
          </w:p>
        </w:tc>
      </w:tr>
      <w:tr>
        <w:trPr>
          <w:trHeight w:val="229"/>
        </w:trPr>
        <w:tc>
          <w:tcPr>
            <w:tcW w:w="6080" w:type="dxa"/>
            <w:vAlign w:val="bottom"/>
          </w:tcPr>
          <w:p>
            <w:pPr>
              <w:ind w:left="20"/>
              <w:spacing w:after="0"/>
              <w:rPr>
                <w:sz w:val="20"/>
                <w:szCs w:val="20"/>
                <w:color w:val="auto"/>
              </w:rPr>
            </w:pPr>
            <w:r>
              <w:rPr>
                <w:rFonts w:ascii="Arial" w:cs="Arial" w:eastAsia="Arial" w:hAnsi="Arial"/>
                <w:sz w:val="16"/>
                <w:szCs w:val="16"/>
                <w:color w:val="auto"/>
              </w:rPr>
              <w:t>Total lease liability</w:t>
            </w:r>
          </w:p>
        </w:tc>
        <w:tc>
          <w:tcPr>
            <w:tcW w:w="3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(190,461 )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(238,905 )</w:t>
            </w:r>
          </w:p>
        </w:tc>
      </w:tr>
      <w:tr>
        <w:trPr>
          <w:trHeight w:val="230"/>
        </w:trPr>
        <w:tc>
          <w:tcPr>
            <w:tcW w:w="60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Current portion</w:t>
            </w:r>
          </w:p>
        </w:tc>
        <w:tc>
          <w:tcPr>
            <w:tcW w:w="33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(120,461 )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(195,341 )</w:t>
            </w:r>
          </w:p>
        </w:tc>
      </w:tr>
      <w:tr>
        <w:trPr>
          <w:trHeight w:val="223"/>
        </w:trPr>
        <w:tc>
          <w:tcPr>
            <w:tcW w:w="6080" w:type="dxa"/>
            <w:vAlign w:val="bottom"/>
          </w:tcPr>
          <w:p>
            <w:pPr>
              <w:ind w:left="20"/>
              <w:spacing w:after="0"/>
              <w:rPr>
                <w:sz w:val="20"/>
                <w:szCs w:val="20"/>
                <w:color w:val="auto"/>
              </w:rPr>
            </w:pPr>
            <w:r>
              <w:rPr>
                <w:rFonts w:ascii="Arial" w:cs="Arial" w:eastAsia="Arial" w:hAnsi="Arial"/>
                <w:sz w:val="16"/>
                <w:szCs w:val="16"/>
                <w:b w:val="1"/>
                <w:bCs w:val="1"/>
                <w:color w:val="auto"/>
              </w:rPr>
              <w:t>Non-current portion</w:t>
            </w:r>
          </w:p>
        </w:tc>
        <w:tc>
          <w:tcPr>
            <w:tcW w:w="3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(70,000</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(43,564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608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Office leases consist of a lease agreement entered into on June 1, 2021 for office space in Lexington, United States of America (the " U.S."), and a lease entered into on December 1, 2022, for offices in Leiden, The Netherlands. Both leases have lease terms of three years and were assessed as being long-term.</w:t>
      </w:r>
    </w:p>
    <w:p>
      <w:pPr>
        <w:spacing w:after="0" w:line="6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average incremental borrowing rate applied to the lease liabilities was 7.77% during the three months ended March 31, 2024 and 2023. Cash outflows related to leases during the three months ended March 31, 2024 and 2023, were €0.05 million and €0.06 million,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Receivables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318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rPr>
              <w:t>March 31,</w:t>
            </w:r>
          </w:p>
        </w:tc>
        <w:tc>
          <w:tcPr>
            <w:tcW w:w="220" w:type="dxa"/>
            <w:vAlign w:val="bottom"/>
          </w:tcPr>
          <w:p>
            <w:pPr>
              <w:spacing w:after="0"/>
              <w:rPr>
                <w:sz w:val="17"/>
                <w:szCs w:val="17"/>
                <w:color w:val="auto"/>
              </w:rPr>
            </w:pPr>
          </w:p>
        </w:tc>
        <w:tc>
          <w:tcPr>
            <w:tcW w:w="17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6080" w:type="dxa"/>
            <w:vAlign w:val="bottom"/>
          </w:tcPr>
          <w:p>
            <w:pPr>
              <w:spacing w:after="0"/>
              <w:rPr>
                <w:sz w:val="19"/>
                <w:szCs w:val="19"/>
                <w:color w:val="auto"/>
              </w:rPr>
            </w:pPr>
          </w:p>
        </w:tc>
        <w:tc>
          <w:tcPr>
            <w:tcW w:w="318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rPr>
              <w:t>2024</w:t>
            </w:r>
          </w:p>
        </w:tc>
        <w:tc>
          <w:tcPr>
            <w:tcW w:w="188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6080" w:type="dxa"/>
            <w:vAlign w:val="bottom"/>
          </w:tcPr>
          <w:p>
            <w:pPr>
              <w:spacing w:after="0"/>
              <w:rPr>
                <w:sz w:val="19"/>
                <w:szCs w:val="19"/>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tax receivable</w:t>
            </w: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615,538</w:t>
            </w:r>
          </w:p>
        </w:tc>
        <w:tc>
          <w:tcPr>
            <w:tcW w:w="100" w:type="dxa"/>
            <w:vAlign w:val="bottom"/>
            <w:shd w:val="clear" w:color="auto" w:fill="CFF0FC"/>
          </w:tcPr>
          <w:p>
            <w:pPr>
              <w:spacing w:after="0"/>
              <w:rPr>
                <w:sz w:val="20"/>
                <w:szCs w:val="20"/>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VAT receivables</w:t>
            </w:r>
          </w:p>
        </w:tc>
        <w:tc>
          <w:tcPr>
            <w:tcW w:w="3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363,071</w:t>
            </w:r>
          </w:p>
        </w:tc>
        <w:tc>
          <w:tcPr>
            <w:tcW w:w="2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423,486</w:t>
            </w:r>
          </w:p>
        </w:tc>
        <w:tc>
          <w:tcPr>
            <w:tcW w:w="100" w:type="dxa"/>
            <w:vAlign w:val="bottom"/>
          </w:tcPr>
          <w:p>
            <w:pPr>
              <w:spacing w:after="0"/>
              <w:rPr>
                <w:sz w:val="19"/>
                <w:szCs w:val="19"/>
                <w:color w:val="auto"/>
              </w:rPr>
            </w:pPr>
          </w:p>
        </w:tc>
      </w:tr>
      <w:tr>
        <w:trPr>
          <w:trHeight w:val="263"/>
        </w:trPr>
        <w:tc>
          <w:tcPr>
            <w:tcW w:w="6080" w:type="dxa"/>
            <w:vAlign w:val="bottom"/>
            <w:tcBorders>
              <w:bottom w:val="single" w:sz="8" w:color="CFF0FC"/>
            </w:tcBorders>
            <w:shd w:val="clear" w:color="auto" w:fill="CFF0FC"/>
          </w:tcPr>
          <w:p>
            <w:pPr>
              <w:spacing w:after="0"/>
              <w:rPr>
                <w:sz w:val="22"/>
                <w:szCs w:val="22"/>
                <w:color w:val="auto"/>
              </w:rPr>
            </w:pPr>
          </w:p>
        </w:tc>
        <w:tc>
          <w:tcPr>
            <w:tcW w:w="3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363,071</w:t>
            </w:r>
          </w:p>
        </w:tc>
        <w:tc>
          <w:tcPr>
            <w:tcW w:w="22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1,039,024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current assets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318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rPr>
              <w:t>March 31,</w:t>
            </w:r>
          </w:p>
        </w:tc>
        <w:tc>
          <w:tcPr>
            <w:tcW w:w="220" w:type="dxa"/>
            <w:vAlign w:val="bottom"/>
          </w:tcPr>
          <w:p>
            <w:pPr>
              <w:spacing w:after="0"/>
              <w:rPr>
                <w:sz w:val="17"/>
                <w:szCs w:val="17"/>
                <w:color w:val="auto"/>
              </w:rPr>
            </w:pPr>
          </w:p>
        </w:tc>
        <w:tc>
          <w:tcPr>
            <w:tcW w:w="17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6080" w:type="dxa"/>
            <w:vAlign w:val="bottom"/>
          </w:tcPr>
          <w:p>
            <w:pPr>
              <w:spacing w:after="0"/>
              <w:rPr>
                <w:sz w:val="19"/>
                <w:szCs w:val="19"/>
                <w:color w:val="auto"/>
              </w:rPr>
            </w:pPr>
          </w:p>
        </w:tc>
        <w:tc>
          <w:tcPr>
            <w:tcW w:w="318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rPr>
              <w:t>2024</w:t>
            </w:r>
          </w:p>
        </w:tc>
        <w:tc>
          <w:tcPr>
            <w:tcW w:w="188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6080" w:type="dxa"/>
            <w:vAlign w:val="bottom"/>
          </w:tcPr>
          <w:p>
            <w:pPr>
              <w:spacing w:after="0"/>
              <w:rPr>
                <w:sz w:val="19"/>
                <w:szCs w:val="19"/>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Prepayments</w:t>
            </w: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7,322,312</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4,959,889</w:t>
            </w:r>
          </w:p>
        </w:tc>
        <w:tc>
          <w:tcPr>
            <w:tcW w:w="100" w:type="dxa"/>
            <w:vAlign w:val="bottom"/>
            <w:shd w:val="clear" w:color="auto" w:fill="CFF0FC"/>
          </w:tcPr>
          <w:p>
            <w:pPr>
              <w:spacing w:after="0"/>
              <w:rPr>
                <w:sz w:val="20"/>
                <w:szCs w:val="20"/>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271,067</w:t>
            </w:r>
          </w:p>
        </w:tc>
        <w:tc>
          <w:tcPr>
            <w:tcW w:w="2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620,815</w:t>
            </w:r>
          </w:p>
        </w:tc>
        <w:tc>
          <w:tcPr>
            <w:tcW w:w="100" w:type="dxa"/>
            <w:vAlign w:val="bottom"/>
          </w:tcPr>
          <w:p>
            <w:pPr>
              <w:spacing w:after="0"/>
              <w:rPr>
                <w:sz w:val="19"/>
                <w:szCs w:val="19"/>
                <w:color w:val="auto"/>
              </w:rPr>
            </w:pPr>
          </w:p>
        </w:tc>
      </w:tr>
      <w:tr>
        <w:trPr>
          <w:trHeight w:val="263"/>
        </w:trPr>
        <w:tc>
          <w:tcPr>
            <w:tcW w:w="6080" w:type="dxa"/>
            <w:vAlign w:val="bottom"/>
            <w:tcBorders>
              <w:bottom w:val="single" w:sz="8" w:color="CFF0FC"/>
            </w:tcBorders>
            <w:shd w:val="clear" w:color="auto" w:fill="CFF0FC"/>
          </w:tcPr>
          <w:p>
            <w:pPr>
              <w:spacing w:after="0"/>
              <w:rPr>
                <w:sz w:val="22"/>
                <w:szCs w:val="22"/>
                <w:color w:val="auto"/>
              </w:rPr>
            </w:pPr>
          </w:p>
        </w:tc>
        <w:tc>
          <w:tcPr>
            <w:tcW w:w="3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7,593,379</w:t>
            </w:r>
          </w:p>
        </w:tc>
        <w:tc>
          <w:tcPr>
            <w:tcW w:w="22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5,580,704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Prepayments mainly relate to prepaid insurance, sign-on bonus to personnel, prepaid research and development expenses and rent.</w:t>
      </w:r>
    </w:p>
    <w:p>
      <w:pPr>
        <w:spacing w:after="0" w:line="19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Other assets as of March 31, 2024, primarily consists of research and development prepaids, compared to December 31, 2023, which primarily consisted of deferred transaction costs related to the Group’s in-process equity financing (refer to note 13). The Company deferred the transaction costs related to any in-process financing. Upon recognition of the equity instruments, the related transaction costs are deducted from share premium.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and cash equivalents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comprise of cash in bank and are not subject to any restriction.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10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On March 31, 2024, the Company’s authorized share capital amounted to € 14.1 million divided into 117,500,000 ordinary shares each with a nominal value of twelve eurocents (€0.12).</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2024, the total number of issued and fully paid shares was 53,816,707 (2023: 33,831,029). On March 31, 2024, the issued share capital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totaled €6.5 million (2023: €4.1 million). On December 31, 2023, the issued share capital totaled €6.3 million.</w:t>
      </w:r>
    </w:p>
    <w:p>
      <w:pPr>
        <w:spacing w:after="0" w:line="286"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In March 2022, the Company filed a Form F-3 Registration Statement and prospectus, allowing the Company to sell up to $350 million of its securities with the Securities and Exchange Commission. This Registration Statement was supplemented by a prospectus supplement covering an at-the-market program providing for the sales from time to time of up to $75 million of its ordinary shares pursuant to a Sales Agreement with Leerink Partners.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2024, the Company has sold a total of 593,927 ordinary shares under the sales agreement generating total net proceeds of $9.8 million</w:t>
      </w:r>
    </w:p>
    <w:p>
      <w:pPr>
        <w:spacing w:after="0" w:line="21"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(€9.3 million), after deducting $0.3 million (€0.3 million), which was payable to Leerink Partners as commission in respect of such sales. On April 12, 2024, the Company terminated the March 2022 sales agreement and entered into a new sales agreement with Leerink Partners (the “April 2024 Sales Agreement”), pursuant to which it may sell ordinary shares having an aggregate offering price of up to $175 million from time to time through Leerink Partners. In April 2024, the Company filed a Form F-3 ASR Registration Statement (the “F-3 ASR”) and prospectus, allowing the Company to sell an unspecified amount of its securities with the Securities and Exchange Commission. The F-3 ASR was supplemented by a prospectus supplement covering an at-the-market program providing for the sales from time to time of up to $175 million of its ordinary shares pursuant to the April 2024 Sales Agreement.</w:t>
      </w:r>
    </w:p>
    <w:p>
      <w:pPr>
        <w:spacing w:after="0" w:line="7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 June 2023, the Company sold a total of 6,951,340 ordinary shares, par value €0.12 per share, in a private placement at a purchase price of $10.07 per ordinary share. The sale generated total proceeds of approximately $70 million (€64.2 million).</w:t>
      </w:r>
    </w:p>
    <w:p>
      <w:pPr>
        <w:spacing w:after="0" w:line="4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December, 2023, the Company entered into an underwriting agreement with Morgan Stanley &amp; Co. LLC and Leerink Partners, LLC as underwriters, pursuant to which the Company agreed to issue and sell (i) 11,125,000 ordinary shares, par value €0.12 per share and (ii) pre-funded warrants to purchase up to 1,375,000 ordinary shares in an underwritten offering. The offering closed on December 8, 2023, and the Company generated net proceeds of $282.0 million (€261.6 million), after deducting bank fees of $18.0 million (€16.7 million).</w:t>
      </w:r>
    </w:p>
    <w:p>
      <w:pPr>
        <w:spacing w:after="0" w:line="70"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pre-funded warrants were subsequently exercised in January 2024 for gross exercise proceeds of $0.01 million and resulted in issuance of 1,375,000 ordinary shares.</w:t>
      </w:r>
    </w:p>
    <w:p>
      <w:pPr>
        <w:spacing w:after="0" w:line="4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In March 2024, the Company received a partial reimbursement for certain of its expenses in connection with the December 2023 offering which have been accounted for in the share premium.</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shares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31,</w:t>
            </w:r>
          </w:p>
        </w:tc>
        <w:tc>
          <w:tcPr>
            <w:tcW w:w="30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764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88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9"/>
                <w:szCs w:val="19"/>
                <w:color w:val="auto"/>
              </w:rPr>
            </w:pPr>
          </w:p>
        </w:tc>
      </w:tr>
      <w:tr>
        <w:trPr>
          <w:trHeight w:val="223"/>
        </w:trPr>
        <w:tc>
          <w:tcPr>
            <w:tcW w:w="764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Number of shares</w:t>
            </w:r>
          </w:p>
        </w:tc>
        <w:tc>
          <w:tcPr>
            <w:tcW w:w="3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Number of shares</w:t>
            </w:r>
          </w:p>
        </w:tc>
        <w:tc>
          <w:tcPr>
            <w:tcW w:w="100" w:type="dxa"/>
            <w:vAlign w:val="bottom"/>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Ordinary shares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53,816,707</w:t>
            </w:r>
          </w:p>
        </w:tc>
        <w:tc>
          <w:tcPr>
            <w:tcW w:w="30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52,290,212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53,816,707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52,290,212</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-179070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Trade and other payables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March 31,</w:t>
            </w:r>
          </w:p>
        </w:tc>
        <w:tc>
          <w:tcPr>
            <w:tcW w:w="260" w:type="dxa"/>
            <w:vAlign w:val="bottom"/>
          </w:tcPr>
          <w:p>
            <w:pPr>
              <w:spacing w:after="0"/>
              <w:rPr>
                <w:sz w:val="17"/>
                <w:szCs w:val="17"/>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7660" w:type="dxa"/>
            <w:vAlign w:val="bottom"/>
          </w:tcPr>
          <w:p>
            <w:pPr>
              <w:spacing w:after="0"/>
              <w:rPr>
                <w:sz w:val="19"/>
                <w:szCs w:val="19"/>
                <w:color w:val="auto"/>
              </w:rPr>
            </w:pPr>
          </w:p>
        </w:tc>
        <w:tc>
          <w:tcPr>
            <w:tcW w:w="16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18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766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5,558,487</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2,909,725</w:t>
            </w:r>
          </w:p>
        </w:tc>
        <w:tc>
          <w:tcPr>
            <w:tcW w:w="100" w:type="dxa"/>
            <w:vAlign w:val="bottom"/>
            <w:shd w:val="clear" w:color="auto" w:fill="CFF0FC"/>
          </w:tcPr>
          <w:p>
            <w:pPr>
              <w:spacing w:after="0"/>
              <w:rPr>
                <w:sz w:val="20"/>
                <w:szCs w:val="20"/>
                <w:color w:val="auto"/>
              </w:rPr>
            </w:pPr>
          </w:p>
        </w:tc>
      </w:tr>
      <w:tr>
        <w:trPr>
          <w:trHeight w:val="217"/>
        </w:trPr>
        <w:tc>
          <w:tcPr>
            <w:tcW w:w="766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5,558,487</w:t>
            </w:r>
          </w:p>
        </w:tc>
        <w:tc>
          <w:tcPr>
            <w:tcW w:w="26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2,909,725</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Accrued liabilities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March 31,</w:t>
            </w:r>
          </w:p>
        </w:tc>
        <w:tc>
          <w:tcPr>
            <w:tcW w:w="260" w:type="dxa"/>
            <w:vAlign w:val="bottom"/>
          </w:tcPr>
          <w:p>
            <w:pPr>
              <w:spacing w:after="0"/>
              <w:rPr>
                <w:sz w:val="17"/>
                <w:szCs w:val="17"/>
                <w:color w:val="auto"/>
              </w:rPr>
            </w:pPr>
          </w:p>
        </w:tc>
        <w:tc>
          <w:tcPr>
            <w:tcW w:w="16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December 31,</w:t>
            </w:r>
          </w:p>
        </w:tc>
      </w:tr>
      <w:tr>
        <w:trPr>
          <w:trHeight w:val="223"/>
        </w:trPr>
        <w:tc>
          <w:tcPr>
            <w:tcW w:w="7680" w:type="dxa"/>
            <w:vAlign w:val="bottom"/>
          </w:tcPr>
          <w:p>
            <w:pPr>
              <w:spacing w:after="0"/>
              <w:rPr>
                <w:sz w:val="19"/>
                <w:szCs w:val="19"/>
                <w:color w:val="auto"/>
              </w:rPr>
            </w:pPr>
          </w:p>
        </w:tc>
        <w:tc>
          <w:tcPr>
            <w:tcW w:w="16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c>
          <w:tcPr>
            <w:tcW w:w="184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768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Consulting, professional and audit liability</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949,424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642,662</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Clinical accrued liabilities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2,536,296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3,824,468</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Manufacturing accrued liabilities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4,202,393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2,285,584</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Nonclinical accrued liabilities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1,242,336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885,030</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Personnel related accruals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2,356,935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2,971,068</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862,143</w:t>
            </w:r>
          </w:p>
        </w:tc>
        <w:tc>
          <w:tcPr>
            <w:tcW w:w="26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281,937</w:t>
            </w:r>
          </w:p>
        </w:tc>
        <w:tc>
          <w:tcPr>
            <w:tcW w:w="100" w:type="dxa"/>
            <w:vAlign w:val="bottom"/>
          </w:tcPr>
          <w:p>
            <w:pPr>
              <w:spacing w:after="0"/>
              <w:rPr>
                <w:sz w:val="19"/>
                <w:szCs w:val="19"/>
                <w:color w:val="auto"/>
              </w:rPr>
            </w:pPr>
          </w:p>
        </w:tc>
      </w:tr>
      <w:tr>
        <w:trPr>
          <w:trHeight w:val="263"/>
        </w:trPr>
        <w:tc>
          <w:tcPr>
            <w:tcW w:w="768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12,149,527</w:t>
            </w:r>
          </w:p>
        </w:tc>
        <w:tc>
          <w:tcPr>
            <w:tcW w:w="260" w:type="dxa"/>
            <w:vAlign w:val="bottom"/>
            <w:tcBorders>
              <w:bottom w:val="single" w:sz="8" w:color="CFF0FC"/>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10,890,749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Risk management activities</w:t>
      </w:r>
    </w:p>
    <w:p>
      <w:pPr>
        <w:spacing w:after="0" w:line="10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Group’s risk management activities are the same as disclosed in Note 17 of the consolidated financial statements for the year ended December 31, 2023.</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values</w:t>
      </w:r>
    </w:p>
    <w:p>
      <w:pPr>
        <w:spacing w:after="0" w:line="10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Fair values of cash and cash equivalents, trade receivables, trade payables, and other current liabilities approximate their carrying amounts largely due to the short-term maturities of these instruments.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 (“LTIP”).</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Set out below is an overview of changes in the Stock Options and Restricted Stock Units (“RSUs”) during the three months ended March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80" w:type="dxa"/>
            <w:vAlign w:val="bottom"/>
          </w:tcPr>
          <w:p>
            <w:pPr>
              <w:spacing w:after="0"/>
              <w:rPr>
                <w:sz w:val="19"/>
                <w:szCs w:val="19"/>
                <w:color w:val="auto"/>
              </w:rPr>
            </w:pPr>
          </w:p>
        </w:tc>
        <w:tc>
          <w:tcPr>
            <w:tcW w:w="202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Stock Options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RSUs</w:t>
            </w:r>
          </w:p>
        </w:tc>
      </w:tr>
      <w:tr>
        <w:trPr>
          <w:trHeight w:val="202"/>
        </w:trPr>
        <w:tc>
          <w:tcPr>
            <w:tcW w:w="648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w w:val="99"/>
              </w:rPr>
              <w:t>Weighted</w:t>
            </w:r>
          </w:p>
        </w:tc>
        <w:tc>
          <w:tcPr>
            <w:tcW w:w="28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average</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80" w:type="dxa"/>
            <w:vAlign w:val="bottom"/>
          </w:tcPr>
          <w:p>
            <w:pPr>
              <w:spacing w:after="0"/>
              <w:rPr>
                <w:sz w:val="17"/>
                <w:szCs w:val="17"/>
                <w:color w:val="auto"/>
              </w:rPr>
            </w:pPr>
          </w:p>
        </w:tc>
        <w:tc>
          <w:tcPr>
            <w:tcW w:w="202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color w:val="auto"/>
              </w:rPr>
              <w:t>Outstanding</w:t>
            </w:r>
          </w:p>
        </w:tc>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exercise</w:t>
            </w:r>
          </w:p>
        </w:tc>
        <w:tc>
          <w:tcPr>
            <w:tcW w:w="28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Outstanding</w:t>
            </w:r>
          </w:p>
        </w:tc>
      </w:tr>
      <w:tr>
        <w:trPr>
          <w:trHeight w:val="223"/>
        </w:trPr>
        <w:tc>
          <w:tcPr>
            <w:tcW w:w="6480" w:type="dxa"/>
            <w:vAlign w:val="bottom"/>
          </w:tcPr>
          <w:p>
            <w:pPr>
              <w:spacing w:after="0"/>
              <w:rPr>
                <w:sz w:val="19"/>
                <w:szCs w:val="19"/>
                <w:color w:val="auto"/>
              </w:rPr>
            </w:pPr>
          </w:p>
        </w:tc>
        <w:tc>
          <w:tcPr>
            <w:tcW w:w="202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color w:val="auto"/>
              </w:rPr>
              <w:t>options</w:t>
            </w:r>
          </w:p>
        </w:tc>
        <w:tc>
          <w:tcPr>
            <w:tcW w:w="1020" w:type="dxa"/>
            <w:vAlign w:val="bottom"/>
          </w:tcPr>
          <w:p>
            <w:pPr>
              <w:jc w:val="center"/>
              <w:ind w:right="259"/>
              <w:spacing w:after="0"/>
              <w:rPr>
                <w:sz w:val="20"/>
                <w:szCs w:val="20"/>
                <w:color w:val="auto"/>
              </w:rPr>
            </w:pPr>
            <w:r>
              <w:rPr>
                <w:rFonts w:ascii="Times New Roman" w:cs="Times New Roman" w:eastAsia="Times New Roman" w:hAnsi="Times New Roman"/>
                <w:sz w:val="16"/>
                <w:szCs w:val="16"/>
                <w:color w:val="auto"/>
                <w:w w:val="99"/>
              </w:rPr>
              <w:t>price</w:t>
            </w:r>
          </w:p>
        </w:tc>
        <w:tc>
          <w:tcPr>
            <w:tcW w:w="28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RSUs</w:t>
            </w:r>
          </w:p>
        </w:tc>
      </w:tr>
      <w:tr>
        <w:trPr>
          <w:trHeight w:val="220"/>
        </w:trPr>
        <w:tc>
          <w:tcPr>
            <w:tcW w:w="648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January 1, 2024</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3,830,652</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1,033,814</w:t>
            </w:r>
          </w:p>
        </w:tc>
        <w:tc>
          <w:tcPr>
            <w:tcW w:w="100" w:type="dxa"/>
            <w:vAlign w:val="bottom"/>
            <w:shd w:val="clear" w:color="auto" w:fill="CFF0FC"/>
          </w:tcPr>
          <w:p>
            <w:pPr>
              <w:spacing w:after="0"/>
              <w:rPr>
                <w:sz w:val="20"/>
                <w:szCs w:val="20"/>
                <w:color w:val="auto"/>
              </w:rPr>
            </w:pPr>
          </w:p>
        </w:tc>
      </w:tr>
      <w:tr>
        <w:trPr>
          <w:trHeight w:val="22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202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29,783</w:t>
            </w:r>
          </w:p>
        </w:tc>
        <w:tc>
          <w:tcPr>
            <w:tcW w:w="100" w:type="dxa"/>
            <w:vAlign w:val="bottom"/>
          </w:tcPr>
          <w:p>
            <w:pPr>
              <w:spacing w:after="0"/>
              <w:rPr>
                <w:sz w:val="19"/>
                <w:szCs w:val="19"/>
                <w:color w:val="auto"/>
              </w:rPr>
            </w:pPr>
          </w:p>
        </w:tc>
      </w:tr>
      <w:tr>
        <w:trPr>
          <w:trHeight w:val="239"/>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Exercised (Vested and Settled)</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(139,297 )</w:t>
            </w: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7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(16,361 )</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(40,218 )</w:t>
            </w:r>
          </w:p>
        </w:tc>
      </w:tr>
      <w:tr>
        <w:trPr>
          <w:trHeight w:val="263"/>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March 31, 2024</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3,691,355</w:t>
            </w: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spacing w:after="0"/>
              <w:rPr>
                <w:sz w:val="22"/>
                <w:szCs w:val="22"/>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28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1,007,018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2024, a total number of 2,179,262 stock options are exercisable (March 31, 2023: 1,737,785).</w:t>
      </w:r>
    </w:p>
    <w:p>
      <w:pPr>
        <w:spacing w:after="0" w:line="113"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During the three months ended March 31, 2024 a total of 29,783 RSUs were granted to employees that joined the Group in the same period and to existing employees. The RSUs shall vest equally over a four-year period on each of the four anniversaries of the vesting start date until either the RSUs are fully vested or the RSUs holders’ continuous service terminates.</w:t>
      </w:r>
    </w:p>
    <w:p>
      <w:pPr>
        <w:spacing w:after="0" w:line="63"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The fair value of the RSUs is determined based on the share value per ordinary share at the grant date (or at the first trading day after the grant date if the Nasdaq Stock Exchange is not open on this date). The grant dates and share closing price were January 2, 2024 ($25.87), February 1, 2024 ($29.95) and March 1, 2024 ($24.16), respectively.</w:t>
      </w:r>
    </w:p>
    <w:p>
      <w:pPr>
        <w:spacing w:after="0" w:line="6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For the three months ended March 31, 2024, the Group recognized €2.4 million of share-based payment expense in the unaudited condensed consolidated statement of income or loss and other comprehensive income (three months ended March 31, 2023: €2.6 million).</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Basic and diluted loss per share</w:t>
      </w:r>
    </w:p>
    <w:p>
      <w:pPr>
        <w:spacing w:after="0" w:line="10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Basic and diluted loss per share is calculated by dividing the loss attributable to equity holders of the Company by the weighted average number of issued and outstanding ordinary shares during the three months ended March 31, 2024 and 2023.</w:t>
      </w:r>
    </w:p>
    <w:p>
      <w:pPr>
        <w:spacing w:after="0" w:line="4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All of the Company’s potential dilutive securities have been excluded from the computation of diluted net loss per share attributable to ordinary stockholders as the effect of including them would be antidilutive.</w:t>
      </w:r>
    </w:p>
    <w:p>
      <w:pPr>
        <w:spacing w:after="0" w:line="169"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7740" w:type="dxa"/>
            <w:vAlign w:val="bottom"/>
          </w:tcPr>
          <w:p>
            <w:pPr>
              <w:spacing w:after="0"/>
              <w:rPr>
                <w:sz w:val="19"/>
                <w:szCs w:val="19"/>
                <w:color w:val="auto"/>
              </w:rPr>
            </w:pPr>
          </w:p>
        </w:tc>
        <w:tc>
          <w:tcPr>
            <w:tcW w:w="3360" w:type="dxa"/>
            <w:vAlign w:val="bottom"/>
            <w:gridSpan w:val="4"/>
          </w:tcPr>
          <w:p>
            <w:pPr>
              <w:jc w:val="right"/>
              <w:ind w:right="500"/>
              <w:spacing w:after="0"/>
              <w:rPr>
                <w:sz w:val="20"/>
                <w:szCs w:val="20"/>
                <w:color w:val="auto"/>
              </w:rPr>
            </w:pPr>
            <w:r>
              <w:rPr>
                <w:rFonts w:ascii="Times New Roman" w:cs="Times New Roman" w:eastAsia="Times New Roman" w:hAnsi="Times New Roman"/>
                <w:sz w:val="16"/>
                <w:szCs w:val="16"/>
                <w:color w:val="auto"/>
              </w:rPr>
              <w:t>For the three months ended March 31,</w:t>
            </w:r>
          </w:p>
        </w:tc>
      </w:tr>
      <w:tr>
        <w:trPr>
          <w:trHeight w:val="223"/>
        </w:trPr>
        <w:tc>
          <w:tcPr>
            <w:tcW w:w="774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r>
      <w:tr>
        <w:trPr>
          <w:trHeight w:val="220"/>
        </w:trPr>
        <w:tc>
          <w:tcPr>
            <w:tcW w:w="774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(28,018,756 )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(22,630,949 )</w:t>
            </w:r>
          </w:p>
        </w:tc>
      </w:tr>
      <w:tr>
        <w:trPr>
          <w:trHeight w:val="220"/>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 outstanding</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53,747,981</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33,823,924</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and diluted loss per share</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(0.52 )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(0.67 )</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claims known to management related to the activities of the Group.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Group’s contractual obligations and commitments as of March 31, 2024 amounted to €67.9 million, (December 31, 2023: €49 million) primarily related to research and development commitments.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Group had no contingent liabilities and no contingent assets as of March 31, 2024 and December 31, 2023.</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parties</w:t>
      </w:r>
    </w:p>
    <w:p>
      <w:pPr>
        <w:spacing w:after="0" w:line="10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management personnel compensation</w:t>
      </w:r>
    </w:p>
    <w:p>
      <w:pPr>
        <w:spacing w:after="0" w:line="247"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6"/>
          <w:szCs w:val="16"/>
          <w:color w:val="auto"/>
        </w:rPr>
        <w:t>For the three months ended March 31,</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236"/>
        </w:trPr>
        <w:tc>
          <w:tcPr>
            <w:tcW w:w="814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20"/>
                <w:szCs w:val="20"/>
                <w:color w:val="auto"/>
              </w:rPr>
            </w:pPr>
          </w:p>
        </w:tc>
      </w:tr>
      <w:tr>
        <w:trPr>
          <w:trHeight w:val="220"/>
        </w:trPr>
        <w:tc>
          <w:tcPr>
            <w:tcW w:w="8140" w:type="dxa"/>
            <w:vAlign w:val="bottom"/>
          </w:tcPr>
          <w:p>
            <w:pPr>
              <w:spacing w:after="0"/>
              <w:rPr>
                <w:sz w:val="19"/>
                <w:szCs w:val="19"/>
                <w:color w:val="auto"/>
              </w:rPr>
            </w:pPr>
          </w:p>
        </w:tc>
        <w:tc>
          <w:tcPr>
            <w:tcW w:w="1020" w:type="dxa"/>
            <w:vAlign w:val="bottom"/>
            <w:tcBorders>
              <w:top w:val="single" w:sz="8" w:color="auto"/>
            </w:tcBorders>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39"/>
        </w:trPr>
        <w:tc>
          <w:tcPr>
            <w:tcW w:w="9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 term employee benefits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1,361,429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1,083,441</w:t>
            </w:r>
          </w:p>
        </w:tc>
        <w:tc>
          <w:tcPr>
            <w:tcW w:w="100" w:type="dxa"/>
            <w:vAlign w:val="bottom"/>
            <w:shd w:val="clear" w:color="auto" w:fill="CFF0FC"/>
          </w:tcPr>
          <w:p>
            <w:pPr>
              <w:spacing w:after="0"/>
              <w:rPr>
                <w:sz w:val="20"/>
                <w:szCs w:val="20"/>
                <w:color w:val="auto"/>
              </w:rPr>
            </w:pPr>
          </w:p>
        </w:tc>
      </w:tr>
      <w:tr>
        <w:trPr>
          <w:trHeight w:val="220"/>
        </w:trPr>
        <w:tc>
          <w:tcPr>
            <w:tcW w:w="9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Post employee benefits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64,059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50,431</w:t>
            </w:r>
          </w:p>
        </w:tc>
        <w:tc>
          <w:tcPr>
            <w:tcW w:w="100" w:type="dxa"/>
            <w:vAlign w:val="bottom"/>
          </w:tcPr>
          <w:p>
            <w:pPr>
              <w:spacing w:after="0"/>
              <w:rPr>
                <w:sz w:val="19"/>
                <w:szCs w:val="19"/>
                <w:color w:val="auto"/>
              </w:rPr>
            </w:pPr>
          </w:p>
        </w:tc>
      </w:tr>
      <w:tr>
        <w:trPr>
          <w:trHeight w:val="239"/>
        </w:trPr>
        <w:tc>
          <w:tcPr>
            <w:tcW w:w="9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1,312,875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1,524,994</w:t>
            </w:r>
          </w:p>
        </w:tc>
        <w:tc>
          <w:tcPr>
            <w:tcW w:w="100" w:type="dxa"/>
            <w:vAlign w:val="bottom"/>
            <w:shd w:val="clear" w:color="auto" w:fill="CFF0FC"/>
          </w:tcPr>
          <w:p>
            <w:pPr>
              <w:spacing w:after="0"/>
              <w:rPr>
                <w:sz w:val="20"/>
                <w:szCs w:val="20"/>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2,738,363</w:t>
            </w: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2,658,866</w:t>
            </w:r>
          </w:p>
        </w:tc>
        <w:tc>
          <w:tcPr>
            <w:tcW w:w="100" w:type="dxa"/>
            <w:vAlign w:val="bottom"/>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No stock options were granted to key management during the three months ended March 31, 2024. Refer to note 18 for disclosures on the share-based payments</w:t>
      </w:r>
    </w:p>
    <w:p>
      <w:pPr>
        <w:spacing w:after="0" w:line="4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Group engages two management entities for the purpose of providing key management services to the Group. These management entities are considered related parties, as they provide key management services and key management personnel which have key management functions within these entities. Certain key management personnel are also shareholders of the Company.</w:t>
      </w:r>
    </w:p>
    <w:p>
      <w:pPr>
        <w:spacing w:after="0" w:line="25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aggregate amount of expense recognized in the unaudited condensed consolidated interim financial statements related to these related parties were €0.3 million and €0.3 million for the three months ended March 31, 2024 and 2023, respectively.</w:t>
      </w:r>
    </w:p>
    <w:p>
      <w:pPr>
        <w:spacing w:after="0" w:line="23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outstanding balances payable to key management personnel, or entities which they control, as per March 31, 2024 and December 31, 2023 were €0.3 million and €1.4 million, respectively.</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 w:name="page34"/>
    <w:bookmarkEnd w:id="33"/>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Events after the reporting period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Joan Schmidt, our Chief Legal Officer, has announced that she will be leaving the Company effective June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4" w:name="page35"/>
    <w:bookmarkEnd w:id="34"/>
    <w:p>
      <w:pPr>
        <w:spacing w:after="0" w:line="85" w:lineRule="exact"/>
        <w:rPr>
          <w:sz w:val="20"/>
          <w:szCs w:val="20"/>
          <w:color w:val="auto"/>
        </w:rPr>
      </w:pPr>
    </w:p>
    <w:p>
      <w:pPr>
        <w:ind w:right="3119"/>
        <w:spacing w:after="0" w:line="443" w:lineRule="auto"/>
        <w:rPr>
          <w:sz w:val="20"/>
          <w:szCs w:val="20"/>
          <w:color w:val="auto"/>
        </w:rPr>
      </w:pPr>
      <w:r>
        <w:rPr>
          <w:rFonts w:ascii="Arial" w:cs="Arial" w:eastAsia="Arial" w:hAnsi="Arial"/>
          <w:sz w:val="18"/>
          <w:szCs w:val="18"/>
          <w:b w:val="1"/>
          <w:bCs w:val="1"/>
          <w:color w:val="auto"/>
        </w:rPr>
        <w:t xml:space="preserve">Signatories to the unaudited condensed consolidated interim financial statements </w:t>
      </w:r>
      <w:r>
        <w:rPr>
          <w:rFonts w:ascii="Arial" w:cs="Arial" w:eastAsia="Arial" w:hAnsi="Arial"/>
          <w:sz w:val="18"/>
          <w:szCs w:val="18"/>
          <w:color w:val="auto"/>
        </w:rPr>
        <w:t>Leiden, May 8, 2024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Pharvaris N.V.</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B.A.E. Modig</w:t>
      </w:r>
      <w:r>
        <w:rPr>
          <w:sz w:val="20"/>
          <w:szCs w:val="20"/>
          <w:color w:val="auto"/>
        </w:rPr>
        <w:tab/>
      </w:r>
      <w:r>
        <w:rPr>
          <w:rFonts w:ascii="Arial" w:cs="Arial" w:eastAsia="Arial" w:hAnsi="Arial"/>
          <w:sz w:val="17"/>
          <w:szCs w:val="17"/>
          <w:color w:val="auto"/>
        </w:rPr>
        <w:t>R.H. Glassman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E. Björk</w:t>
      </w:r>
      <w:r>
        <w:rPr>
          <w:sz w:val="20"/>
          <w:szCs w:val="20"/>
          <w:color w:val="auto"/>
        </w:rPr>
        <w:tab/>
      </w:r>
      <w:r>
        <w:rPr>
          <w:rFonts w:ascii="Arial" w:cs="Arial" w:eastAsia="Arial" w:hAnsi="Arial"/>
          <w:sz w:val="17"/>
          <w:szCs w:val="17"/>
          <w:color w:val="auto"/>
        </w:rPr>
        <w:t>J.G.C.P. Schikan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D.P. Meeker</w:t>
      </w:r>
      <w:r>
        <w:rPr>
          <w:sz w:val="20"/>
          <w:szCs w:val="20"/>
          <w:color w:val="auto"/>
        </w:rPr>
        <w:tab/>
      </w:r>
      <w:r>
        <w:rPr>
          <w:rFonts w:ascii="Arial" w:cs="Arial" w:eastAsia="Arial" w:hAnsi="Arial"/>
          <w:sz w:val="17"/>
          <w:szCs w:val="17"/>
          <w:color w:val="auto"/>
        </w:rPr>
        <w:t>V. Monges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2024-05-08T15:50:28Z</dcterms:created>
  <dcterms:modified xsi:type="dcterms:W3CDTF">2024-05-08T15:50:28Z</dcterms:modified>
</cp:coreProperties>
</file>