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1905635</wp:posOffset>
            </wp:positionH>
            <wp:positionV relativeFrom="paragraph">
              <wp:posOffset>125730</wp:posOffset>
            </wp:positionV>
            <wp:extent cx="333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38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1905635</wp:posOffset>
            </wp:positionH>
            <wp:positionV relativeFrom="paragraph">
              <wp:posOffset>166370</wp:posOffset>
            </wp:positionV>
            <wp:extent cx="333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month of November 2023</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1905635</wp:posOffset>
            </wp:positionH>
            <wp:positionV relativeFrom="paragraph">
              <wp:posOffset>142875</wp:posOffset>
            </wp:positionV>
            <wp:extent cx="3330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39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Pharvaris N.V.</w:t>
      </w:r>
    </w:p>
    <w:p>
      <w:pPr>
        <w:spacing w:after="0" w:line="25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1905635</wp:posOffset>
            </wp:positionH>
            <wp:positionV relativeFrom="paragraph">
              <wp:posOffset>146685</wp:posOffset>
            </wp:positionV>
            <wp:extent cx="3330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38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Emmy Noetherweg 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2333 BK Leiden</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Netherlands</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7"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47"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10" w:right="4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PHARVARIS N.V.</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November 2, 2023, Pharvaris N.V. (the "Company") issued a press release reporting financial results and other business updates for the three and nine months ended September 30, 2023.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and 333-263198)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1"/>
        </w:trPr>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20" w:type="dxa"/>
            <w:vAlign w:val="bottom"/>
            <w:gridSpan w:val="4"/>
          </w:tcPr>
          <w:p>
            <w:pPr>
              <w:ind w:left="560"/>
              <w:spacing w:after="0"/>
              <w:rPr>
                <w:sz w:val="20"/>
                <w:szCs w:val="20"/>
                <w:color w:val="auto"/>
              </w:rPr>
            </w:pPr>
            <w:r>
              <w:rPr>
                <w:rFonts w:ascii="Arial" w:cs="Arial" w:eastAsia="Arial" w:hAnsi="Arial"/>
                <w:sz w:val="18"/>
                <w:szCs w:val="18"/>
                <w:b w:val="1"/>
                <w:bCs w:val="1"/>
                <w:color w:val="auto"/>
              </w:rPr>
              <w:t>EXHIBIT INDEX</w:t>
            </w:r>
          </w:p>
        </w:tc>
      </w:tr>
      <w:tr>
        <w:trPr>
          <w:trHeight w:val="401"/>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5"/>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020" w:type="dxa"/>
            <w:vAlign w:val="bottom"/>
          </w:tcPr>
          <w:p>
            <w:pPr>
              <w:ind w:left="20"/>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Press Release, dated November 2, 2023, (Financial results).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 as of and for the Three and Nine Months Ended</w:t>
            </w:r>
          </w:p>
        </w:tc>
        <w:tc>
          <w:tcPr>
            <w:tcW w:w="220" w:type="dxa"/>
            <w:vAlign w:val="bottom"/>
            <w:gridSpan w:val="2"/>
          </w:tcPr>
          <w:p>
            <w:pPr>
              <w:spacing w:after="0"/>
              <w:rPr>
                <w:sz w:val="17"/>
                <w:szCs w:val="17"/>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6"/>
          </w:tcPr>
          <w:p>
            <w:pPr>
              <w:spacing w:after="0" w:line="169" w:lineRule="exact"/>
              <w:rPr>
                <w:sz w:val="20"/>
                <w:szCs w:val="20"/>
                <w:color w:val="auto"/>
              </w:rPr>
            </w:pPr>
            <w:r>
              <w:rPr>
                <w:rFonts w:ascii="Arial" w:cs="Arial" w:eastAsia="Arial" w:hAnsi="Arial"/>
                <w:sz w:val="16"/>
                <w:szCs w:val="16"/>
                <w:color w:val="0000FF"/>
              </w:rPr>
              <w:t>September 30, 2023 and 2022.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Unaudited Condensed Consolidated Interim Financial Statements as of and for the Three and Nine Months Ended September 30, 2023 and</w:t>
            </w:r>
          </w:p>
        </w:tc>
        <w:tc>
          <w:tcPr>
            <w:tcW w:w="60" w:type="dxa"/>
            <w:vAlign w:val="bottom"/>
          </w:tcPr>
          <w:p>
            <w:pPr>
              <w:spacing w:after="0"/>
              <w:rPr>
                <w:sz w:val="17"/>
                <w:szCs w:val="17"/>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6"/>
          </w:tcPr>
          <w:p>
            <w:pPr>
              <w:spacing w:after="0" w:line="169" w:lineRule="exact"/>
              <w:rPr>
                <w:sz w:val="20"/>
                <w:szCs w:val="20"/>
                <w:color w:val="auto"/>
              </w:rPr>
            </w:pPr>
            <w:r>
              <w:rPr>
                <w:rFonts w:ascii="Arial" w:cs="Arial" w:eastAsia="Arial" w:hAnsi="Arial"/>
                <w:sz w:val="16"/>
                <w:szCs w:val="16"/>
                <w:color w:val="0000FF"/>
              </w:rPr>
              <w:t>2022 and for year ended December 31, 2022.</w:t>
            </w:r>
          </w:p>
        </w:tc>
      </w:tr>
      <w:tr>
        <w:trPr>
          <w:trHeight w:val="567"/>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20" w:type="dxa"/>
            <w:vAlign w:val="bottom"/>
            <w:tcBorders>
              <w:top w:val="single" w:sz="8" w:color="0000FF"/>
              <w:bottom w:val="single" w:sz="8" w:color="9A9A9A"/>
            </w:tcBorders>
          </w:tcPr>
          <w:p>
            <w:pPr>
              <w:spacing w:after="0"/>
              <w:rPr>
                <w:sz w:val="24"/>
                <w:szCs w:val="24"/>
                <w:color w:val="auto"/>
              </w:rPr>
            </w:pPr>
          </w:p>
        </w:tc>
        <w:tc>
          <w:tcPr>
            <w:tcW w:w="104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20" w:type="dxa"/>
            <w:vAlign w:val="bottom"/>
          </w:tcPr>
          <w:p>
            <w:pPr>
              <w:spacing w:after="0"/>
              <w:rPr>
                <w:sz w:val="21"/>
                <w:szCs w:val="21"/>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PHARVARIS N.V.</w:t>
            </w:r>
          </w:p>
        </w:tc>
      </w:tr>
      <w:tr>
        <w:trPr>
          <w:trHeight w:val="426"/>
        </w:trPr>
        <w:tc>
          <w:tcPr>
            <w:tcW w:w="3720" w:type="dxa"/>
            <w:vAlign w:val="bottom"/>
          </w:tcPr>
          <w:p>
            <w:pPr>
              <w:ind w:left="20"/>
              <w:spacing w:after="0"/>
              <w:rPr>
                <w:sz w:val="20"/>
                <w:szCs w:val="20"/>
                <w:color w:val="auto"/>
              </w:rPr>
            </w:pPr>
            <w:r>
              <w:rPr>
                <w:rFonts w:ascii="Arial" w:cs="Arial" w:eastAsia="Arial" w:hAnsi="Arial"/>
                <w:sz w:val="16"/>
                <w:szCs w:val="16"/>
                <w:color w:val="auto"/>
              </w:rPr>
              <w:t>Date: November 2, 2023</w:t>
            </w:r>
          </w:p>
        </w:tc>
        <w:tc>
          <w:tcPr>
            <w:tcW w:w="2620" w:type="dxa"/>
            <w:vAlign w:val="bottom"/>
          </w:tcPr>
          <w:p>
            <w:pPr>
              <w:ind w:left="1920"/>
              <w:spacing w:after="0"/>
              <w:rPr>
                <w:sz w:val="20"/>
                <w:szCs w:val="20"/>
                <w:color w:val="auto"/>
              </w:rPr>
            </w:pPr>
            <w:r>
              <w:rPr>
                <w:rFonts w:ascii="Arial" w:cs="Arial" w:eastAsia="Arial" w:hAnsi="Arial"/>
                <w:sz w:val="16"/>
                <w:szCs w:val="16"/>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210"/>
        </w:trPr>
        <w:tc>
          <w:tcPr>
            <w:tcW w:w="3720" w:type="dxa"/>
            <w:vAlign w:val="bottom"/>
          </w:tcPr>
          <w:p>
            <w:pPr>
              <w:spacing w:after="0"/>
              <w:rPr>
                <w:sz w:val="18"/>
                <w:szCs w:val="18"/>
                <w:color w:val="auto"/>
              </w:rPr>
            </w:pPr>
          </w:p>
        </w:tc>
        <w:tc>
          <w:tcPr>
            <w:tcW w:w="2620" w:type="dxa"/>
            <w:vAlign w:val="bottom"/>
          </w:tcPr>
          <w:p>
            <w:pPr>
              <w:ind w:left="1920"/>
              <w:spacing w:after="0"/>
              <w:rPr>
                <w:sz w:val="20"/>
                <w:szCs w:val="20"/>
                <w:color w:val="auto"/>
              </w:rPr>
            </w:pPr>
            <w:r>
              <w:rPr>
                <w:rFonts w:ascii="Arial" w:cs="Arial" w:eastAsia="Arial" w:hAnsi="Arial"/>
                <w:sz w:val="16"/>
                <w:szCs w:val="16"/>
                <w:color w:val="auto"/>
              </w:rPr>
              <w:t>Name:</w:t>
            </w:r>
          </w:p>
        </w:tc>
        <w:tc>
          <w:tcPr>
            <w:tcW w:w="4900" w:type="dxa"/>
            <w:vAlign w:val="bottom"/>
          </w:tcPr>
          <w:p>
            <w:pPr>
              <w:ind w:left="20"/>
              <w:spacing w:after="0"/>
              <w:rPr>
                <w:sz w:val="20"/>
                <w:szCs w:val="20"/>
                <w:color w:val="auto"/>
              </w:rPr>
            </w:pPr>
            <w:r>
              <w:rPr>
                <w:rFonts w:ascii="Arial" w:cs="Arial" w:eastAsia="Arial" w:hAnsi="Arial"/>
                <w:sz w:val="16"/>
                <w:szCs w:val="16"/>
                <w:color w:val="auto"/>
              </w:rPr>
              <w:t>Berndt Modig</w:t>
            </w:r>
          </w:p>
        </w:tc>
      </w:tr>
      <w:tr>
        <w:trPr>
          <w:trHeight w:val="216"/>
        </w:trPr>
        <w:tc>
          <w:tcPr>
            <w:tcW w:w="3720" w:type="dxa"/>
            <w:vAlign w:val="bottom"/>
          </w:tcPr>
          <w:p>
            <w:pPr>
              <w:spacing w:after="0"/>
              <w:rPr>
                <w:sz w:val="18"/>
                <w:szCs w:val="18"/>
                <w:color w:val="auto"/>
              </w:rPr>
            </w:pPr>
          </w:p>
        </w:tc>
        <w:tc>
          <w:tcPr>
            <w:tcW w:w="2620" w:type="dxa"/>
            <w:vAlign w:val="bottom"/>
          </w:tcPr>
          <w:p>
            <w:pPr>
              <w:ind w:left="1920"/>
              <w:spacing w:after="0"/>
              <w:rPr>
                <w:sz w:val="20"/>
                <w:szCs w:val="20"/>
                <w:color w:val="auto"/>
              </w:rPr>
            </w:pPr>
            <w:r>
              <w:rPr>
                <w:rFonts w:ascii="Arial" w:cs="Arial" w:eastAsia="Arial" w:hAnsi="Arial"/>
                <w:sz w:val="16"/>
                <w:szCs w:val="16"/>
                <w:color w:val="auto"/>
              </w:rPr>
              <w:t>Title:</w:t>
            </w:r>
          </w:p>
        </w:tc>
        <w:tc>
          <w:tcPr>
            <w:tcW w:w="49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552"/>
        </w:trPr>
        <w:tc>
          <w:tcPr>
            <w:tcW w:w="37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158750</wp:posOffset>
            </wp:positionV>
            <wp:extent cx="1978025" cy="290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802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Pharvaris Reports Third Quarter 2023 Financial Results and Provides Business Update</w:t>
      </w:r>
    </w:p>
    <w:p>
      <w:pPr>
        <w:spacing w:after="0" w:line="123" w:lineRule="exact"/>
        <w:rPr>
          <w:sz w:val="20"/>
          <w:szCs w:val="20"/>
          <w:color w:val="auto"/>
        </w:rPr>
      </w:pPr>
    </w:p>
    <w:p>
      <w:pPr>
        <w:ind w:left="1020" w:hanging="504"/>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Top-line data from Phase 2 CHAPTER-1 prophylactic study anticipated by YE2023</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Participated in an End-of-Phase 2 meeting with the FDA; initiation of global Phase 3 clinical study (RAPIDe-3) anticipated within 1H2024</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Cash and cash equivalents of €158 million as of September 30, 2023</w:t>
      </w:r>
    </w:p>
    <w:p>
      <w:pPr>
        <w:spacing w:after="0" w:line="19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color w:val="auto"/>
        </w:rPr>
        <w:t xml:space="preserve">Zug, Switzerland, November 2, 2023 </w:t>
      </w:r>
      <w:r>
        <w:rPr>
          <w:rFonts w:ascii="Arial" w:cs="Arial" w:eastAsia="Arial" w:hAnsi="Arial"/>
          <w:sz w:val="16"/>
          <w:szCs w:val="16"/>
          <w:color w:val="auto"/>
        </w:rPr>
        <w:t>– Pharvaris (Nasdaq: PHVS), a clinical-stage company developing novel, oral bradykinin-B2-receptor antagonists to</w:t>
      </w:r>
      <w:r>
        <w:rPr>
          <w:rFonts w:ascii="Arial" w:cs="Arial" w:eastAsia="Arial" w:hAnsi="Arial"/>
          <w:sz w:val="16"/>
          <w:szCs w:val="16"/>
          <w:b w:val="1"/>
          <w:bCs w:val="1"/>
          <w:color w:val="auto"/>
        </w:rPr>
        <w:t xml:space="preserve"> </w:t>
      </w:r>
      <w:r>
        <w:rPr>
          <w:rFonts w:ascii="Arial" w:cs="Arial" w:eastAsia="Arial" w:hAnsi="Arial"/>
          <w:sz w:val="16"/>
          <w:szCs w:val="16"/>
          <w:color w:val="auto"/>
        </w:rPr>
        <w:t>treat and prevent hereditary angioedema (HAE) attacks, today reported financial results for the third quarter ended September 30, 2023 and provided a business update.</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appreciate the FDA’s ongoing communication and collaboration, including our recent productive End-of-Phase 2 meeting, and anticipate initiating RAPIDe-3, our global Phase 3 on-demand study of PHVS416, within the first half of 2024,” said Berndt Modig, Chief Executive Officer of Pharvaris. “Pharvaris remains committed to resolving the U.S. clinical hold on deucrictibant for the prophylactic treatment of HAE, and we are on track to submit the non-clinical rodent data to the FDA by the end of the year. Top-line data from CHAPTER-1, a Phase 2 proof-of-concept study of deucrictibant, potentially the first B2-receptor antagonist for long-term prophylaxis in HAE, is anticipated to be announced by the end of the year. Pharvaris’ financial position allows us to continue to operate with a disciplined approach as we aspire to bring best-in-class oral therapies to the HAE community."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Updates</w:t>
      </w:r>
    </w:p>
    <w:p>
      <w:pPr>
        <w:spacing w:after="0" w:line="113" w:lineRule="exact"/>
        <w:rPr>
          <w:sz w:val="20"/>
          <w:szCs w:val="20"/>
          <w:color w:val="auto"/>
        </w:rPr>
      </w:pPr>
    </w:p>
    <w:p>
      <w:pPr>
        <w:ind w:left="1020" w:right="20" w:hanging="504"/>
        <w:spacing w:after="0" w:line="252"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Top-line data from CHAPTER-1, a global Phase 2 study of deucrictibant for the long-term prophylactic treatment of HAE attacks, expected to be announced by the end of 2023. </w:t>
      </w:r>
      <w:r>
        <w:rPr>
          <w:rFonts w:ascii="Arial" w:cs="Arial" w:eastAsia="Arial" w:hAnsi="Arial"/>
          <w:sz w:val="16"/>
          <w:szCs w:val="16"/>
          <w:color w:val="auto"/>
        </w:rPr>
        <w:t>CHAPTER-1, which is currently on hold in the U.S., was designed to enroll approximately 30</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globally with a goal of evaluating deucrictibant as an oral long-term prophylactic treatment against HAE attacks, using PHVS416 (immediate-release deucrictibant capsules) as proof of concept. The efficacy and safety of deucrictibant (10 mg and 20 mg, twice-daily) and placebo will be evaluated by comparing the number of investigator-confirmed attacks during participants’ 12-week treatment period. Data from this proof-of-concept study is expected to inform the design of an anticipated Phase 3 study utilizing PHVS719, a once-daily extended-release formulation of deucrictibant. Pharvaris anticipates announcing top-line data of CHAPTER-1 by the end of 2023.</w:t>
      </w:r>
    </w:p>
    <w:p>
      <w:pPr>
        <w:spacing w:after="0" w:line="103" w:lineRule="exact"/>
        <w:rPr>
          <w:rFonts w:ascii="Arial" w:cs="Arial" w:eastAsia="Arial" w:hAnsi="Arial"/>
          <w:sz w:val="16"/>
          <w:szCs w:val="16"/>
          <w:color w:val="auto"/>
        </w:rPr>
      </w:pPr>
    </w:p>
    <w:p>
      <w:pPr>
        <w:ind w:left="1020" w:right="100" w:hanging="504"/>
        <w:spacing w:after="0" w:line="259"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Participated in End-of-Phase 2 meeting with the U.S. Food and Drug Administration (FDA). </w:t>
      </w:r>
      <w:r>
        <w:rPr>
          <w:rFonts w:ascii="Arial" w:cs="Arial" w:eastAsia="Arial" w:hAnsi="Arial"/>
          <w:sz w:val="16"/>
          <w:szCs w:val="16"/>
          <w:color w:val="auto"/>
        </w:rPr>
        <w:t>Pharvaris participated in an End-of-Phase 2</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with the FDA, during which Pharvaris sought feedback and aligned on the key elements of a proposed Phase 3 clinical study for PHVS416. Globally, Pharvaris is working on study startup activities with clinical site investigators and staff, and expects to initiate RAPIDe-3 within the first half of 2024.</w:t>
      </w:r>
    </w:p>
    <w:p>
      <w:pPr>
        <w:spacing w:after="0" w:line="68" w:lineRule="exact"/>
        <w:rPr>
          <w:rFonts w:ascii="Arial" w:cs="Arial" w:eastAsia="Arial" w:hAnsi="Arial"/>
          <w:sz w:val="16"/>
          <w:szCs w:val="16"/>
          <w:color w:val="auto"/>
        </w:rPr>
      </w:pPr>
    </w:p>
    <w:p>
      <w:pPr>
        <w:ind w:left="1020" w:right="160" w:hanging="504"/>
        <w:spacing w:after="0" w:line="285"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Results of nonclinical toxicology study on-track to be submitted to the FDA by the end of 2023. </w:t>
      </w:r>
      <w:r>
        <w:rPr>
          <w:rFonts w:ascii="Arial" w:cs="Arial" w:eastAsia="Arial" w:hAnsi="Arial"/>
          <w:sz w:val="16"/>
          <w:szCs w:val="16"/>
          <w:color w:val="auto"/>
        </w:rPr>
        <w:t>The IND of deucrictibant for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prophylaxis remains on hold in the U.S. Pharvaris anticipates submitting the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1020" w:right="100"/>
        <w:spacing w:after="0" w:line="275" w:lineRule="auto"/>
        <w:rPr>
          <w:sz w:val="20"/>
          <w:szCs w:val="20"/>
          <w:color w:val="auto"/>
        </w:rPr>
      </w:pPr>
      <w:r>
        <w:rPr>
          <w:rFonts w:ascii="Arial" w:cs="Arial" w:eastAsia="Arial" w:hAnsi="Arial"/>
          <w:sz w:val="16"/>
          <w:szCs w:val="16"/>
          <w:color w:val="auto"/>
        </w:rPr>
        <w:t>the 26-week nonclinical rodent toxicology study, which is intended to provide additional data to address the remaining clinical hold in the U.S., to the FDA by the end of 2023.</w:t>
      </w:r>
    </w:p>
    <w:p>
      <w:pPr>
        <w:spacing w:after="0" w:line="56" w:lineRule="exact"/>
        <w:rPr>
          <w:sz w:val="20"/>
          <w:szCs w:val="20"/>
          <w:color w:val="auto"/>
        </w:rPr>
      </w:pPr>
    </w:p>
    <w:p>
      <w:pPr>
        <w:ind w:left="1020" w:right="100" w:hanging="504"/>
        <w:spacing w:after="0" w:line="25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Clinical deucrictibant data presented at recent medical and patient meetings, supporting ongoing clinical development of deucrictibant. </w:t>
      </w:r>
      <w:r>
        <w:rPr>
          <w:rFonts w:ascii="Arial" w:cs="Arial" w:eastAsia="Arial" w:hAnsi="Arial"/>
          <w:sz w:val="16"/>
          <w:szCs w:val="16"/>
          <w:color w:val="auto"/>
        </w:rPr>
        <w:t>Pharvaris presented data from clinical studies at the 2023 Hereditary Angioedema International (HAEi) Regional Conference</w:t>
      </w:r>
      <w:r>
        <w:rPr>
          <w:rFonts w:ascii="Arial" w:cs="Arial" w:eastAsia="Arial" w:hAnsi="Arial"/>
          <w:sz w:val="16"/>
          <w:szCs w:val="16"/>
          <w:b w:val="1"/>
          <w:bCs w:val="1"/>
          <w:color w:val="auto"/>
        </w:rPr>
        <w:t xml:space="preserve"> </w:t>
      </w:r>
      <w:r>
        <w:rPr>
          <w:rFonts w:ascii="Arial" w:cs="Arial" w:eastAsia="Arial" w:hAnsi="Arial"/>
          <w:sz w:val="16"/>
          <w:szCs w:val="16"/>
          <w:color w:val="auto"/>
        </w:rPr>
        <w:t>EMEA, the 18th German Allergy Congress, the Consortium of Independent Immunology Clinics (CIIC) Fall 2023 Conference, and the Asia Pacific Association of Allergy, Asthma, and Clinical Immunology (APAAACI) and Allergy and Clinical Immunology Society of Singapore (ACIS) APAAACI 2023 International Conference. The slides from the oral presentations and the posters are available on the Investors section of the Pharvaris website.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2023 Financial Results</w:t>
      </w:r>
    </w:p>
    <w:p>
      <w:pPr>
        <w:spacing w:after="0" w:line="113" w:lineRule="exact"/>
        <w:rPr>
          <w:sz w:val="20"/>
          <w:szCs w:val="20"/>
          <w:color w:val="auto"/>
        </w:rPr>
      </w:pPr>
    </w:p>
    <w:p>
      <w:pPr>
        <w:ind w:left="1020" w:right="420" w:hanging="504"/>
        <w:spacing w:after="0" w:line="285"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Liquidity Position. </w:t>
      </w:r>
      <w:r>
        <w:rPr>
          <w:rFonts w:ascii="Arial" w:cs="Arial" w:eastAsia="Arial" w:hAnsi="Arial"/>
          <w:sz w:val="16"/>
          <w:szCs w:val="16"/>
          <w:color w:val="auto"/>
        </w:rPr>
        <w:t>Cash and cash equivalents were €158 million as of September 30, 2023, compared to €162 million for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2022.</w:t>
      </w:r>
    </w:p>
    <w:p>
      <w:pPr>
        <w:spacing w:after="0" w:line="48" w:lineRule="exact"/>
        <w:rPr>
          <w:rFonts w:ascii="Arial" w:cs="Arial" w:eastAsia="Arial" w:hAnsi="Arial"/>
          <w:sz w:val="16"/>
          <w:szCs w:val="16"/>
          <w:color w:val="auto"/>
        </w:rPr>
      </w:pPr>
    </w:p>
    <w:p>
      <w:pPr>
        <w:ind w:left="1020" w:right="220" w:hanging="504"/>
        <w:spacing w:after="0" w:line="285"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R&amp;D expenses were €18.5 million for the quarter ended September 30, 2023,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€14.1 million for the quarter ended September 30, 2022.</w:t>
      </w:r>
    </w:p>
    <w:p>
      <w:pPr>
        <w:spacing w:after="0" w:line="48" w:lineRule="exact"/>
        <w:rPr>
          <w:rFonts w:ascii="Arial" w:cs="Arial" w:eastAsia="Arial" w:hAnsi="Arial"/>
          <w:sz w:val="16"/>
          <w:szCs w:val="16"/>
          <w:color w:val="auto"/>
        </w:rPr>
      </w:pPr>
    </w:p>
    <w:p>
      <w:pPr>
        <w:ind w:left="1020" w:right="320" w:hanging="504"/>
        <w:spacing w:after="0" w:line="285"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General and Administrative (G&amp;A) Expenses</w:t>
      </w:r>
      <w:r>
        <w:rPr>
          <w:rFonts w:ascii="Arial" w:cs="Arial" w:eastAsia="Arial" w:hAnsi="Arial"/>
          <w:sz w:val="16"/>
          <w:szCs w:val="16"/>
          <w:color w:val="auto"/>
        </w:rPr>
        <w:t>. G&amp;A expenses were €7.7 million for the quarter ended September 30, 2023,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€8.3 million for the quarter ended September 30, 2022.</w:t>
      </w:r>
    </w:p>
    <w:p>
      <w:pPr>
        <w:spacing w:after="0" w:line="48" w:lineRule="exact"/>
        <w:rPr>
          <w:rFonts w:ascii="Arial" w:cs="Arial" w:eastAsia="Arial" w:hAnsi="Arial"/>
          <w:sz w:val="16"/>
          <w:szCs w:val="16"/>
          <w:color w:val="auto"/>
        </w:rPr>
      </w:pPr>
    </w:p>
    <w:p>
      <w:pPr>
        <w:ind w:left="1020" w:right="400" w:hanging="504"/>
        <w:spacing w:after="0" w:line="285"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Loss for the year. </w:t>
      </w:r>
      <w:r>
        <w:rPr>
          <w:rFonts w:ascii="Arial" w:cs="Arial" w:eastAsia="Arial" w:hAnsi="Arial"/>
          <w:sz w:val="16"/>
          <w:szCs w:val="16"/>
          <w:color w:val="auto"/>
        </w:rPr>
        <w:t>Loss for the third quarter was €23.6 million, resulting in basic and diluted loss per share of €0.58 for the quarter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2023, compared to €8.5 million, or basic and diluted loss per share of €0.25, for the quarter ended September 30, 2022.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Upcoming Events</w:t>
      </w:r>
    </w:p>
    <w:p>
      <w:pPr>
        <w:spacing w:after="0" w:line="25"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b w:val="1"/>
          <w:bCs w:val="1"/>
          <w:color w:val="auto"/>
        </w:rPr>
        <w:t xml:space="preserve">American College of Allergy, Asthma &amp; Immunology (ACAAI) 2023 Annual Scientific Meeting. </w:t>
      </w:r>
      <w:r>
        <w:rPr>
          <w:rFonts w:ascii="Arial" w:cs="Arial" w:eastAsia="Arial" w:hAnsi="Arial"/>
          <w:sz w:val="16"/>
          <w:szCs w:val="16"/>
          <w:color w:val="auto"/>
        </w:rPr>
        <w:t>Anaheim, CA, November 9-13, 2023. Two abstracts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accepted for ePoster presentation with accompanying audio voiceover. Details are as follows:</w:t>
      </w:r>
    </w:p>
    <w:p>
      <w:pPr>
        <w:spacing w:after="0" w:line="95" w:lineRule="exact"/>
        <w:rPr>
          <w:sz w:val="20"/>
          <w:szCs w:val="20"/>
          <w:color w:val="auto"/>
        </w:rPr>
      </w:pPr>
    </w:p>
    <w:p>
      <w:pPr>
        <w:ind w:left="1020" w:hanging="504"/>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Deucrictibant immediate-release capsule reduces time to end of progression of hereditary angioedema attacks’ manifestations</w:t>
      </w:r>
    </w:p>
    <w:p>
      <w:pPr>
        <w:spacing w:after="0" w:line="42"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b w:val="1"/>
          <w:bCs w:val="1"/>
          <w:color w:val="auto"/>
        </w:rPr>
        <w:t xml:space="preserve">Presenter: </w:t>
      </w:r>
      <w:r>
        <w:rPr>
          <w:rFonts w:ascii="Arial" w:cs="Arial" w:eastAsia="Arial" w:hAnsi="Arial"/>
          <w:sz w:val="16"/>
          <w:szCs w:val="16"/>
          <w:color w:val="auto"/>
        </w:rPr>
        <w:t>Marc A. Riedl, M.D., M.S.</w:t>
      </w:r>
    </w:p>
    <w:p>
      <w:pPr>
        <w:spacing w:after="0" w:line="31"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b w:val="1"/>
          <w:bCs w:val="1"/>
          <w:color w:val="auto"/>
        </w:rPr>
        <w:t xml:space="preserve">Date/Time: </w:t>
      </w:r>
      <w:r>
        <w:rPr>
          <w:rFonts w:ascii="Arial" w:cs="Arial" w:eastAsia="Arial" w:hAnsi="Arial"/>
          <w:sz w:val="16"/>
          <w:szCs w:val="16"/>
          <w:color w:val="auto"/>
        </w:rPr>
        <w:t>Friday, November 10, 5:15-5:30 p.m. PST (8:15-8:30 p.m. EST)</w:t>
      </w:r>
    </w:p>
    <w:p>
      <w:pPr>
        <w:spacing w:after="0" w:line="128" w:lineRule="exact"/>
        <w:rPr>
          <w:rFonts w:ascii="Arial" w:cs="Arial" w:eastAsia="Arial" w:hAnsi="Arial"/>
          <w:sz w:val="16"/>
          <w:szCs w:val="16"/>
          <w:color w:val="auto"/>
        </w:rPr>
      </w:pPr>
    </w:p>
    <w:p>
      <w:pPr>
        <w:ind w:left="1020" w:hanging="504"/>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Reasons not to treat HAE attacks and satisfaction for on-demand treatment</w:t>
      </w:r>
    </w:p>
    <w:p>
      <w:pPr>
        <w:spacing w:after="0" w:line="42"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b w:val="1"/>
          <w:bCs w:val="1"/>
          <w:color w:val="auto"/>
        </w:rPr>
        <w:t xml:space="preserve">Presenter: </w:t>
      </w:r>
      <w:r>
        <w:rPr>
          <w:rFonts w:ascii="Arial" w:cs="Arial" w:eastAsia="Arial" w:hAnsi="Arial"/>
          <w:sz w:val="16"/>
          <w:szCs w:val="16"/>
          <w:color w:val="auto"/>
        </w:rPr>
        <w:t>Joan Mendivil, M.D.</w:t>
      </w:r>
    </w:p>
    <w:p>
      <w:pPr>
        <w:spacing w:after="0" w:line="31"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b w:val="1"/>
          <w:bCs w:val="1"/>
          <w:color w:val="auto"/>
        </w:rPr>
        <w:t xml:space="preserve">Date/Time: </w:t>
      </w:r>
      <w:r>
        <w:rPr>
          <w:rFonts w:ascii="Arial" w:cs="Arial" w:eastAsia="Arial" w:hAnsi="Arial"/>
          <w:sz w:val="16"/>
          <w:szCs w:val="16"/>
          <w:color w:val="auto"/>
        </w:rPr>
        <w:t>Saturday, November 11, 12:20-12:35 p.m. PST (3:20-3:35 p.m. EST)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on International Financial Reporting Standards (IFRS)</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About PHVS416 (immediate-release deucrictibant capsules)</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PHVS416 (immediate-release deucrictibant capsules) is an investigational drug intended to treat attacks of hereditary angioedema (HAE) containing deucrictibant, a highly potent, specific, and orally bioavailable competitive antagonist of the bradykinin B2 receptor. Pharvaris aims to develop this formulation to provide rapid and reliable symptom relief, through rapid exposure of attack-mitigating therapy in an easy-to-administer, small oral dosage form.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PHVS719 (extended-release deucrictibant tablets)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PHVS719 (extended-release deucrictibant tablets) is an investigational drug intended to prevent attacks of hereditary angioedema (HAE) containing deucrictibant, a highly potent, specific, and orally bioavailable competitive antagonist of the bradykinin B2 receptor. Pharvaris is developing this formulation to provide sustained exposure of attack-preventing medicine in an easy to administer, small oral dosage form. PHVS719 is currently in Phase 1 clinical development for the prophylactic treatment of HAE. In healthy volunteers, a single dose of PHVS719 was well tolerated with an extended-release profile supporting once-daily dosing.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Pharvaris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Building on its deep-seated roots in HAE, Pharvaris is a clinical-stage company developing novel, oral bradykinin B2 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https://pharvaris.com/.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 on prophylactic deucrictibant in the U.S.; the expected timing, progress, or success of our clinical development programs, especially for PHVS416 (immediate-release deucrictibant capsules) and PHVS719 (extended-release deucrictibant tablets), which are in mid-stage global clinical trials; risks arising from epidemic diseases, such as the COVID-19 pandemic, which may adversely impact our business, nonclinical studies, and clinical trials; the expected timing and results of the rodent toxicology study and our ability to resolve any issues to the satisfaction of the FDA or any regulatory agency in a timely manner;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line="249" w:lineRule="auto"/>
        <w:rPr>
          <w:sz w:val="20"/>
          <w:szCs w:val="20"/>
          <w:color w:val="auto"/>
        </w:rPr>
      </w:pPr>
      <w:r>
        <w:rPr>
          <w:rFonts w:ascii="Arial" w:cs="Arial" w:eastAsia="Arial" w:hAnsi="Arial"/>
          <w:sz w:val="16"/>
          <w:szCs w:val="16"/>
          <w:color w:val="auto"/>
        </w:rPr>
        <w:t>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Maggie Beller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Director, Head of External and Internal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02"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nine months ended September 30, 2023 and 2022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2022, and the notes thereto, which appear in our Annual Report on Form 20-F for the year ended December 31, 2022 (the “Annual Report”) filed with the U.S. Securities and Exchange Commission (the “SEC”). In addition, we recommend that you read any public announcements made from time to time by Pharvaris N.V.</w:t>
      </w:r>
    </w:p>
    <w:p>
      <w:pPr>
        <w:spacing w:after="0" w:line="82"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The following discussion is based on our financial information prepared in accordance with the International Financial Reporting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78" w:lineRule="exact"/>
        <w:rPr>
          <w:sz w:val="20"/>
          <w:szCs w:val="20"/>
          <w:color w:val="auto"/>
        </w:rPr>
      </w:pPr>
    </w:p>
    <w:p>
      <w:pPr>
        <w:ind w:right="20" w:firstLine="458"/>
        <w:spacing w:after="0" w:line="260"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spacing w:after="0" w:line="76" w:lineRule="exact"/>
        <w:rPr>
          <w:sz w:val="20"/>
          <w:szCs w:val="20"/>
          <w:color w:val="auto"/>
        </w:rPr>
      </w:pPr>
    </w:p>
    <w:p>
      <w:pPr>
        <w:ind w:right="180" w:firstLine="458"/>
        <w:spacing w:after="0" w:line="275"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1"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deucrictibant to improve upon the therapeutic profile of existing therapies and, through oral delivery, aim to provide patients with quality of life and ease-of-administration that is superior to current standard-of-care HAE treatments. We believe deucrictibant has the potential to provide a safe, effective and easy-to-administer option for both acute and prophylactic treatments of HAE, in the form of our PHVS416 (deucrictibant immediate-release – ‘IR’) on-demand rapid exposure product candidate, and for prophylaxis of HAE, in the form of our PHVS719 (deucrictibant extended-release – ‘XR’) small daily-dose extended-release product candidate. We believe that our product candidates may address a broader range of angioedema attacks than other available treatments since deucrictibant blocks the actual signal that leads to angioedema (the interaction of bradykinin, or BK, with the bradykinin B2 receptor), rather than an upstream process. By blocking the action of bradykinin, we can prevent its aberrant signaling regardless of the pathway that generates it.</w:t>
      </w:r>
    </w:p>
    <w:p>
      <w:pPr>
        <w:spacing w:after="0" w:line="92" w:lineRule="exact"/>
        <w:rPr>
          <w:sz w:val="20"/>
          <w:szCs w:val="20"/>
          <w:color w:val="auto"/>
        </w:rPr>
      </w:pPr>
    </w:p>
    <w:p>
      <w:pPr>
        <w:ind w:right="200" w:firstLine="458"/>
        <w:spacing w:after="0" w:line="253" w:lineRule="auto"/>
        <w:rPr>
          <w:sz w:val="20"/>
          <w:szCs w:val="20"/>
          <w:color w:val="auto"/>
        </w:rPr>
      </w:pPr>
      <w:r>
        <w:rPr>
          <w:rFonts w:ascii="Arial" w:cs="Arial" w:eastAsia="Arial" w:hAnsi="Arial"/>
          <w:sz w:val="16"/>
          <w:szCs w:val="16"/>
          <w:color w:val="auto"/>
        </w:rPr>
        <w:t>In our completed Phase 1 trials to-date, we have observed that deucrictibant was orally bioavailable and well tolerated at all doses studied, with approximately dose-proportional exposure. We also have successfully demonstrated proof-of-mechanism through a clinical pharmacodynamics, or PD, assessment using a bradykinin challenge in healthy volunteers, which had been utilized as a validated surrogate assessment for dose selection in the icatibant development program. The data allowed us to compare the projected therapeutic performance of deucrictibant with that of icatibant. However, we have not conducted a head-to-head comparison of icatibant to deucrictibant in a clinical study.</w:t>
      </w:r>
    </w:p>
    <w:p>
      <w:pPr>
        <w:spacing w:after="0" w:line="82"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also commenced the CHAPTER-1 Phase 2 clinical trial for prophylaxis in 2021 using twice-daily dosing of the PHVS416 soft capsules. Our primary objective with this trial is to assess the efficacy and safety profile of PHVS416 dose regimens for prophylactic treatments in HAE patients. We expect to have Phase 2 data from CHAPTER-1 by the end of 2023. In February 2022, we reported Phase 1 clinical data with PHVS719 demonstrating pharmacokinetics of the extended-release formulation in healthy volunteers and the potential for once-daily dosing. In healthy volunteers, a single dose of PHVS719 was well tolerated with an extended-release profile supporting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right="540" w:firstLine="503"/>
        <w:spacing w:after="0" w:line="253"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w:t>
      </w:r>
    </w:p>
    <w:p>
      <w:pPr>
        <w:spacing w:after="0" w:line="82"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In addition, the invasion of Ukraine and the retaliatory measures that have been taken, or could be taken in the future, by the United States, NATO, and other countries have created global security concerns that could result in a regional conflict and also adversely affect our ability to conduct ongoing and future clinical trials of our product candidates. For example, our RAPIDe-1 and CHAPTER-1 studies include a significant number of patients in Germany, Poland, and Bulgaria.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81"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Furthermore, in August 2022, the U.S. Food and Drug Administration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 protocol for a 26-week rodent toxicology study has been aligned with the FDA and the study has been initiated.</w:t>
      </w:r>
    </w:p>
    <w:p>
      <w:pPr>
        <w:spacing w:after="0" w:line="78" w:lineRule="exact"/>
        <w:rPr>
          <w:sz w:val="20"/>
          <w:szCs w:val="20"/>
          <w:color w:val="auto"/>
        </w:rPr>
      </w:pPr>
    </w:p>
    <w:p>
      <w:pPr>
        <w:ind w:right="640" w:firstLine="458"/>
        <w:spacing w:after="0" w:line="260" w:lineRule="auto"/>
        <w:rPr>
          <w:sz w:val="20"/>
          <w:szCs w:val="20"/>
          <w:color w:val="auto"/>
        </w:rPr>
      </w:pPr>
      <w:r>
        <w:rPr>
          <w:rFonts w:ascii="Arial" w:cs="Arial" w:eastAsia="Arial" w:hAnsi="Arial"/>
          <w:sz w:val="16"/>
          <w:szCs w:val="16"/>
          <w:color w:val="auto"/>
        </w:rPr>
        <w:t>Pharvaris notified country-specific regulatory authorities in Canada, Europe, Israel, and the UK of the U.S. clinical holds. Outside the U.S., the regulatory status remains unchanged for the CHAPTER-1 study and other studies, including an open-label, long-term extension study (RAPIDe-2). Enrollment in the CHAPTER-1 clinical study has been completed.</w:t>
      </w:r>
    </w:p>
    <w:p>
      <w:pPr>
        <w:spacing w:after="0" w:line="76" w:lineRule="exact"/>
        <w:rPr>
          <w:sz w:val="20"/>
          <w:szCs w:val="20"/>
          <w:color w:val="auto"/>
        </w:rPr>
      </w:pPr>
    </w:p>
    <w:p>
      <w:pPr>
        <w:ind w:right="160" w:firstLine="458"/>
        <w:spacing w:after="0" w:line="250" w:lineRule="auto"/>
        <w:rPr>
          <w:sz w:val="20"/>
          <w:szCs w:val="20"/>
          <w:color w:val="auto"/>
        </w:rPr>
      </w:pPr>
      <w:r>
        <w:rPr>
          <w:rFonts w:ascii="Arial" w:cs="Arial" w:eastAsia="Arial" w:hAnsi="Arial"/>
          <w:sz w:val="16"/>
          <w:szCs w:val="16"/>
          <w:color w:val="auto"/>
        </w:rPr>
        <w:t>In January 2023, the FDA agreed to partially lift the clinical hold for the Investigational New Drug ("IND") application for deucrictibant for the on-demand treatment of HAE to allow two remaining U.S. participants in RAPIDe-1 to complete treatment of a final HAE attack per protocol. In June 2023, the FDA lifted the hold on clinical trials under the on-demand IND following review of data from a planned interim analysis of the ongoing 26-week nonclinical rodent toxicology study. The lift of the clinical hold on the on-demand clinical trials enables Pharvaris to continue development of PHVS416 (deucrictibant immediate-release capsules) in the U.S., including resuming RAPIDe-2, a long-term extension study for acute treatment of attacks. Clinical studies of deucrictibant for prophylactic treatment of HAE are currently on hold in the U.S. Pharvaris expects to submit data from the completed 26-week nonclinical study by the end of 2023 to address the remaining hold on the IND application for deucrictibant for prophylactic treatment of HAE. However, we cannot provide any assurance that we will be able to resolve the clinical holds.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88" w:lineRule="exact"/>
        <w:rPr>
          <w:sz w:val="20"/>
          <w:szCs w:val="20"/>
          <w:color w:val="auto"/>
        </w:rPr>
      </w:pPr>
    </w:p>
    <w:p>
      <w:pPr>
        <w:ind w:right="100" w:firstLine="374"/>
        <w:spacing w:after="0" w:line="275"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2" w:lineRule="exact"/>
        <w:rPr>
          <w:sz w:val="20"/>
          <w:szCs w:val="20"/>
          <w:color w:val="auto"/>
        </w:rPr>
      </w:pPr>
    </w:p>
    <w:p>
      <w:pPr>
        <w:ind w:right="180" w:firstLine="374"/>
        <w:spacing w:after="0" w:line="256"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1020" w:hanging="504"/>
        <w:spacing w:after="0" w:line="275"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63" w:lineRule="exact"/>
        <w:rPr>
          <w:rFonts w:ascii="Arial" w:cs="Arial" w:eastAsia="Arial" w:hAnsi="Arial"/>
          <w:sz w:val="16"/>
          <w:szCs w:val="16"/>
          <w:color w:val="auto"/>
        </w:rPr>
      </w:pPr>
    </w:p>
    <w:p>
      <w:pPr>
        <w:ind w:left="1020" w:hanging="504"/>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3" w:right="359" w:bottom="1440" w:gutter="0" w:footer="0" w:header="0"/>
        </w:sectPr>
      </w:pPr>
    </w:p>
    <w:bookmarkStart w:id="10" w:name="page11"/>
    <w:bookmarkEnd w:id="10"/>
    <w:p>
      <w:pPr>
        <w:ind w:left="1020" w:right="220" w:hanging="504"/>
        <w:spacing w:after="0" w:line="27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Contract Research Organizations ("CRO") assisting with our clinical development programs;</w:t>
      </w:r>
    </w:p>
    <w:p>
      <w:pPr>
        <w:spacing w:after="0" w:line="63" w:lineRule="exact"/>
        <w:rPr>
          <w:rFonts w:ascii="Arial" w:cs="Arial" w:eastAsia="Arial" w:hAnsi="Arial"/>
          <w:sz w:val="16"/>
          <w:szCs w:val="16"/>
          <w:color w:val="auto"/>
        </w:rPr>
      </w:pPr>
    </w:p>
    <w:p>
      <w:pPr>
        <w:ind w:left="1020" w:right="40" w:hanging="504"/>
        <w:spacing w:after="0" w:line="27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63" w:lineRule="exact"/>
        <w:rPr>
          <w:rFonts w:ascii="Arial" w:cs="Arial" w:eastAsia="Arial" w:hAnsi="Arial"/>
          <w:sz w:val="16"/>
          <w:szCs w:val="16"/>
          <w:color w:val="auto"/>
        </w:rPr>
      </w:pPr>
    </w:p>
    <w:p>
      <w:pPr>
        <w:ind w:left="1020" w:right="140" w:hanging="504"/>
        <w:spacing w:after="0" w:line="275"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63" w:lineRule="exact"/>
        <w:rPr>
          <w:rFonts w:ascii="Arial" w:cs="Arial" w:eastAsia="Arial" w:hAnsi="Arial"/>
          <w:sz w:val="16"/>
          <w:szCs w:val="16"/>
          <w:color w:val="auto"/>
        </w:rPr>
      </w:pPr>
    </w:p>
    <w:p>
      <w:pPr>
        <w:ind w:left="1020" w:hanging="504"/>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advisers’ fees, including discovery, nonclinical, clinical, chemistry, manufacturing, and controls- related and other consulting services;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license costs.</w:t>
      </w:r>
    </w:p>
    <w:p>
      <w:pPr>
        <w:spacing w:after="0" w:line="194" w:lineRule="exact"/>
        <w:rPr>
          <w:sz w:val="20"/>
          <w:szCs w:val="20"/>
          <w:color w:val="auto"/>
        </w:rPr>
      </w:pPr>
    </w:p>
    <w:p>
      <w:pPr>
        <w:ind w:right="60" w:firstLine="374"/>
        <w:spacing w:after="0" w:line="275" w:lineRule="auto"/>
        <w:rPr>
          <w:sz w:val="20"/>
          <w:szCs w:val="20"/>
          <w:color w:val="auto"/>
        </w:rPr>
      </w:pPr>
      <w:r>
        <w:rPr>
          <w:rFonts w:ascii="Arial" w:cs="Arial" w:eastAsia="Arial" w:hAnsi="Arial"/>
          <w:sz w:val="16"/>
          <w:szCs w:val="16"/>
          <w:color w:val="auto"/>
        </w:rPr>
        <w:t>We anticipate that our total research and development expenses will continue to increase as we continue to progress PHVS416 and PHVS719 through clinical development.</w:t>
      </w:r>
    </w:p>
    <w:p>
      <w:pPr>
        <w:spacing w:after="0" w:line="145" w:lineRule="exact"/>
        <w:rPr>
          <w:sz w:val="20"/>
          <w:szCs w:val="20"/>
          <w:color w:val="auto"/>
        </w:rPr>
      </w:pPr>
    </w:p>
    <w:p>
      <w:pPr>
        <w:ind w:right="120" w:firstLine="374"/>
        <w:spacing w:after="0" w:line="260"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44" w:lineRule="exact"/>
        <w:rPr>
          <w:sz w:val="20"/>
          <w:szCs w:val="20"/>
          <w:color w:val="auto"/>
        </w:rPr>
      </w:pPr>
    </w:p>
    <w:p>
      <w:pPr>
        <w:ind w:firstLine="374"/>
        <w:spacing w:after="0" w:line="260"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w:t>
      </w:r>
    </w:p>
    <w:p>
      <w:pPr>
        <w:spacing w:after="0" w:line="144" w:lineRule="exact"/>
        <w:rPr>
          <w:sz w:val="20"/>
          <w:szCs w:val="20"/>
          <w:color w:val="auto"/>
        </w:rPr>
      </w:pPr>
    </w:p>
    <w:p>
      <w:pPr>
        <w:ind w:right="200" w:firstLine="374"/>
        <w:spacing w:after="0" w:line="260" w:lineRule="auto"/>
        <w:rPr>
          <w:sz w:val="20"/>
          <w:szCs w:val="20"/>
          <w:color w:val="auto"/>
        </w:rPr>
      </w:pPr>
      <w:r>
        <w:rPr>
          <w:rFonts w:ascii="Arial" w:cs="Arial" w:eastAsia="Arial" w:hAnsi="Arial"/>
          <w:sz w:val="16"/>
          <w:szCs w:val="16"/>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and under “Risk Factors” in any other periodic filings with the Securities and Exchange Commission for a discussion of these risks and uncertainties.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88" w:lineRule="exact"/>
        <w:rPr>
          <w:sz w:val="20"/>
          <w:szCs w:val="20"/>
          <w:color w:val="auto"/>
        </w:rPr>
      </w:pPr>
    </w:p>
    <w:p>
      <w:pPr>
        <w:ind w:right="120" w:firstLine="374"/>
        <w:spacing w:after="0" w:line="260"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101" w:lineRule="exact"/>
        <w:rPr>
          <w:sz w:val="20"/>
          <w:szCs w:val="20"/>
          <w:color w:val="auto"/>
        </w:rPr>
      </w:pPr>
    </w:p>
    <w:p>
      <w:pPr>
        <w:ind w:left="1020" w:right="480" w:hanging="504"/>
        <w:spacing w:after="0" w:line="27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63" w:lineRule="exact"/>
        <w:rPr>
          <w:rFonts w:ascii="Arial" w:cs="Arial" w:eastAsia="Arial" w:hAnsi="Arial"/>
          <w:sz w:val="16"/>
          <w:szCs w:val="16"/>
          <w:color w:val="auto"/>
        </w:rPr>
      </w:pPr>
    </w:p>
    <w:p>
      <w:pPr>
        <w:ind w:left="1020" w:hanging="504"/>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rental, facilities, IT, and other general expenses relating to our operations; and</w:t>
      </w:r>
    </w:p>
    <w:p>
      <w:pPr>
        <w:spacing w:after="0" w:line="126" w:lineRule="exact"/>
        <w:rPr>
          <w:rFonts w:ascii="Arial" w:cs="Arial" w:eastAsia="Arial" w:hAnsi="Arial"/>
          <w:sz w:val="16"/>
          <w:szCs w:val="16"/>
          <w:color w:val="auto"/>
        </w:rPr>
      </w:pPr>
    </w:p>
    <w:p>
      <w:pPr>
        <w:ind w:left="1020" w:right="160" w:hanging="504"/>
        <w:spacing w:after="0" w:line="27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31" w:lineRule="exact"/>
        <w:rPr>
          <w:sz w:val="20"/>
          <w:szCs w:val="20"/>
          <w:color w:val="auto"/>
        </w:rPr>
      </w:pPr>
    </w:p>
    <w:p>
      <w:pPr>
        <w:ind w:right="120" w:firstLine="374"/>
        <w:spacing w:after="0" w:line="251"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3" w:right="359" w:bottom="1440" w:gutter="0" w:footer="0" w:header="0"/>
        </w:sectPr>
      </w:pPr>
    </w:p>
    <w:bookmarkStart w:id="11" w:name="page12"/>
    <w:bookmarkEnd w:id="11"/>
    <w:p>
      <w:pPr>
        <w:ind w:left="20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02" w:lineRule="exact"/>
        <w:rPr>
          <w:sz w:val="20"/>
          <w:szCs w:val="20"/>
          <w:color w:val="auto"/>
        </w:rPr>
      </w:pPr>
    </w:p>
    <w:p>
      <w:pPr>
        <w:ind w:firstLine="374"/>
        <w:spacing w:after="0" w:line="250"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Result of operations</w:t>
      </w:r>
    </w:p>
    <w:p>
      <w:pPr>
        <w:spacing w:after="0" w:line="202" w:lineRule="exact"/>
        <w:rPr>
          <w:sz w:val="20"/>
          <w:szCs w:val="20"/>
          <w:color w:val="auto"/>
        </w:rPr>
      </w:pPr>
    </w:p>
    <w:p>
      <w:pPr>
        <w:ind w:right="400" w:firstLine="374"/>
        <w:spacing w:after="0" w:line="260"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and nine months ended September 30, 2023 and 2022 included as Exhibit 99.3 to this Report on Form 6-K. The discussion below should be read along with these condensed consolidated interim financial statements, and it is qualified in its entirety by reference to them.</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September 30, 2023 and September 30, 2022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gridSpan w:val="5"/>
          </w:tcPr>
          <w:p>
            <w:pPr>
              <w:jc w:val="right"/>
              <w:ind w:right="1219"/>
              <w:spacing w:after="0"/>
              <w:rPr>
                <w:sz w:val="20"/>
                <w:szCs w:val="20"/>
                <w:color w:val="auto"/>
              </w:rPr>
            </w:pPr>
            <w:r>
              <w:rPr>
                <w:rFonts w:ascii="Arial" w:cs="Arial" w:eastAsia="Arial" w:hAnsi="Arial"/>
                <w:sz w:val="16"/>
                <w:szCs w:val="16"/>
                <w:b w:val="1"/>
                <w:bCs w:val="1"/>
                <w:color w:val="auto"/>
              </w:rPr>
              <w:t>For the three months ended</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1060"/>
              <w:spacing w:after="0"/>
              <w:rPr>
                <w:sz w:val="20"/>
                <w:szCs w:val="20"/>
                <w:color w:val="auto"/>
              </w:rPr>
            </w:pPr>
            <w:r>
              <w:rPr>
                <w:rFonts w:ascii="Arial" w:cs="Arial" w:eastAsia="Arial" w:hAnsi="Arial"/>
                <w:sz w:val="16"/>
                <w:szCs w:val="16"/>
                <w:b w:val="1"/>
                <w:bCs w:val="1"/>
                <w:color w:val="auto"/>
              </w:rPr>
              <w:t>September 30,</w:t>
            </w: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16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940" w:type="dxa"/>
            <w:vAlign w:val="bottom"/>
            <w:gridSpan w:val="2"/>
          </w:tcPr>
          <w:p>
            <w:pPr>
              <w:jc w:val="right"/>
              <w:ind w:right="99"/>
              <w:spacing w:after="0"/>
              <w:rPr>
                <w:sz w:val="20"/>
                <w:szCs w:val="20"/>
                <w:color w:val="auto"/>
              </w:rPr>
            </w:pPr>
            <w:r>
              <w:rPr>
                <w:rFonts w:ascii="Arial" w:cs="Arial" w:eastAsia="Arial" w:hAnsi="Arial"/>
                <w:sz w:val="16"/>
                <w:szCs w:val="16"/>
                <w:color w:val="auto"/>
              </w:rPr>
              <w:t>(18,535,782 )</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(14,088,845 )</w:t>
            </w:r>
          </w:p>
        </w:tc>
        <w:tc>
          <w:tcPr>
            <w:tcW w:w="360" w:type="dxa"/>
            <w:vAlign w:val="bottom"/>
          </w:tcPr>
          <w:p>
            <w:pPr>
              <w:spacing w:after="0"/>
              <w:rPr>
                <w:sz w:val="19"/>
                <w:szCs w:val="19"/>
                <w:color w:val="auto"/>
              </w:rPr>
            </w:pP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(4,446,937 )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940" w:type="dxa"/>
            <w:vAlign w:val="bottom"/>
            <w:gridSpan w:val="2"/>
          </w:tcPr>
          <w:p>
            <w:pPr>
              <w:jc w:val="right"/>
              <w:ind w:right="99"/>
              <w:spacing w:after="0"/>
              <w:rPr>
                <w:sz w:val="20"/>
                <w:szCs w:val="20"/>
                <w:color w:val="auto"/>
              </w:rPr>
            </w:pPr>
            <w:r>
              <w:rPr>
                <w:rFonts w:ascii="Arial" w:cs="Arial" w:eastAsia="Arial" w:hAnsi="Arial"/>
                <w:sz w:val="16"/>
                <w:szCs w:val="16"/>
                <w:color w:val="auto"/>
              </w:rPr>
              <w:t>(7,665,484 )</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(8,297,822 )</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632,338</w:t>
            </w:r>
          </w:p>
        </w:tc>
        <w:tc>
          <w:tcPr>
            <w:tcW w:w="2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700" w:type="dxa"/>
            <w:vAlign w:val="bottom"/>
            <w:shd w:val="clear" w:color="auto" w:fill="000000"/>
          </w:tcPr>
          <w:p>
            <w:pPr>
              <w:spacing w:after="0"/>
              <w:rPr>
                <w:sz w:val="2"/>
                <w:szCs w:val="2"/>
                <w:color w:val="auto"/>
              </w:rPr>
            </w:pPr>
          </w:p>
        </w:tc>
        <w:tc>
          <w:tcPr>
            <w:tcW w:w="2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680" w:type="dxa"/>
            <w:vAlign w:val="bottom"/>
            <w:shd w:val="clear" w:color="auto" w:fill="000000"/>
          </w:tcPr>
          <w:p>
            <w:pPr>
              <w:spacing w:after="0"/>
              <w:rPr>
                <w:sz w:val="2"/>
                <w:szCs w:val="2"/>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(26,201,266</w:t>
            </w:r>
          </w:p>
        </w:tc>
        <w:tc>
          <w:tcPr>
            <w:tcW w:w="240" w:type="dxa"/>
            <w:vAlign w:val="bottom"/>
            <w:vMerge w:val="continue"/>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(22,386,667</w:t>
            </w:r>
          </w:p>
        </w:tc>
        <w:tc>
          <w:tcPr>
            <w:tcW w:w="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(3,814,599</w:t>
            </w:r>
          </w:p>
        </w:tc>
        <w:tc>
          <w:tcPr>
            <w:tcW w:w="220" w:type="dxa"/>
            <w:vAlign w:val="bottom"/>
            <w:vMerge w:val="continue"/>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loss</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9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(26,201,266 )</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(22,386,667 )</w:t>
            </w:r>
          </w:p>
        </w:tc>
        <w:tc>
          <w:tcPr>
            <w:tcW w:w="360" w:type="dxa"/>
            <w:vAlign w:val="bottom"/>
          </w:tcPr>
          <w:p>
            <w:pPr>
              <w:spacing w:after="0"/>
              <w:rPr>
                <w:sz w:val="18"/>
                <w:szCs w:val="18"/>
                <w:color w:val="auto"/>
              </w:rPr>
            </w:pPr>
          </w:p>
        </w:tc>
        <w:tc>
          <w:tcPr>
            <w:tcW w:w="15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(3,814,599 )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color w:val="auto"/>
              </w:rPr>
              <w:t>Finance income</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2,748,943</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11,494,934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(8,745,991 )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Loss before tax</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9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(23,452,323 )</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(10,891,733 )</w:t>
            </w:r>
          </w:p>
        </w:tc>
        <w:tc>
          <w:tcPr>
            <w:tcW w:w="360" w:type="dxa"/>
            <w:vAlign w:val="bottom"/>
          </w:tcPr>
          <w:p>
            <w:pPr>
              <w:spacing w:after="0"/>
              <w:rPr>
                <w:sz w:val="18"/>
                <w:szCs w:val="18"/>
                <w:color w:val="auto"/>
              </w:rPr>
            </w:pPr>
          </w:p>
        </w:tc>
        <w:tc>
          <w:tcPr>
            <w:tcW w:w="15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(12,560,590 )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color w:val="auto"/>
              </w:rPr>
              <w:t>Income taxes</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940" w:type="dxa"/>
            <w:vAlign w:val="bottom"/>
            <w:gridSpan w:val="2"/>
          </w:tcPr>
          <w:p>
            <w:pPr>
              <w:jc w:val="right"/>
              <w:ind w:right="99"/>
              <w:spacing w:after="0"/>
              <w:rPr>
                <w:sz w:val="20"/>
                <w:szCs w:val="20"/>
                <w:color w:val="auto"/>
              </w:rPr>
            </w:pPr>
            <w:r>
              <w:rPr>
                <w:rFonts w:ascii="Arial" w:cs="Arial" w:eastAsia="Arial" w:hAnsi="Arial"/>
                <w:sz w:val="16"/>
                <w:szCs w:val="16"/>
                <w:color w:val="auto"/>
              </w:rPr>
              <w:t>(146,273 )</w:t>
            </w:r>
          </w:p>
        </w:tc>
        <w:tc>
          <w:tcPr>
            <w:tcW w:w="1680" w:type="dxa"/>
            <w:vAlign w:val="bottom"/>
          </w:tcPr>
          <w:p>
            <w:pPr>
              <w:jc w:val="right"/>
              <w:spacing w:after="0"/>
              <w:rPr>
                <w:sz w:val="20"/>
                <w:szCs w:val="20"/>
                <w:color w:val="auto"/>
              </w:rPr>
            </w:pPr>
            <w:r>
              <w:rPr>
                <w:rFonts w:ascii="Arial" w:cs="Arial" w:eastAsia="Arial" w:hAnsi="Arial"/>
                <w:sz w:val="16"/>
                <w:szCs w:val="16"/>
                <w:color w:val="auto"/>
              </w:rPr>
              <w:t>2,403,929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(2,550,202 )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Loss for the period</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9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(23,598,596 )</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(8,487,804 )</w:t>
            </w:r>
          </w:p>
        </w:tc>
        <w:tc>
          <w:tcPr>
            <w:tcW w:w="360" w:type="dxa"/>
            <w:vAlign w:val="bottom"/>
          </w:tcPr>
          <w:p>
            <w:pPr>
              <w:spacing w:after="0"/>
              <w:rPr>
                <w:sz w:val="19"/>
                <w:szCs w:val="19"/>
                <w:color w:val="auto"/>
              </w:rPr>
            </w:pPr>
          </w:p>
        </w:tc>
        <w:tc>
          <w:tcPr>
            <w:tcW w:w="15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(15,110,792 )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178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-1240790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941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941705"/>
                    </a:xfrm>
                    <a:prstGeom prst="rect">
                      <a:avLst/>
                    </a:prstGeom>
                    <a:noFill/>
                  </pic:spPr>
                </pic:pic>
              </a:graphicData>
            </a:graphic>
          </wp:anchor>
        </w:drawing>
      </w:r>
    </w:p>
    <w:p>
      <w:pPr>
        <w:spacing w:after="0" w:line="37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We did not generate any revenues for the three months ended September 30, 2023 and </w:t>
      </w:r>
      <w:r>
        <w:rPr>
          <w:rFonts w:ascii="Arial" w:cs="Arial" w:eastAsia="Arial" w:hAnsi="Arial"/>
          <w:sz w:val="16"/>
          <w:szCs w:val="16"/>
          <w:i w:val="1"/>
          <w:iCs w:val="1"/>
          <w:color w:val="auto"/>
        </w:rPr>
        <w:t>September</w:t>
      </w:r>
      <w:r>
        <w:rPr>
          <w:rFonts w:ascii="Arial" w:cs="Arial" w:eastAsia="Arial" w:hAnsi="Arial"/>
          <w:sz w:val="16"/>
          <w:szCs w:val="16"/>
          <w:color w:val="auto"/>
        </w:rPr>
        <w:t xml:space="preserve"> 30, 2022.</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gridSpan w:val="5"/>
          </w:tcPr>
          <w:p>
            <w:pPr>
              <w:jc w:val="center"/>
              <w:ind w:right="780"/>
              <w:spacing w:after="0"/>
              <w:rPr>
                <w:sz w:val="20"/>
                <w:szCs w:val="20"/>
                <w:color w:val="auto"/>
              </w:rPr>
            </w:pPr>
            <w:r>
              <w:rPr>
                <w:rFonts w:ascii="Arial" w:cs="Arial" w:eastAsia="Arial" w:hAnsi="Arial"/>
                <w:sz w:val="16"/>
                <w:szCs w:val="16"/>
                <w:b w:val="1"/>
                <w:bCs w:val="1"/>
                <w:color w:val="auto"/>
                <w:w w:val="90"/>
              </w:rPr>
              <w:t>For the three months ended</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w w:val="91"/>
              </w:rPr>
              <w:t>September 30,</w:t>
            </w: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14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Change</w:t>
            </w: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6"/>
                <w:szCs w:val="16"/>
                <w:color w:val="auto"/>
              </w:rPr>
              <w:t>Personnel expenses</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(4,759,379 )</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(3,692,003 )</w:t>
            </w:r>
          </w:p>
        </w:tc>
        <w:tc>
          <w:tcPr>
            <w:tcW w:w="3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(1,067,376 )</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6"/>
                <w:szCs w:val="16"/>
                <w:color w:val="auto"/>
              </w:rPr>
              <w:t>Clinical expenses</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(8,897,295 )</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(8,037,012 )</w:t>
            </w:r>
          </w:p>
        </w:tc>
        <w:tc>
          <w:tcPr>
            <w:tcW w:w="3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(860,283 )</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6"/>
                <w:szCs w:val="16"/>
                <w:color w:val="auto"/>
              </w:rPr>
              <w:t>Nonclinical expenses</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(2,325,762 )</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(862,643 )</w:t>
            </w:r>
          </w:p>
        </w:tc>
        <w:tc>
          <w:tcPr>
            <w:tcW w:w="3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(1,463,119 )</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6"/>
                <w:szCs w:val="16"/>
                <w:color w:val="auto"/>
              </w:rPr>
              <w:t>Manufacturing costs</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(2,490,477 )</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(1,437,370 )</w:t>
            </w:r>
          </w:p>
        </w:tc>
        <w:tc>
          <w:tcPr>
            <w:tcW w:w="3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(1,053,107 )</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6"/>
                <w:szCs w:val="16"/>
                <w:color w:val="auto"/>
              </w:rPr>
              <w:t>Intellectual Property costs</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(62,869 )</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(59,817 )</w:t>
            </w:r>
          </w:p>
        </w:tc>
        <w:tc>
          <w:tcPr>
            <w:tcW w:w="3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(3,052 )</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33"/>
        </w:trPr>
        <w:tc>
          <w:tcPr>
            <w:tcW w:w="5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research and development expenses</w:t>
            </w:r>
          </w:p>
        </w:tc>
        <w:tc>
          <w:tcPr>
            <w:tcW w:w="1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(18,535,782 )</w:t>
            </w:r>
          </w:p>
        </w:tc>
        <w:tc>
          <w:tcPr>
            <w:tcW w:w="1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(14,088,845 )</w:t>
            </w:r>
          </w:p>
        </w:tc>
        <w:tc>
          <w:tcPr>
            <w:tcW w:w="3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(4,446,937 )</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auto"/>
                <w:highlight w:val="white"/>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374" w:lineRule="exact"/>
        <w:rPr>
          <w:sz w:val="20"/>
          <w:szCs w:val="20"/>
          <w:color w:val="auto"/>
        </w:rPr>
      </w:pPr>
    </w:p>
    <w:p>
      <w:pPr>
        <w:jc w:val="both"/>
        <w:ind w:right="640" w:firstLine="374"/>
        <w:spacing w:after="0" w:line="260" w:lineRule="auto"/>
        <w:rPr>
          <w:sz w:val="20"/>
          <w:szCs w:val="20"/>
          <w:color w:val="auto"/>
        </w:rPr>
      </w:pPr>
      <w:r>
        <w:rPr>
          <w:rFonts w:ascii="Arial" w:cs="Arial" w:eastAsia="Arial" w:hAnsi="Arial"/>
          <w:sz w:val="16"/>
          <w:szCs w:val="16"/>
          <w:color w:val="auto"/>
        </w:rPr>
        <w:t>Research and development expenses increased from €14,088,845 for the three months ended September 30, 2022 to €18,535,782 for the three months ended September 30, 2023. The increase in the research and development expenses is mainly driven by the advancing of the PHVS416 and PHVS719 development programs in the three months ended September 30, 2023.</w:t>
      </w:r>
    </w:p>
    <w:p>
      <w:pPr>
        <w:spacing w:after="0" w:line="157" w:lineRule="exact"/>
        <w:rPr>
          <w:sz w:val="20"/>
          <w:szCs w:val="20"/>
          <w:color w:val="auto"/>
        </w:rPr>
      </w:pPr>
    </w:p>
    <w:p>
      <w:pPr>
        <w:ind w:right="180" w:firstLine="374"/>
        <w:spacing w:after="0" w:line="253" w:lineRule="auto"/>
        <w:rPr>
          <w:sz w:val="20"/>
          <w:szCs w:val="20"/>
          <w:color w:val="auto"/>
        </w:rPr>
      </w:pPr>
      <w:r>
        <w:rPr>
          <w:rFonts w:ascii="Arial" w:cs="Arial" w:eastAsia="Arial" w:hAnsi="Arial"/>
          <w:sz w:val="16"/>
          <w:szCs w:val="16"/>
          <w:color w:val="auto"/>
        </w:rPr>
        <w:t>Clinical expenses increased by €860,283 for the three months ended September 30, 2023, compared to the three months ended September 30, 2022, primarily due to the activities related to the startup of Phase 3 studies for on-demand and the continuing activities of the CHAPTER-1 prophylactic Phase 2 study which completed enrollment in the quarter. Nonclinical expenses increased by €1,463,119 for the three months ended September 30, 2023, compared to the three months ended September 30, 2022, primarily due to additional studies related to the 26-week rodent toxicology study intended to address the clinical hold in the U.S.</w:t>
      </w:r>
    </w:p>
    <w:p>
      <w:pPr>
        <w:spacing w:after="0" w:line="163" w:lineRule="exact"/>
        <w:rPr>
          <w:sz w:val="20"/>
          <w:szCs w:val="20"/>
          <w:color w:val="auto"/>
        </w:rPr>
      </w:pPr>
    </w:p>
    <w:p>
      <w:pPr>
        <w:ind w:right="140" w:firstLine="374"/>
        <w:spacing w:after="0" w:line="260" w:lineRule="auto"/>
        <w:rPr>
          <w:sz w:val="20"/>
          <w:szCs w:val="20"/>
          <w:color w:val="auto"/>
        </w:rPr>
      </w:pPr>
      <w:r>
        <w:rPr>
          <w:rFonts w:ascii="Arial" w:cs="Arial" w:eastAsia="Arial" w:hAnsi="Arial"/>
          <w:sz w:val="16"/>
          <w:szCs w:val="16"/>
          <w:color w:val="auto"/>
        </w:rPr>
        <w:t>Manufacturing costs relating to the Active Pharmaceutical Ingredient ("API") and pharmaceutical development of PHVS416 and PHVS719 increased by €1,053,107 for the three months ended September 30, 2023 compared to the three months ended September 30, 2022 due to the current Good Manufacturing Practices ("cGMP"), API batches, pre-validation work on API processes as well as formulation activities.</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13" w:name="page14"/>
    <w:bookmarkEnd w:id="13"/>
    <w:p>
      <w:pPr>
        <w:ind w:right="120" w:firstLine="374"/>
        <w:spacing w:after="0" w:line="253" w:lineRule="auto"/>
        <w:rPr>
          <w:sz w:val="20"/>
          <w:szCs w:val="20"/>
          <w:color w:val="auto"/>
        </w:rPr>
      </w:pPr>
      <w:r>
        <w:rPr>
          <w:rFonts w:ascii="Arial" w:cs="Arial" w:eastAsia="Arial" w:hAnsi="Arial"/>
          <w:sz w:val="16"/>
          <w:szCs w:val="16"/>
          <w:color w:val="auto"/>
        </w:rPr>
        <w:t>In the personnel expenses for the three months ended September 30, 2023 and 2022 an amount of €1,356,111 and €1,433,123, respectively, was included which related to share-based compensation arrangements. The increase in the share-based compensation is due to the net effect of the new grants awarded in the three months ended September 30, 2023 and the cumulative charges of the awards already granted in the three months ended June 30, 2023 (vestings and forfeitures). The remaining increase in personnel expenses is driven by the growth of our organization resulting in additional employees hired, and yearly merit adjustments.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7"/>
        </w:trPr>
        <w:tc>
          <w:tcPr>
            <w:tcW w:w="5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jc w:val="center"/>
              <w:ind w:right="319"/>
              <w:spacing w:after="0"/>
              <w:rPr>
                <w:sz w:val="20"/>
                <w:szCs w:val="20"/>
                <w:color w:val="auto"/>
              </w:rPr>
            </w:pPr>
            <w:r>
              <w:rPr>
                <w:rFonts w:ascii="Arial" w:cs="Arial" w:eastAsia="Arial" w:hAnsi="Arial"/>
                <w:sz w:val="16"/>
                <w:szCs w:val="16"/>
                <w:b w:val="1"/>
                <w:bCs w:val="1"/>
                <w:color w:val="auto"/>
                <w:w w:val="89"/>
              </w:rPr>
              <w:t>For the 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534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center"/>
              <w:ind w:left="659"/>
              <w:spacing w:after="0"/>
              <w:rPr>
                <w:sz w:val="20"/>
                <w:szCs w:val="20"/>
                <w:color w:val="auto"/>
              </w:rPr>
            </w:pPr>
            <w:r>
              <w:rPr>
                <w:rFonts w:ascii="Arial" w:cs="Arial" w:eastAsia="Arial" w:hAnsi="Arial"/>
                <w:sz w:val="16"/>
                <w:szCs w:val="16"/>
                <w:b w:val="1"/>
                <w:bCs w:val="1"/>
                <w:color w:val="auto"/>
                <w:w w:val="89"/>
              </w:rPr>
              <w:t>September 30,</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16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r>
      <w:tr>
        <w:trPr>
          <w:trHeight w:val="210"/>
        </w:trPr>
        <w:tc>
          <w:tcPr>
            <w:tcW w:w="534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6"/>
                <w:szCs w:val="16"/>
                <w:color w:val="auto"/>
              </w:rPr>
              <w:t>Personnel expenses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(3,529,687 )</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(3,537,264 )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7,577</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(0 )%</w:t>
            </w:r>
          </w:p>
        </w:tc>
      </w:tr>
      <w:tr>
        <w:trPr>
          <w:trHeight w:val="229"/>
        </w:trPr>
        <w:tc>
          <w:tcPr>
            <w:tcW w:w="5340" w:type="dxa"/>
            <w:vAlign w:val="bottom"/>
          </w:tcPr>
          <w:p>
            <w:pPr>
              <w:ind w:left="20"/>
              <w:spacing w:after="0"/>
              <w:rPr>
                <w:sz w:val="20"/>
                <w:szCs w:val="20"/>
                <w:color w:val="auto"/>
              </w:rPr>
            </w:pPr>
            <w:r>
              <w:rPr>
                <w:rFonts w:ascii="Arial" w:cs="Arial" w:eastAsia="Arial" w:hAnsi="Arial"/>
                <w:sz w:val="16"/>
                <w:szCs w:val="16"/>
                <w:color w:val="auto"/>
              </w:rPr>
              <w:t>Consulting fees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(65,925 )</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(246,269 )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180,344</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(73 )%</w:t>
            </w:r>
          </w:p>
        </w:tc>
      </w:tr>
      <w:tr>
        <w:trPr>
          <w:trHeight w:val="229"/>
        </w:trPr>
        <w:tc>
          <w:tcPr>
            <w:tcW w:w="53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(1,361,682 )</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(1,379,416 )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17,734</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(1 )%</w:t>
            </w:r>
          </w:p>
        </w:tc>
      </w:tr>
      <w:tr>
        <w:trPr>
          <w:trHeight w:val="229"/>
        </w:trPr>
        <w:tc>
          <w:tcPr>
            <w:tcW w:w="5340" w:type="dxa"/>
            <w:vAlign w:val="bottom"/>
          </w:tcPr>
          <w:p>
            <w:pPr>
              <w:ind w:left="20"/>
              <w:spacing w:after="0"/>
              <w:rPr>
                <w:sz w:val="20"/>
                <w:szCs w:val="20"/>
                <w:color w:val="auto"/>
              </w:rPr>
            </w:pPr>
            <w:r>
              <w:rPr>
                <w:rFonts w:ascii="Arial" w:cs="Arial" w:eastAsia="Arial" w:hAnsi="Arial"/>
                <w:sz w:val="16"/>
                <w:szCs w:val="16"/>
                <w:color w:val="auto"/>
              </w:rPr>
              <w:t>Accounting, tax and auditing fees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(327,050 )</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(444,057 )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117,007</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(26 )%</w:t>
            </w:r>
          </w:p>
        </w:tc>
      </w:tr>
      <w:tr>
        <w:trPr>
          <w:trHeight w:val="229"/>
        </w:trPr>
        <w:tc>
          <w:tcPr>
            <w:tcW w:w="5340" w:type="dxa"/>
            <w:vAlign w:val="bottom"/>
          </w:tcPr>
          <w:p>
            <w:pPr>
              <w:ind w:left="20"/>
              <w:spacing w:after="0"/>
              <w:rPr>
                <w:sz w:val="20"/>
                <w:szCs w:val="20"/>
                <w:color w:val="auto"/>
              </w:rPr>
            </w:pPr>
            <w:r>
              <w:rPr>
                <w:rFonts w:ascii="Arial" w:cs="Arial" w:eastAsia="Arial" w:hAnsi="Arial"/>
                <w:sz w:val="16"/>
                <w:szCs w:val="16"/>
                <w:color w:val="auto"/>
              </w:rPr>
              <w:t>Facilities, communication and office expenses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(1,577,375 )</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(1,807,806 )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230,431</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(13 )%</w:t>
            </w:r>
          </w:p>
        </w:tc>
      </w:tr>
      <w:tr>
        <w:trPr>
          <w:trHeight w:val="229"/>
        </w:trPr>
        <w:tc>
          <w:tcPr>
            <w:tcW w:w="5340" w:type="dxa"/>
            <w:vAlign w:val="bottom"/>
          </w:tcPr>
          <w:p>
            <w:pPr>
              <w:ind w:left="20"/>
              <w:spacing w:after="0"/>
              <w:rPr>
                <w:sz w:val="20"/>
                <w:szCs w:val="20"/>
                <w:color w:val="auto"/>
              </w:rPr>
            </w:pPr>
            <w:r>
              <w:rPr>
                <w:rFonts w:ascii="Arial" w:cs="Arial" w:eastAsia="Arial" w:hAnsi="Arial"/>
                <w:sz w:val="16"/>
                <w:szCs w:val="16"/>
                <w:color w:val="auto"/>
              </w:rPr>
              <w:t>Travel expenses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(304,641 )</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(379,369 )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74,728</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(20 )%</w:t>
            </w:r>
          </w:p>
        </w:tc>
      </w:tr>
      <w:tr>
        <w:trPr>
          <w:trHeight w:val="239"/>
        </w:trPr>
        <w:tc>
          <w:tcPr>
            <w:tcW w:w="534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(499,124 )</w:t>
            </w:r>
          </w:p>
        </w:tc>
        <w:tc>
          <w:tcPr>
            <w:tcW w:w="12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(503,641 )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4,517</w:t>
            </w: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rPr>
              <w:t>(1 )%</w:t>
            </w:r>
          </w:p>
        </w:tc>
      </w:tr>
      <w:tr>
        <w:trPr>
          <w:trHeight w:val="23"/>
        </w:trPr>
        <w:tc>
          <w:tcPr>
            <w:tcW w:w="5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6"/>
                <w:szCs w:val="16"/>
                <w:color w:val="auto"/>
              </w:rPr>
              <w:t>Total general and administratve expenses</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(7,665,484 )</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(8,297,822 )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632,338</w:t>
            </w:r>
          </w:p>
        </w:tc>
        <w:tc>
          <w:tcPr>
            <w:tcW w:w="1360" w:type="dxa"/>
            <w:vAlign w:val="bottom"/>
            <w:gridSpan w:val="4"/>
          </w:tcPr>
          <w:p>
            <w:pPr>
              <w:jc w:val="right"/>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auto"/>
                <w:highlight w:val="white"/>
              </w:rPr>
              <w:t>)</w:t>
            </w:r>
            <w:r>
              <w:rPr>
                <w:rFonts w:ascii="Arial" w:cs="Arial" w:eastAsia="Arial" w:hAnsi="Arial"/>
                <w:sz w:val="16"/>
                <w:szCs w:val="16"/>
                <w:b w:val="1"/>
                <w:bCs w:val="1"/>
                <w:color w:val="auto"/>
              </w:rPr>
              <w:t>%</w:t>
            </w:r>
          </w:p>
        </w:tc>
      </w:tr>
      <w:tr>
        <w:trPr>
          <w:trHeight w:val="20"/>
        </w:trPr>
        <w:tc>
          <w:tcPr>
            <w:tcW w:w="5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374" w:lineRule="exact"/>
        <w:rPr>
          <w:sz w:val="20"/>
          <w:szCs w:val="20"/>
          <w:color w:val="auto"/>
        </w:rPr>
      </w:pPr>
    </w:p>
    <w:p>
      <w:pPr>
        <w:ind w:right="240" w:firstLine="374"/>
        <w:spacing w:after="0" w:line="260" w:lineRule="auto"/>
        <w:rPr>
          <w:sz w:val="20"/>
          <w:szCs w:val="20"/>
          <w:color w:val="auto"/>
        </w:rPr>
      </w:pPr>
      <w:r>
        <w:rPr>
          <w:rFonts w:ascii="Arial" w:cs="Arial" w:eastAsia="Arial" w:hAnsi="Arial"/>
          <w:sz w:val="16"/>
          <w:szCs w:val="16"/>
          <w:color w:val="auto"/>
        </w:rPr>
        <w:t>General and administrative expenses decreased from €8,297,822 for the three months ended September 30, 2022 to €7,665,484 for the three months ended September 30, 2023. The decrease in general and administrative expenses was mainly driven by lower consulting and accounting fees and decreased facility, communication and office expenses offset by the growth of the Company.</w:t>
      </w:r>
    </w:p>
    <w:p>
      <w:pPr>
        <w:spacing w:after="0" w:line="157" w:lineRule="exact"/>
        <w:rPr>
          <w:sz w:val="20"/>
          <w:szCs w:val="20"/>
          <w:color w:val="auto"/>
        </w:rPr>
      </w:pPr>
    </w:p>
    <w:p>
      <w:pPr>
        <w:ind w:right="560" w:firstLine="374"/>
        <w:spacing w:after="0" w:line="275" w:lineRule="auto"/>
        <w:rPr>
          <w:sz w:val="20"/>
          <w:szCs w:val="20"/>
          <w:color w:val="auto"/>
        </w:rPr>
      </w:pPr>
      <w:r>
        <w:rPr>
          <w:rFonts w:ascii="Arial" w:cs="Arial" w:eastAsia="Arial" w:hAnsi="Arial"/>
          <w:sz w:val="16"/>
          <w:szCs w:val="16"/>
          <w:color w:val="auto"/>
        </w:rPr>
        <w:t>In the personnel expenses for the three months ended September 30, 2023 and 2022 an amount of €1,529,231 and €1,610,688 respectively, was included which related to share-based compensation arrangements.</w:t>
      </w:r>
    </w:p>
    <w:p>
      <w:pPr>
        <w:spacing w:after="0" w:line="145" w:lineRule="exact"/>
        <w:rPr>
          <w:sz w:val="20"/>
          <w:szCs w:val="20"/>
          <w:color w:val="auto"/>
        </w:rPr>
      </w:pPr>
    </w:p>
    <w:p>
      <w:pPr>
        <w:ind w:right="120" w:firstLine="374"/>
        <w:spacing w:after="0" w:line="256" w:lineRule="auto"/>
        <w:rPr>
          <w:sz w:val="20"/>
          <w:szCs w:val="20"/>
          <w:color w:val="auto"/>
        </w:rPr>
      </w:pPr>
      <w:r>
        <w:rPr>
          <w:rFonts w:ascii="Arial" w:cs="Arial" w:eastAsia="Arial" w:hAnsi="Arial"/>
          <w:sz w:val="16"/>
          <w:szCs w:val="16"/>
          <w:color w:val="auto"/>
        </w:rPr>
        <w:t>The increase in the share-based compensation expenses is due to the net effect of the new grants (options and RSUs) made in the three months ended September 30, 2023 and the cumulative charges of the awards already granted in the three months ended June 30, 2023 and prior periods (vestings and forfeitures). The remaining increase in personnel expenses is driven by the growth of our organization resulting in additional employees hired, and yearly merit adjustments.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w:t>
      </w:r>
    </w:p>
    <w:p>
      <w:pPr>
        <w:spacing w:after="0" w:line="184" w:lineRule="exact"/>
        <w:rPr>
          <w:sz w:val="20"/>
          <w:szCs w:val="20"/>
          <w:color w:val="auto"/>
        </w:rPr>
      </w:pPr>
    </w:p>
    <w:p>
      <w:pPr>
        <w:ind w:right="160" w:firstLine="374"/>
        <w:spacing w:after="0" w:line="275" w:lineRule="auto"/>
        <w:rPr>
          <w:sz w:val="20"/>
          <w:szCs w:val="20"/>
          <w:color w:val="auto"/>
        </w:rPr>
      </w:pPr>
      <w:r>
        <w:rPr>
          <w:rFonts w:ascii="Arial" w:cs="Arial" w:eastAsia="Arial" w:hAnsi="Arial"/>
          <w:sz w:val="16"/>
          <w:szCs w:val="16"/>
          <w:color w:val="auto"/>
        </w:rPr>
        <w:t>Finance income for the three months ended September 30, 2023 and 2022 were €2,748,943 and €11,494,934, respectively. The amount mainly relates to unrealized foreign exchange (losses)/income, which is mostly the result of translating the Company’s bank balances held in USD to EUR.</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8" w:lineRule="exact"/>
        <w:rPr>
          <w:sz w:val="20"/>
          <w:szCs w:val="20"/>
          <w:color w:val="auto"/>
        </w:rPr>
      </w:pPr>
    </w:p>
    <w:p>
      <w:pPr>
        <w:ind w:right="120" w:firstLine="374"/>
        <w:spacing w:after="0" w:line="253"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expense over the three months ended September 30, 2023 relates to the Company's U.S. and Dutch fiscal unity.</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6100" w:type="dxa"/>
            <w:vAlign w:val="bottom"/>
            <w:gridSpan w:val="3"/>
          </w:tcPr>
          <w:p>
            <w:pPr>
              <w:spacing w:after="0"/>
              <w:rPr>
                <w:sz w:val="20"/>
                <w:szCs w:val="20"/>
                <w:color w:val="auto"/>
              </w:rPr>
            </w:pPr>
            <w:r>
              <w:rPr>
                <w:rFonts w:ascii="Arial" w:cs="Arial" w:eastAsia="Arial" w:hAnsi="Arial"/>
                <w:sz w:val="16"/>
                <w:szCs w:val="16"/>
                <w:i w:val="1"/>
                <w:iCs w:val="1"/>
                <w:color w:val="auto"/>
              </w:rPr>
              <w:t>Comparison of the nine months ended September 30, 2023 and September 30, 2022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ind w:left="600"/>
              <w:spacing w:after="0"/>
              <w:rPr>
                <w:sz w:val="20"/>
                <w:szCs w:val="20"/>
                <w:color w:val="auto"/>
              </w:rPr>
            </w:pPr>
            <w:r>
              <w:rPr>
                <w:rFonts w:ascii="Arial" w:cs="Arial" w:eastAsia="Arial" w:hAnsi="Arial"/>
                <w:sz w:val="16"/>
                <w:szCs w:val="16"/>
                <w:b w:val="1"/>
                <w:bCs w:val="1"/>
                <w:color w:val="auto"/>
                <w:w w:val="89"/>
              </w:rPr>
              <w:t>For the nine months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September 30,</w:t>
            </w: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9"/>
                <w:szCs w:val="19"/>
                <w:color w:val="auto"/>
              </w:rPr>
            </w:pPr>
          </w:p>
        </w:tc>
        <w:tc>
          <w:tcPr>
            <w:tcW w:w="16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w w:val="88"/>
              </w:rPr>
              <w:t>Change</w:t>
            </w: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940" w:type="dxa"/>
            <w:vAlign w:val="bottom"/>
            <w:gridSpan w:val="2"/>
          </w:tcPr>
          <w:p>
            <w:pPr>
              <w:jc w:val="right"/>
              <w:ind w:right="99"/>
              <w:spacing w:after="0"/>
              <w:rPr>
                <w:sz w:val="20"/>
                <w:szCs w:val="20"/>
                <w:color w:val="auto"/>
              </w:rPr>
            </w:pPr>
            <w:r>
              <w:rPr>
                <w:rFonts w:ascii="Arial" w:cs="Arial" w:eastAsia="Arial" w:hAnsi="Arial"/>
                <w:sz w:val="16"/>
                <w:szCs w:val="16"/>
                <w:color w:val="auto"/>
              </w:rPr>
              <w:t>(46,962,148 )</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(41,324,971 )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(5,637,177 )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940" w:type="dxa"/>
            <w:vAlign w:val="bottom"/>
            <w:gridSpan w:val="2"/>
          </w:tcPr>
          <w:p>
            <w:pPr>
              <w:jc w:val="right"/>
              <w:ind w:right="99"/>
              <w:spacing w:after="0"/>
              <w:rPr>
                <w:sz w:val="20"/>
                <w:szCs w:val="20"/>
                <w:color w:val="auto"/>
              </w:rPr>
            </w:pPr>
            <w:r>
              <w:rPr>
                <w:rFonts w:ascii="Arial" w:cs="Arial" w:eastAsia="Arial" w:hAnsi="Arial"/>
                <w:sz w:val="16"/>
                <w:szCs w:val="16"/>
                <w:color w:val="auto"/>
              </w:rPr>
              <w:t>(22,770,510 )</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(21,822,960 )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(947,550 )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700" w:type="dxa"/>
            <w:vAlign w:val="bottom"/>
            <w:shd w:val="clear" w:color="auto" w:fill="000000"/>
          </w:tcPr>
          <w:p>
            <w:pPr>
              <w:spacing w:after="0"/>
              <w:rPr>
                <w:sz w:val="2"/>
                <w:szCs w:val="2"/>
                <w:color w:val="auto"/>
              </w:rPr>
            </w:pPr>
          </w:p>
        </w:tc>
        <w:tc>
          <w:tcPr>
            <w:tcW w:w="2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680" w:type="dxa"/>
            <w:vAlign w:val="bottom"/>
            <w:shd w:val="clear" w:color="auto" w:fill="000000"/>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(69,732,658</w:t>
            </w:r>
          </w:p>
        </w:tc>
        <w:tc>
          <w:tcPr>
            <w:tcW w:w="240" w:type="dxa"/>
            <w:vAlign w:val="bottom"/>
            <w:vMerge w:val="continue"/>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(63,147,931</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(6,584,727</w:t>
            </w:r>
          </w:p>
        </w:tc>
        <w:tc>
          <w:tcPr>
            <w:tcW w:w="220" w:type="dxa"/>
            <w:vAlign w:val="bottom"/>
            <w:vMerge w:val="continue"/>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loss</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9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(69,732,658 )</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(63,147,931 )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(6,584,727 )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color w:val="auto"/>
              </w:rPr>
              <w:t>Finance (expense)/income</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1,906,348</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26,387,917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(24,481,569 )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Loss before tax</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9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(67,826,310 )</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(36,760,014 )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(31,066,296 )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color w:val="auto"/>
              </w:rPr>
              <w:t>Income taxes</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940" w:type="dxa"/>
            <w:vAlign w:val="bottom"/>
            <w:gridSpan w:val="2"/>
          </w:tcPr>
          <w:p>
            <w:pPr>
              <w:jc w:val="right"/>
              <w:ind w:right="99"/>
              <w:spacing w:after="0"/>
              <w:rPr>
                <w:sz w:val="20"/>
                <w:szCs w:val="20"/>
                <w:color w:val="auto"/>
              </w:rPr>
            </w:pPr>
            <w:r>
              <w:rPr>
                <w:rFonts w:ascii="Arial" w:cs="Arial" w:eastAsia="Arial" w:hAnsi="Arial"/>
                <w:sz w:val="16"/>
                <w:szCs w:val="16"/>
                <w:color w:val="auto"/>
              </w:rPr>
              <w:t>(301,108 )</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(375,888 )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74,780</w:t>
            </w:r>
          </w:p>
        </w:tc>
        <w:tc>
          <w:tcPr>
            <w:tcW w:w="2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33"/>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Loss for the period</w:t>
            </w:r>
          </w:p>
        </w:tc>
        <w:tc>
          <w:tcPr>
            <w:tcW w:w="1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9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(68,127,418 )</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(37,135,902 )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(30,991,516 )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-1240790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941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94170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did not generate any revenues for the nine months ended September 30, 2023 and September 30,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60" w:type="dxa"/>
            <w:vAlign w:val="bottom"/>
            <w:gridSpan w:val="2"/>
          </w:tcPr>
          <w:p>
            <w:pPr>
              <w:spacing w:after="0"/>
              <w:rPr>
                <w:sz w:val="20"/>
                <w:szCs w:val="20"/>
                <w:color w:val="auto"/>
              </w:rPr>
            </w:pPr>
            <w:r>
              <w:rPr>
                <w:rFonts w:ascii="Arial" w:cs="Arial" w:eastAsia="Arial" w:hAnsi="Arial"/>
                <w:sz w:val="16"/>
                <w:szCs w:val="16"/>
                <w:i w:val="1"/>
                <w:iCs w:val="1"/>
                <w:color w:val="auto"/>
              </w:rPr>
              <w:t>Research and development expenses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For the nine months ended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ind w:left="1240"/>
              <w:spacing w:after="0"/>
              <w:rPr>
                <w:sz w:val="20"/>
                <w:szCs w:val="20"/>
                <w:color w:val="auto"/>
              </w:rPr>
            </w:pPr>
            <w:r>
              <w:rPr>
                <w:rFonts w:ascii="Arial" w:cs="Arial" w:eastAsia="Arial" w:hAnsi="Arial"/>
                <w:sz w:val="16"/>
                <w:szCs w:val="16"/>
                <w:b w:val="1"/>
                <w:bCs w:val="1"/>
                <w:color w:val="auto"/>
                <w:w w:val="93"/>
              </w:rPr>
              <w:t>September 30,</w:t>
            </w: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9"/>
                <w:szCs w:val="19"/>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w w:val="95"/>
              </w:rPr>
              <w:t>Change</w:t>
            </w:r>
          </w:p>
        </w:tc>
        <w:tc>
          <w:tcPr>
            <w:tcW w:w="16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(13,521,323 )</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(9,282,210 )</w:t>
            </w:r>
          </w:p>
        </w:tc>
        <w:tc>
          <w:tcPr>
            <w:tcW w:w="4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(4,239,113 )</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Clinical expenses</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(21,395,174 )</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(21,778,622 )</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383,448</w:t>
            </w:r>
          </w:p>
        </w:tc>
        <w:tc>
          <w:tcPr>
            <w:tcW w:w="20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Non-clinical expenses</w:t>
            </w:r>
          </w:p>
        </w:tc>
        <w:tc>
          <w:tcPr>
            <w:tcW w:w="1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(6,744,771 )</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(2,695,561 )</w:t>
            </w:r>
          </w:p>
        </w:tc>
        <w:tc>
          <w:tcPr>
            <w:tcW w:w="4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(4,049,210 )</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Manufacturing costs</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(5,133,990 )</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(7,321,038 )</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2,187,048</w:t>
            </w:r>
          </w:p>
        </w:tc>
        <w:tc>
          <w:tcPr>
            <w:tcW w:w="2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(166,890 )</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(247,540 )</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80,650</w:t>
            </w:r>
          </w:p>
        </w:tc>
        <w:tc>
          <w:tcPr>
            <w:tcW w:w="20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880" w:type="dxa"/>
            <w:vAlign w:val="bottom"/>
            <w:vMerge w:val="restart"/>
          </w:tcPr>
          <w:p>
            <w:pPr>
              <w:spacing w:after="0"/>
              <w:rPr>
                <w:sz w:val="20"/>
                <w:szCs w:val="20"/>
                <w:color w:val="auto"/>
              </w:rPr>
            </w:pPr>
            <w:r>
              <w:rPr>
                <w:rFonts w:ascii="Arial" w:cs="Arial" w:eastAsia="Arial" w:hAnsi="Arial"/>
                <w:sz w:val="16"/>
                <w:szCs w:val="16"/>
                <w:b w:val="1"/>
                <w:bCs w:val="1"/>
                <w:color w:val="auto"/>
              </w:rPr>
              <w:t>Total research and development expenses</w:t>
            </w: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3880" w:type="dxa"/>
            <w:vAlign w:val="bottom"/>
            <w:vMerge w:val="continue"/>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 xml:space="preserve">(46,962,148 </w:t>
            </w:r>
            <w:r>
              <w:rPr>
                <w:rFonts w:ascii="Arial" w:cs="Arial" w:eastAsia="Arial" w:hAnsi="Arial"/>
                <w:sz w:val="16"/>
                <w:szCs w:val="16"/>
                <w:b w:val="1"/>
                <w:bCs w:val="1"/>
                <w:color w:val="auto"/>
                <w:highlight w:val="white"/>
              </w:rPr>
              <w:t>)</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 xml:space="preserve">(41,324,971 </w:t>
            </w:r>
            <w:r>
              <w:rPr>
                <w:rFonts w:ascii="Arial" w:cs="Arial" w:eastAsia="Arial" w:hAnsi="Arial"/>
                <w:sz w:val="16"/>
                <w:szCs w:val="16"/>
                <w:b w:val="1"/>
                <w:bCs w:val="1"/>
                <w:color w:val="auto"/>
                <w:highlight w:val="white"/>
              </w:rPr>
              <w:t>)</w:t>
            </w:r>
          </w:p>
        </w:tc>
        <w:tc>
          <w:tcPr>
            <w:tcW w:w="48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xml:space="preserve">(5,637,177 </w:t>
            </w:r>
            <w:r>
              <w:rPr>
                <w:rFonts w:ascii="Arial" w:cs="Arial" w:eastAsia="Arial" w:hAnsi="Arial"/>
                <w:sz w:val="16"/>
                <w:szCs w:val="16"/>
                <w:b w:val="1"/>
                <w:bCs w:val="1"/>
                <w:color w:val="auto"/>
                <w:highlight w:val="white"/>
              </w:rPr>
              <w:t>)</w:t>
            </w:r>
          </w:p>
        </w:tc>
        <w:tc>
          <w:tcPr>
            <w:tcW w:w="18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auto"/>
                <w:highlight w:val="white"/>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-324485</wp:posOffset>
            </wp:positionV>
            <wp:extent cx="705548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5485" cy="154305"/>
                    </a:xfrm>
                    <a:prstGeom prst="rect">
                      <a:avLst/>
                    </a:prstGeom>
                    <a:noFill/>
                  </pic:spPr>
                </pic:pic>
              </a:graphicData>
            </a:graphic>
          </wp:anchor>
        </w:drawing>
      </w:r>
    </w:p>
    <w:p>
      <w:pPr>
        <w:spacing w:after="0" w:line="347" w:lineRule="exact"/>
        <w:rPr>
          <w:sz w:val="20"/>
          <w:szCs w:val="20"/>
          <w:color w:val="auto"/>
        </w:rPr>
      </w:pPr>
    </w:p>
    <w:p>
      <w:pPr>
        <w:ind w:right="200" w:firstLine="374"/>
        <w:spacing w:after="0" w:line="275" w:lineRule="auto"/>
        <w:rPr>
          <w:sz w:val="20"/>
          <w:szCs w:val="20"/>
          <w:color w:val="auto"/>
        </w:rPr>
      </w:pPr>
      <w:r>
        <w:rPr>
          <w:rFonts w:ascii="Arial" w:cs="Arial" w:eastAsia="Arial" w:hAnsi="Arial"/>
          <w:sz w:val="16"/>
          <w:szCs w:val="16"/>
          <w:color w:val="auto"/>
        </w:rPr>
        <w:t>Research and development expenses increased from €41,324,971 for the nine months ended September 30, 2022 to €46,962,148 for the nine months ended September 30, 2023.</w:t>
      </w:r>
    </w:p>
    <w:p>
      <w:pPr>
        <w:spacing w:after="0" w:line="145" w:lineRule="exact"/>
        <w:rPr>
          <w:sz w:val="20"/>
          <w:szCs w:val="20"/>
          <w:color w:val="auto"/>
        </w:rPr>
      </w:pPr>
    </w:p>
    <w:p>
      <w:pPr>
        <w:ind w:right="340" w:firstLine="374"/>
        <w:spacing w:after="0" w:line="256" w:lineRule="auto"/>
        <w:rPr>
          <w:sz w:val="20"/>
          <w:szCs w:val="20"/>
          <w:color w:val="auto"/>
        </w:rPr>
      </w:pPr>
      <w:r>
        <w:rPr>
          <w:rFonts w:ascii="Arial" w:cs="Arial" w:eastAsia="Arial" w:hAnsi="Arial"/>
          <w:sz w:val="16"/>
          <w:szCs w:val="16"/>
          <w:color w:val="auto"/>
        </w:rPr>
        <w:t>Clinical expenses decreased by €383,448 for the nine months ended September 30, 2023 compared to the nine months ended September 30, 2022, primarily due to the completion of the RAPIDe-1 on-demand study in December 2022. Nonclinical expenses increased by €4,049,210 for the nine months ended September 30, 2023 compared to the nine months ended September 30, 2022, primarily due to additional studies related to the 26-week rodent toxicology study intended to address the clinical hold in the U.S.</w:t>
      </w:r>
    </w:p>
    <w:p>
      <w:pPr>
        <w:spacing w:after="0" w:line="159" w:lineRule="exact"/>
        <w:rPr>
          <w:sz w:val="20"/>
          <w:szCs w:val="20"/>
          <w:color w:val="auto"/>
        </w:rPr>
      </w:pPr>
    </w:p>
    <w:p>
      <w:pPr>
        <w:ind w:right="260" w:firstLine="374"/>
        <w:spacing w:after="0" w:line="260" w:lineRule="auto"/>
        <w:rPr>
          <w:sz w:val="20"/>
          <w:szCs w:val="20"/>
          <w:color w:val="auto"/>
        </w:rPr>
      </w:pPr>
      <w:r>
        <w:rPr>
          <w:rFonts w:ascii="Arial" w:cs="Arial" w:eastAsia="Arial" w:hAnsi="Arial"/>
          <w:sz w:val="16"/>
          <w:szCs w:val="16"/>
          <w:color w:val="auto"/>
        </w:rPr>
        <w:t>Manufacturing costs relating to the API and pharmaceutical development of PHVS416 and PHVS719 decreased by €2,187,048 for the nine months ended September 30, 2023 compared to the nine months ended September 30, 2022 due to reduction of costs as a result of the completion of synthesis of API intended for future development.</w:t>
      </w:r>
    </w:p>
    <w:p>
      <w:pPr>
        <w:spacing w:after="0" w:line="157" w:lineRule="exact"/>
        <w:rPr>
          <w:sz w:val="20"/>
          <w:szCs w:val="20"/>
          <w:color w:val="auto"/>
        </w:rPr>
      </w:pPr>
    </w:p>
    <w:p>
      <w:pPr>
        <w:ind w:right="280" w:firstLine="419"/>
        <w:spacing w:after="0" w:line="256" w:lineRule="auto"/>
        <w:rPr>
          <w:sz w:val="20"/>
          <w:szCs w:val="20"/>
          <w:color w:val="auto"/>
        </w:rPr>
      </w:pPr>
      <w:r>
        <w:rPr>
          <w:rFonts w:ascii="Arial" w:cs="Arial" w:eastAsia="Arial" w:hAnsi="Arial"/>
          <w:sz w:val="16"/>
          <w:szCs w:val="16"/>
          <w:color w:val="auto"/>
        </w:rPr>
        <w:t>In the personnel expenses for the nine months ended September 30, 2023 and 2022 an amount of €3,843,288 and €3,829,551, respectively, was included related to the share-based compensation arrangements. The increase in the share-based compensation expenses is due to the new grants made during the period, and the cumulative charges for the grants up to September 30, 2022. The remaining increase in personnel expenses is driven by the growth of our organization resulting in additional employees hired, and yearly merit adjustments.</w:t>
      </w: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20"/>
                <w:szCs w:val="20"/>
                <w:color w:val="auto"/>
              </w:rPr>
            </w:pPr>
            <w:r>
              <w:rPr>
                <w:rFonts w:ascii="Arial" w:cs="Arial" w:eastAsia="Arial" w:hAnsi="Arial"/>
                <w:sz w:val="16"/>
                <w:szCs w:val="16"/>
                <w:i w:val="1"/>
                <w:iCs w:val="1"/>
                <w:color w:val="auto"/>
              </w:rPr>
              <w:t>General and administrative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10"/>
        </w:trPr>
        <w:tc>
          <w:tcPr>
            <w:tcW w:w="4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7"/>
          </w:tcPr>
          <w:p>
            <w:pPr>
              <w:ind w:left="280"/>
              <w:spacing w:after="0"/>
              <w:rPr>
                <w:sz w:val="20"/>
                <w:szCs w:val="20"/>
                <w:color w:val="auto"/>
              </w:rPr>
            </w:pPr>
            <w:r>
              <w:rPr>
                <w:rFonts w:ascii="Arial" w:cs="Arial" w:eastAsia="Arial" w:hAnsi="Arial"/>
                <w:sz w:val="16"/>
                <w:szCs w:val="16"/>
                <w:b w:val="1"/>
                <w:bCs w:val="1"/>
                <w:color w:val="auto"/>
              </w:rPr>
              <w:t>For the nine months ended</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496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ind w:left="76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ind w:left="12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r>
      <w:tr>
        <w:trPr>
          <w:trHeight w:val="210"/>
        </w:trPr>
        <w:tc>
          <w:tcPr>
            <w:tcW w:w="496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6"/>
                <w:szCs w:val="16"/>
                <w:color w:val="auto"/>
              </w:rPr>
              <w:t>Personnel expenses</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(10,265,614 )</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(9,807,298 )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(458,316 )</w:t>
            </w: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r>
      <w:tr>
        <w:trPr>
          <w:trHeight w:val="229"/>
        </w:trPr>
        <w:tc>
          <w:tcPr>
            <w:tcW w:w="4960" w:type="dxa"/>
            <w:vAlign w:val="bottom"/>
          </w:tcPr>
          <w:p>
            <w:pPr>
              <w:ind w:left="20"/>
              <w:spacing w:after="0"/>
              <w:rPr>
                <w:sz w:val="20"/>
                <w:szCs w:val="20"/>
                <w:color w:val="auto"/>
              </w:rPr>
            </w:pPr>
            <w:r>
              <w:rPr>
                <w:rFonts w:ascii="Arial" w:cs="Arial" w:eastAsia="Arial" w:hAnsi="Arial"/>
                <w:sz w:val="16"/>
                <w:szCs w:val="16"/>
                <w:color w:val="auto"/>
              </w:rPr>
              <w:t>Consulting fees</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(370,241 )</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(679,080 )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308,839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29"/>
        </w:trPr>
        <w:tc>
          <w:tcPr>
            <w:tcW w:w="496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(3,538,857 )</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(3,174,586 )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(364,271 )</w:t>
            </w: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r>
      <w:tr>
        <w:trPr>
          <w:trHeight w:val="229"/>
        </w:trPr>
        <w:tc>
          <w:tcPr>
            <w:tcW w:w="4960" w:type="dxa"/>
            <w:vAlign w:val="bottom"/>
          </w:tcPr>
          <w:p>
            <w:pPr>
              <w:ind w:left="20"/>
              <w:spacing w:after="0"/>
              <w:rPr>
                <w:sz w:val="20"/>
                <w:szCs w:val="20"/>
                <w:color w:val="auto"/>
              </w:rPr>
            </w:pPr>
            <w:r>
              <w:rPr>
                <w:rFonts w:ascii="Arial" w:cs="Arial" w:eastAsia="Arial" w:hAnsi="Arial"/>
                <w:sz w:val="16"/>
                <w:szCs w:val="16"/>
                <w:color w:val="auto"/>
              </w:rPr>
              <w:t>Accounting, tax and auditing fees</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(1,224,364 )</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(1,038,714 )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(185,650 )</w:t>
            </w: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18 %</w:t>
            </w:r>
          </w:p>
        </w:tc>
      </w:tr>
      <w:tr>
        <w:trPr>
          <w:trHeight w:val="229"/>
        </w:trPr>
        <w:tc>
          <w:tcPr>
            <w:tcW w:w="4960" w:type="dxa"/>
            <w:vAlign w:val="bottom"/>
          </w:tcPr>
          <w:p>
            <w:pPr>
              <w:ind w:left="20"/>
              <w:spacing w:after="0"/>
              <w:rPr>
                <w:sz w:val="20"/>
                <w:szCs w:val="20"/>
                <w:color w:val="auto"/>
              </w:rPr>
            </w:pPr>
            <w:r>
              <w:rPr>
                <w:rFonts w:ascii="Arial" w:cs="Arial" w:eastAsia="Arial" w:hAnsi="Arial"/>
                <w:sz w:val="16"/>
                <w:szCs w:val="16"/>
                <w:color w:val="auto"/>
              </w:rPr>
              <w:t>Facilities, communication and office expenses</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(4,487,982 )</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(5,054,636 )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566,654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29"/>
        </w:trPr>
        <w:tc>
          <w:tcPr>
            <w:tcW w:w="4960" w:type="dxa"/>
            <w:vAlign w:val="bottom"/>
          </w:tcPr>
          <w:p>
            <w:pPr>
              <w:ind w:left="20"/>
              <w:spacing w:after="0"/>
              <w:rPr>
                <w:sz w:val="20"/>
                <w:szCs w:val="20"/>
                <w:color w:val="auto"/>
              </w:rPr>
            </w:pPr>
            <w:r>
              <w:rPr>
                <w:rFonts w:ascii="Arial" w:cs="Arial" w:eastAsia="Arial" w:hAnsi="Arial"/>
                <w:sz w:val="16"/>
                <w:szCs w:val="16"/>
                <w:color w:val="auto"/>
              </w:rPr>
              <w:t>Travel expenses</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(1,083,091 )</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(783,569 )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(299,522 )</w:t>
            </w: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38 %</w:t>
            </w:r>
          </w:p>
        </w:tc>
      </w:tr>
      <w:tr>
        <w:trPr>
          <w:trHeight w:val="239"/>
        </w:trPr>
        <w:tc>
          <w:tcPr>
            <w:tcW w:w="496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(1,800,361 )</w:t>
            </w:r>
          </w:p>
        </w:tc>
        <w:tc>
          <w:tcPr>
            <w:tcW w:w="12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(1,285,077 )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(515,284 )</w:t>
            </w: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40 %</w:t>
            </w:r>
          </w:p>
        </w:tc>
      </w:tr>
      <w:tr>
        <w:trPr>
          <w:trHeight w:val="23"/>
        </w:trPr>
        <w:tc>
          <w:tcPr>
            <w:tcW w:w="49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Total general and administrative expenses</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(22,770,510 )</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(21,822,960 )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(947,550 )</w:t>
            </w:r>
          </w:p>
        </w:tc>
        <w:tc>
          <w:tcPr>
            <w:tcW w:w="1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auto"/>
                <w:highlight w:val="white"/>
              </w:rPr>
              <w:t>%</w:t>
            </w:r>
          </w:p>
        </w:tc>
      </w:tr>
      <w:tr>
        <w:trPr>
          <w:trHeight w:val="20"/>
        </w:trPr>
        <w:tc>
          <w:tcPr>
            <w:tcW w:w="49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right="240" w:firstLine="374"/>
        <w:spacing w:after="0" w:line="260" w:lineRule="auto"/>
        <w:rPr>
          <w:sz w:val="20"/>
          <w:szCs w:val="20"/>
          <w:color w:val="auto"/>
        </w:rPr>
      </w:pPr>
      <w:r>
        <w:rPr>
          <w:rFonts w:ascii="Arial" w:cs="Arial" w:eastAsia="Arial" w:hAnsi="Arial"/>
          <w:sz w:val="16"/>
          <w:szCs w:val="16"/>
          <w:color w:val="auto"/>
        </w:rPr>
        <w:t>General and administrative expenses increased from €21,822,960 for the nine months ended September 30, 2022 to €22,770,510 for the nine months ended September 30, 2023. The increase in general and administrative expenses was mainly driven by the growth of our organization and increasing costs related to our commercial planning.</w:t>
      </w:r>
    </w:p>
    <w:p>
      <w:pPr>
        <w:spacing w:after="0" w:line="157" w:lineRule="exact"/>
        <w:rPr>
          <w:sz w:val="20"/>
          <w:szCs w:val="20"/>
          <w:color w:val="auto"/>
        </w:rPr>
      </w:pPr>
    </w:p>
    <w:p>
      <w:pPr>
        <w:ind w:right="120" w:firstLine="374"/>
        <w:spacing w:after="0" w:line="256" w:lineRule="auto"/>
        <w:rPr>
          <w:sz w:val="20"/>
          <w:szCs w:val="20"/>
          <w:color w:val="auto"/>
        </w:rPr>
      </w:pPr>
      <w:r>
        <w:rPr>
          <w:rFonts w:ascii="Arial" w:cs="Arial" w:eastAsia="Arial" w:hAnsi="Arial"/>
          <w:sz w:val="16"/>
          <w:szCs w:val="16"/>
          <w:color w:val="auto"/>
        </w:rPr>
        <w:t>The increase in personnel expenses is driven by the growth of our organization resulting in additional employees hired, and yearly merit adjustments. In the personnel expenses for the nine months ended September 30, 2023 and 2022 an amount of €4,341,868 and €4,304,037, respectively, was included which related to share-based compensation arrangements. The remaining increase in personnel expenses is driven by the growth of our organization resulting in additional employees hired, and yearly merit adjustments.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(expense)/income</w:t>
      </w:r>
    </w:p>
    <w:p>
      <w:pPr>
        <w:spacing w:after="0" w:line="19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 xml:space="preserve">Finance </w:t>
      </w:r>
      <w:r>
        <w:rPr>
          <w:rFonts w:ascii="Arial" w:cs="Arial" w:eastAsia="Arial" w:hAnsi="Arial"/>
          <w:sz w:val="16"/>
          <w:szCs w:val="16"/>
          <w:i w:val="1"/>
          <w:iCs w:val="1"/>
          <w:color w:val="auto"/>
        </w:rPr>
        <w:t>(expense)/income</w:t>
      </w:r>
      <w:r>
        <w:rPr>
          <w:rFonts w:ascii="Arial" w:cs="Arial" w:eastAsia="Arial" w:hAnsi="Arial"/>
          <w:sz w:val="16"/>
          <w:szCs w:val="16"/>
          <w:color w:val="auto"/>
        </w:rPr>
        <w:t xml:space="preserve"> for the nine months ended September 30, 2023 and 2022 was €1,906,348 and €26,387,917 respectively, a change of</w:t>
      </w:r>
    </w:p>
    <w:p>
      <w:pPr>
        <w:spacing w:after="0" w:line="21"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€24,481,569. The change mainly relates to unrealized foreign exchange income, which is the result of translating the group’s bank balances held in USD to EUR.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198" w:lineRule="exact"/>
        <w:rPr>
          <w:sz w:val="20"/>
          <w:szCs w:val="20"/>
          <w:color w:val="auto"/>
        </w:rPr>
      </w:pPr>
    </w:p>
    <w:p>
      <w:pPr>
        <w:ind w:right="120" w:firstLine="374"/>
        <w:spacing w:after="0" w:line="253"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63" w:lineRule="exact"/>
        <w:rPr>
          <w:sz w:val="20"/>
          <w:szCs w:val="20"/>
          <w:color w:val="auto"/>
        </w:rPr>
      </w:pPr>
    </w:p>
    <w:p>
      <w:pPr>
        <w:ind w:right="160" w:firstLine="374"/>
        <w:spacing w:after="0" w:line="256" w:lineRule="auto"/>
        <w:rPr>
          <w:sz w:val="20"/>
          <w:szCs w:val="20"/>
          <w:color w:val="auto"/>
        </w:rPr>
      </w:pPr>
      <w:r>
        <w:rPr>
          <w:rFonts w:ascii="Arial" w:cs="Arial" w:eastAsia="Arial" w:hAnsi="Arial"/>
          <w:sz w:val="16"/>
          <w:szCs w:val="16"/>
          <w:color w:val="auto"/>
        </w:rPr>
        <w:t>The tax expenses over the nine months ended September 30, 2023 relate to the Company's U.S. and Dutch subsidiaries. For the nine months ended September 30, 2022, the tax expenses principally related to the Dutch fiscal unity mainly driven by foreign exchange gains. Following discussions with the Dutch tax authorities in November 2022, the Company concluded that foreign exchange results should be allocated to the principal Company in Switzerland. As a result, the foreign exchange results are allocated to the principal Company in Switzerland at that moment.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ind w:right="120" w:firstLine="374"/>
        <w:spacing w:after="0" w:line="256" w:lineRule="auto"/>
        <w:rPr>
          <w:sz w:val="20"/>
          <w:szCs w:val="20"/>
          <w:color w:val="auto"/>
        </w:rPr>
      </w:pPr>
      <w:r>
        <w:rPr>
          <w:rFonts w:ascii="Arial" w:cs="Arial" w:eastAsia="Arial" w:hAnsi="Arial"/>
          <w:sz w:val="16"/>
          <w:szCs w:val="16"/>
          <w:color w:val="auto"/>
        </w:rPr>
        <w:t>Since inception, we have incurred significant operating losses. For the nine months ended September 30, 2023, and 2022 we incurred losses of €68,127,418 and €37,135,902,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59" w:lineRule="exact"/>
        <w:rPr>
          <w:sz w:val="20"/>
          <w:szCs w:val="20"/>
          <w:color w:val="auto"/>
        </w:rPr>
      </w:pPr>
    </w:p>
    <w:p>
      <w:pPr>
        <w:ind w:right="120" w:firstLine="374"/>
        <w:spacing w:after="0" w:line="251"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On March 1, 2022, we entered into a sales agreement with Leerink Partners (formerly known as SVB Securities LLC), pursuant to which we may sell ordinary shares having an aggregate offering price of up to $75 million from time to</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0" w:right="239" w:bottom="1440" w:gutter="0" w:footer="0" w:header="0"/>
        </w:sectPr>
      </w:pPr>
    </w:p>
    <w:bookmarkStart w:id="16" w:name="page17"/>
    <w:bookmarkEnd w:id="16"/>
    <w:p>
      <w:pPr>
        <w:ind w:right="200"/>
        <w:spacing w:after="0" w:line="275" w:lineRule="auto"/>
        <w:rPr>
          <w:sz w:val="20"/>
          <w:szCs w:val="20"/>
          <w:color w:val="auto"/>
        </w:rPr>
      </w:pPr>
      <w:r>
        <w:rPr>
          <w:rFonts w:ascii="Arial" w:cs="Arial" w:eastAsia="Arial" w:hAnsi="Arial"/>
          <w:sz w:val="16"/>
          <w:szCs w:val="16"/>
          <w:color w:val="auto"/>
        </w:rPr>
        <w:t>time through Leerink Partners. As of September 30, 2023, we have sold a total of 593,927 ordinary shares under the sales agreement generating total net proceeds of $9,826,427 (€9.3 million), after deducting $303,910 (€311,700), which was payable to Leerink Partners as commission in respect of such sales.</w:t>
      </w:r>
    </w:p>
    <w:p>
      <w:pPr>
        <w:spacing w:after="0" w:line="145" w:lineRule="exact"/>
        <w:rPr>
          <w:sz w:val="20"/>
          <w:szCs w:val="20"/>
          <w:color w:val="auto"/>
        </w:rPr>
      </w:pPr>
    </w:p>
    <w:p>
      <w:pPr>
        <w:ind w:right="300" w:firstLine="374"/>
        <w:spacing w:after="0" w:line="275"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(€64.2 million).</w:t>
      </w:r>
    </w:p>
    <w:p>
      <w:pPr>
        <w:spacing w:after="0" w:line="145" w:lineRule="exact"/>
        <w:rPr>
          <w:sz w:val="20"/>
          <w:szCs w:val="20"/>
          <w:color w:val="auto"/>
        </w:rPr>
      </w:pPr>
    </w:p>
    <w:p>
      <w:pPr>
        <w:ind w:right="460" w:firstLine="374"/>
        <w:spacing w:after="0" w:line="275" w:lineRule="auto"/>
        <w:rPr>
          <w:sz w:val="20"/>
          <w:szCs w:val="20"/>
          <w:color w:val="auto"/>
        </w:rPr>
      </w:pPr>
      <w:r>
        <w:rPr>
          <w:rFonts w:ascii="Arial" w:cs="Arial" w:eastAsia="Arial" w:hAnsi="Arial"/>
          <w:sz w:val="16"/>
          <w:szCs w:val="16"/>
          <w:color w:val="auto"/>
        </w:rPr>
        <w:t>As of September 30, 2023, we had cash and cash equivalents of €158,358,730. Of the cash on hand, €65,567 relates to guarantees. Our cash and cash equivalents consist solely of cash at bank.</w:t>
      </w:r>
    </w:p>
    <w:p>
      <w:pPr>
        <w:spacing w:after="0" w:line="145" w:lineRule="exact"/>
        <w:rPr>
          <w:sz w:val="20"/>
          <w:szCs w:val="20"/>
          <w:color w:val="auto"/>
        </w:rPr>
      </w:pPr>
    </w:p>
    <w:p>
      <w:pPr>
        <w:ind w:right="140" w:firstLine="374"/>
        <w:spacing w:after="0" w:line="253" w:lineRule="auto"/>
        <w:rPr>
          <w:sz w:val="20"/>
          <w:szCs w:val="20"/>
          <w:color w:val="auto"/>
        </w:rPr>
      </w:pPr>
      <w:r>
        <w:rPr>
          <w:rFonts w:ascii="Arial" w:cs="Arial" w:eastAsia="Arial" w:hAnsi="Arial"/>
          <w:sz w:val="16"/>
          <w:szCs w:val="16"/>
          <w:color w:val="auto"/>
        </w:rPr>
        <w:t>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into the first quarter of 2025, which is at least twelve months from the issuance date of our unaudited condensed consolidated interim financial statements for the nine months ended September 30, 2023 and 2022. Accordingly, the unaudited condensed consolidated interim financial statements have been prepared on a going concern basis.</w:t>
      </w:r>
    </w:p>
    <w:p>
      <w:pPr>
        <w:spacing w:after="0" w:line="149" w:lineRule="exact"/>
        <w:rPr>
          <w:sz w:val="20"/>
          <w:szCs w:val="20"/>
          <w:color w:val="auto"/>
        </w:rPr>
      </w:pPr>
    </w:p>
    <w:p>
      <w:pPr>
        <w:ind w:right="120" w:firstLine="374"/>
        <w:spacing w:after="0" w:line="252"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76" w:lineRule="exact"/>
        <w:rPr>
          <w:sz w:val="20"/>
          <w:szCs w:val="20"/>
          <w:color w:val="auto"/>
        </w:rPr>
      </w:pPr>
    </w:p>
    <w:p>
      <w:pPr>
        <w:ind w:right="580" w:firstLine="374"/>
        <w:spacing w:after="0" w:line="293" w:lineRule="auto"/>
        <w:rPr>
          <w:sz w:val="20"/>
          <w:szCs w:val="20"/>
          <w:color w:val="auto"/>
        </w:rPr>
      </w:pPr>
      <w:r>
        <w:rPr>
          <w:rFonts w:ascii="Arial" w:cs="Arial" w:eastAsia="Arial" w:hAnsi="Arial"/>
          <w:sz w:val="16"/>
          <w:szCs w:val="16"/>
          <w:color w:val="auto"/>
        </w:rPr>
        <w:t>Our contractual obligations and commitments as of September 30, 2023 amounted to €42.0 million primarily related to research and development commitments.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nine months ended September 30, 2023 and 2022.</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gridSpan w:val="5"/>
          </w:tcPr>
          <w:p>
            <w:pPr>
              <w:jc w:val="right"/>
              <w:ind w:right="799"/>
              <w:spacing w:after="0"/>
              <w:rPr>
                <w:sz w:val="20"/>
                <w:szCs w:val="20"/>
                <w:color w:val="auto"/>
              </w:rPr>
            </w:pPr>
            <w:r>
              <w:rPr>
                <w:rFonts w:ascii="Arial" w:cs="Arial" w:eastAsia="Arial" w:hAnsi="Arial"/>
                <w:sz w:val="16"/>
                <w:szCs w:val="16"/>
                <w:b w:val="1"/>
                <w:bCs w:val="1"/>
                <w:color w:val="auto"/>
              </w:rPr>
              <w:t>For the nine months ended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3"/>
        </w:trPr>
        <w:tc>
          <w:tcPr>
            <w:tcW w:w="50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w w:val="89"/>
              </w:rPr>
              <w:t>September 30,</w:t>
            </w: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5080" w:type="dxa"/>
            <w:vAlign w:val="bottom"/>
          </w:tcPr>
          <w:p>
            <w:pPr>
              <w:spacing w:after="0"/>
              <w:rPr>
                <w:sz w:val="19"/>
                <w:szCs w:val="19"/>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w w:val="91"/>
              </w:rPr>
              <w:t>Change</w:t>
            </w: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6"/>
                <w:szCs w:val="16"/>
                <w:color w:val="auto"/>
              </w:rPr>
              <w:t>Net cash flows used in operating activities</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(69,240,196 )</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(46,749,661 )</w:t>
            </w:r>
          </w:p>
        </w:tc>
        <w:tc>
          <w:tcPr>
            <w:tcW w:w="480" w:type="dxa"/>
            <w:vAlign w:val="bottom"/>
          </w:tcPr>
          <w:p>
            <w:pPr>
              <w:spacing w:after="0"/>
              <w:rPr>
                <w:sz w:val="19"/>
                <w:szCs w:val="19"/>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(22,490,535 )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48 %</w:t>
            </w:r>
          </w:p>
        </w:tc>
      </w:tr>
      <w:tr>
        <w:trPr>
          <w:trHeight w:val="229"/>
        </w:trPr>
        <w:tc>
          <w:tcPr>
            <w:tcW w:w="5080" w:type="dxa"/>
            <w:vAlign w:val="bottom"/>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(61,604 )</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(100,657 )</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39,053</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29"/>
        </w:trPr>
        <w:tc>
          <w:tcPr>
            <w:tcW w:w="5080" w:type="dxa"/>
            <w:vAlign w:val="bottom"/>
          </w:tcPr>
          <w:p>
            <w:pPr>
              <w:ind w:left="20"/>
              <w:spacing w:after="0"/>
              <w:rPr>
                <w:sz w:val="20"/>
                <w:szCs w:val="20"/>
                <w:color w:val="auto"/>
              </w:rPr>
            </w:pPr>
            <w:r>
              <w:rPr>
                <w:rFonts w:ascii="Arial" w:cs="Arial" w:eastAsia="Arial" w:hAnsi="Arial"/>
                <w:sz w:val="16"/>
                <w:szCs w:val="16"/>
                <w:color w:val="auto"/>
              </w:rPr>
              <w:t>Net cash flows provided by financing activities</w:t>
            </w:r>
          </w:p>
        </w:tc>
        <w:tc>
          <w:tcPr>
            <w:tcW w:w="1420" w:type="dxa"/>
            <w:vAlign w:val="bottom"/>
          </w:tcPr>
          <w:p>
            <w:pPr>
              <w:jc w:val="right"/>
              <w:spacing w:after="0"/>
              <w:rPr>
                <w:sz w:val="20"/>
                <w:szCs w:val="20"/>
                <w:color w:val="auto"/>
              </w:rPr>
            </w:pPr>
            <w:r>
              <w:rPr>
                <w:rFonts w:ascii="Arial" w:cs="Arial" w:eastAsia="Arial" w:hAnsi="Arial"/>
                <w:sz w:val="16"/>
                <w:szCs w:val="16"/>
                <w:color w:val="auto"/>
              </w:rPr>
              <w:t>63,661,895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8,810,178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54,851,717</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623 %</w:t>
            </w:r>
          </w:p>
        </w:tc>
      </w:tr>
      <w:tr>
        <w:trPr>
          <w:trHeight w:val="229"/>
        </w:trPr>
        <w:tc>
          <w:tcPr>
            <w:tcW w:w="50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(5,639,905 )</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(38,040,140 )</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32,400,235</w:t>
            </w: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(85 )%</w:t>
            </w:r>
          </w:p>
        </w:tc>
      </w:tr>
      <w:tr>
        <w:trPr>
          <w:trHeight w:val="229"/>
        </w:trPr>
        <w:tc>
          <w:tcPr>
            <w:tcW w:w="508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42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209,353,132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(47,515,703 )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242"/>
        </w:trPr>
        <w:tc>
          <w:tcPr>
            <w:tcW w:w="508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420" w:type="dxa"/>
            <w:vAlign w:val="bottom"/>
          </w:tcPr>
          <w:p>
            <w:pPr>
              <w:jc w:val="right"/>
              <w:spacing w:after="0"/>
              <w:rPr>
                <w:sz w:val="20"/>
                <w:szCs w:val="20"/>
                <w:color w:val="auto"/>
              </w:rPr>
            </w:pPr>
            <w:r>
              <w:rPr>
                <w:rFonts w:ascii="Arial" w:cs="Arial" w:eastAsia="Arial" w:hAnsi="Arial"/>
                <w:sz w:val="16"/>
                <w:szCs w:val="16"/>
                <w:color w:val="auto"/>
              </w:rPr>
              <w:t>2,161,206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26,416,455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color w:val="auto"/>
              </w:rPr>
              <w:t>(24,255,249 )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(92 )%</w:t>
            </w: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158,358,730</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197,729,447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(39,370,717</w:t>
            </w:r>
          </w:p>
        </w:tc>
        <w:tc>
          <w:tcPr>
            <w:tcW w:w="2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w w:val="91"/>
              </w:rPr>
              <w:t>)%</w:t>
            </w:r>
          </w:p>
        </w:tc>
      </w:tr>
      <w:tr>
        <w:trPr>
          <w:trHeight w:val="20"/>
        </w:trPr>
        <w:tc>
          <w:tcPr>
            <w:tcW w:w="5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2" w:lineRule="exact"/>
        <w:rPr>
          <w:sz w:val="20"/>
          <w:szCs w:val="20"/>
          <w:color w:val="auto"/>
        </w:rPr>
      </w:pPr>
    </w:p>
    <w:p>
      <w:pPr>
        <w:ind w:right="840" w:firstLine="374"/>
        <w:spacing w:after="0" w:line="275"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operating activities was €69,240,196 for the nine months ended September 30, 2023, an increase of €22,490,535 compared to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€46,749,661 for the nine months ended September 30, 2022, primarily due to an increase in net loss reflecting the increase in research and development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expenses and other operating expenses, due to progression made in the clinical development programs and additional studies to address the clinical hold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U.S., and the growth of our organization in 2023. Operating cash is adjusted for non-cash items such as the</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45"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decrease in share-based compensation of €0.5 million, a decrease of €24.7 million in net foreign exchange gains, an increase in depreciation expense of</w:t>
      </w:r>
    </w:p>
    <w:p>
      <w:pPr>
        <w:spacing w:after="0" w:line="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€0.1 million and an increase in finance income of €0.3 million. Working capital increased by €15.6 million, in part due to the change of current assets by €3.3 million, current liabilities of €6.9 million and accrued liabilities of €5.5 million.</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88" w:lineRule="exact"/>
        <w:rPr>
          <w:sz w:val="20"/>
          <w:szCs w:val="20"/>
          <w:color w:val="auto"/>
        </w:rPr>
      </w:pPr>
    </w:p>
    <w:p>
      <w:pPr>
        <w:ind w:firstLine="374"/>
        <w:spacing w:after="0" w:line="275" w:lineRule="auto"/>
        <w:rPr>
          <w:sz w:val="20"/>
          <w:szCs w:val="20"/>
          <w:color w:val="auto"/>
        </w:rPr>
      </w:pPr>
      <w:r>
        <w:rPr>
          <w:rFonts w:ascii="Arial" w:cs="Arial" w:eastAsia="Arial" w:hAnsi="Arial"/>
          <w:sz w:val="16"/>
          <w:szCs w:val="16"/>
          <w:color w:val="auto"/>
        </w:rPr>
        <w:t>Net cash flows used in investing activities decreased by €39,053 from €100,657 for the nine months ended September 30, 2022, to €61,604 for the nine months ended September 30, 2023, primarily as a result of decreased capital expenditure on office equipment in 2023.</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flows provided by financing activities increased by €54,851,717 from €8,810,178 for the nine months ended September 30, 2022, to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€63,661,895 for the nine months ended September 30, 2023. The cash inflow in the nine months ended September 30, 2023 relates mainly to the private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placement financing that closed in the second quarter of 2023.</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2023, we did not have any off-balance sheet arrangements other than the disclosed commitments.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88" w:lineRule="exact"/>
        <w:rPr>
          <w:sz w:val="20"/>
          <w:szCs w:val="20"/>
          <w:color w:val="auto"/>
        </w:rPr>
      </w:pPr>
    </w:p>
    <w:p>
      <w:pPr>
        <w:ind w:right="100" w:firstLine="374"/>
        <w:spacing w:after="0" w:line="275" w:lineRule="auto"/>
        <w:rPr>
          <w:sz w:val="20"/>
          <w:szCs w:val="20"/>
          <w:color w:val="auto"/>
        </w:rPr>
      </w:pPr>
      <w:r>
        <w:rPr>
          <w:rFonts w:ascii="Arial" w:cs="Arial" w:eastAsia="Arial" w:hAnsi="Arial"/>
          <w:sz w:val="16"/>
          <w:szCs w:val="16"/>
          <w:color w:val="auto"/>
        </w:rPr>
        <w:t>During the nine months ended September 30, 2023, there were no significant changes to our quantitative and qualitative disclosures about market risk from those reported in “Item 11. Quantitative and Qualitative Disclosures About Market Risk” in the Annual Report.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202" w:lineRule="exact"/>
        <w:rPr>
          <w:sz w:val="20"/>
          <w:szCs w:val="20"/>
          <w:color w:val="auto"/>
        </w:rPr>
      </w:pPr>
    </w:p>
    <w:p>
      <w:pPr>
        <w:ind w:right="720" w:firstLine="374"/>
        <w:spacing w:after="0" w:line="275"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88" w:lineRule="exact"/>
        <w:rPr>
          <w:sz w:val="20"/>
          <w:szCs w:val="20"/>
          <w:color w:val="auto"/>
        </w:rPr>
      </w:pPr>
    </w:p>
    <w:p>
      <w:pPr>
        <w:ind w:right="120" w:firstLine="374"/>
        <w:spacing w:after="0" w:line="250"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might cause such a difference include, but are not limited to:</w:t>
      </w:r>
    </w:p>
    <w:p>
      <w:pPr>
        <w:spacing w:after="0" w:line="301" w:lineRule="exact"/>
        <w:rPr>
          <w:sz w:val="20"/>
          <w:szCs w:val="20"/>
          <w:color w:val="auto"/>
        </w:rPr>
      </w:pPr>
    </w:p>
    <w:p>
      <w:pPr>
        <w:ind w:left="1020" w:right="300" w:hanging="504"/>
        <w:spacing w:after="0" w:line="275"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(the “FDA”), with respect to the clinical hold on prophylactic PHA121, or deucrictibant, clinical trials in the U.S.;</w:t>
      </w:r>
    </w:p>
    <w:p>
      <w:pPr>
        <w:spacing w:after="0" w:line="63" w:lineRule="exact"/>
        <w:rPr>
          <w:rFonts w:ascii="Arial" w:cs="Arial" w:eastAsia="Arial" w:hAnsi="Arial"/>
          <w:sz w:val="16"/>
          <w:szCs w:val="16"/>
          <w:color w:val="auto"/>
        </w:rPr>
      </w:pPr>
    </w:p>
    <w:p>
      <w:pPr>
        <w:ind w:left="1020" w:right="340" w:hanging="504"/>
        <w:spacing w:after="0" w:line="275"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expected timing, progress, or success of our clinical development programs, especially for PHVS416 and PHVS719, which are in mid-stage global clinical trials;</w:t>
      </w:r>
    </w:p>
    <w:p>
      <w:pPr>
        <w:spacing w:after="0" w:line="63" w:lineRule="exact"/>
        <w:rPr>
          <w:rFonts w:ascii="Arial" w:cs="Arial" w:eastAsia="Arial" w:hAnsi="Arial"/>
          <w:sz w:val="16"/>
          <w:szCs w:val="16"/>
          <w:color w:val="auto"/>
        </w:rPr>
      </w:pPr>
    </w:p>
    <w:p>
      <w:pPr>
        <w:ind w:left="1020" w:right="340" w:hanging="504"/>
        <w:spacing w:after="0" w:line="275"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timing of regulatory approvals and the value of our ordinary shares;</w:t>
      </w:r>
    </w:p>
    <w:p>
      <w:pPr>
        <w:spacing w:after="0" w:line="63" w:lineRule="exact"/>
        <w:rPr>
          <w:rFonts w:ascii="Arial" w:cs="Arial" w:eastAsia="Arial" w:hAnsi="Arial"/>
          <w:sz w:val="16"/>
          <w:szCs w:val="16"/>
          <w:color w:val="auto"/>
        </w:rPr>
      </w:pPr>
    </w:p>
    <w:p>
      <w:pPr>
        <w:ind w:left="1020" w:right="580" w:hanging="504"/>
        <w:spacing w:after="0" w:line="253"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expected timing and results of the rodent toxicology study and our ability to resolve any issues to the satisfaction of the FDA or any regulatory agency in a timely manner;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18" w:name="page19"/>
    <w:bookmarkEnd w:id="18"/>
    <w:p>
      <w:pPr>
        <w:ind w:left="1020" w:right="34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63" w:lineRule="exact"/>
        <w:rPr>
          <w:rFonts w:ascii="Arial" w:cs="Arial" w:eastAsia="Arial" w:hAnsi="Arial"/>
          <w:sz w:val="16"/>
          <w:szCs w:val="16"/>
          <w:color w:val="auto"/>
        </w:rPr>
      </w:pPr>
    </w:p>
    <w:p>
      <w:pPr>
        <w:ind w:left="1020" w:right="22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63"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6" w:lineRule="exact"/>
        <w:rPr>
          <w:rFonts w:ascii="Arial" w:cs="Arial" w:eastAsia="Arial" w:hAnsi="Arial"/>
          <w:sz w:val="16"/>
          <w:szCs w:val="16"/>
          <w:color w:val="auto"/>
        </w:rPr>
      </w:pPr>
    </w:p>
    <w:p>
      <w:pPr>
        <w:ind w:left="102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63"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disruptions at the FDA and other government agencies;</w:t>
      </w:r>
    </w:p>
    <w:p>
      <w:pPr>
        <w:spacing w:after="0" w:line="126" w:lineRule="exact"/>
        <w:rPr>
          <w:rFonts w:ascii="Arial" w:cs="Arial" w:eastAsia="Arial" w:hAnsi="Arial"/>
          <w:sz w:val="16"/>
          <w:szCs w:val="16"/>
          <w:color w:val="auto"/>
        </w:rPr>
      </w:pPr>
    </w:p>
    <w:p>
      <w:pPr>
        <w:ind w:left="1020" w:right="18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63"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raise capital when needed and on acceptable terms;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outcome and timing of price negotiations with governmental authorities;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compete in the pharmaceutical industry and with competitive generic products;</w:t>
      </w:r>
    </w:p>
    <w:p>
      <w:pPr>
        <w:spacing w:after="0" w:line="126" w:lineRule="exact"/>
        <w:rPr>
          <w:rFonts w:ascii="Arial" w:cs="Arial" w:eastAsia="Arial" w:hAnsi="Arial"/>
          <w:sz w:val="16"/>
          <w:szCs w:val="16"/>
          <w:color w:val="auto"/>
        </w:rPr>
      </w:pPr>
    </w:p>
    <w:p>
      <w:pPr>
        <w:ind w:left="1020" w:right="50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63"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6" w:lineRule="exact"/>
        <w:rPr>
          <w:rFonts w:ascii="Arial" w:cs="Arial" w:eastAsia="Arial" w:hAnsi="Arial"/>
          <w:sz w:val="16"/>
          <w:szCs w:val="16"/>
          <w:color w:val="auto"/>
        </w:rPr>
      </w:pPr>
    </w:p>
    <w:p>
      <w:pPr>
        <w:ind w:left="102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63"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loss of any of our key personnel;</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estimates of market sizes and anticipated uses of our product candidates;</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estimates of future performance;</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6" w:lineRule="exact"/>
        <w:rPr>
          <w:rFonts w:ascii="Arial" w:cs="Arial" w:eastAsia="Arial" w:hAnsi="Arial"/>
          <w:sz w:val="16"/>
          <w:szCs w:val="16"/>
          <w:color w:val="auto"/>
        </w:rPr>
      </w:pPr>
    </w:p>
    <w:p>
      <w:pPr>
        <w:ind w:left="1020" w:hanging="504"/>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6" w:lineRule="exact"/>
        <w:rPr>
          <w:rFonts w:ascii="Arial" w:cs="Arial" w:eastAsia="Arial" w:hAnsi="Arial"/>
          <w:sz w:val="16"/>
          <w:szCs w:val="16"/>
          <w:color w:val="auto"/>
        </w:rPr>
      </w:pPr>
    </w:p>
    <w:p>
      <w:pPr>
        <w:ind w:left="102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63" w:lineRule="exact"/>
        <w:rPr>
          <w:rFonts w:ascii="Arial" w:cs="Arial" w:eastAsia="Arial" w:hAnsi="Arial"/>
          <w:sz w:val="16"/>
          <w:szCs w:val="16"/>
          <w:color w:val="auto"/>
        </w:rPr>
      </w:pPr>
    </w:p>
    <w:p>
      <w:pPr>
        <w:ind w:left="1020" w:right="4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or a foreign private issuer, and</w:t>
      </w:r>
    </w:p>
    <w:p>
      <w:pPr>
        <w:spacing w:after="0" w:line="63" w:lineRule="exact"/>
        <w:rPr>
          <w:rFonts w:ascii="Arial" w:cs="Arial" w:eastAsia="Arial" w:hAnsi="Arial"/>
          <w:sz w:val="16"/>
          <w:szCs w:val="16"/>
          <w:color w:val="auto"/>
        </w:rPr>
      </w:pPr>
    </w:p>
    <w:p>
      <w:pPr>
        <w:ind w:left="1020" w:right="320" w:hanging="504"/>
        <w:spacing w:after="0" w:line="275"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and uncertainty in general market, political and economic conditions, including as a result of inflation, the current conflict between Russia and Ukraine and the Hamas attack against Israel and the ensuing war.</w:t>
      </w:r>
    </w:p>
    <w:p>
      <w:pPr>
        <w:spacing w:after="0" w:line="333" w:lineRule="exact"/>
        <w:rPr>
          <w:sz w:val="20"/>
          <w:szCs w:val="20"/>
          <w:color w:val="auto"/>
        </w:rPr>
      </w:pPr>
    </w:p>
    <w:p>
      <w:pPr>
        <w:jc w:val="both"/>
        <w:ind w:right="100" w:firstLine="374"/>
        <w:spacing w:after="0" w:line="251" w:lineRule="auto"/>
        <w:rPr>
          <w:sz w:val="20"/>
          <w:szCs w:val="20"/>
          <w:color w:val="auto"/>
        </w:rPr>
      </w:pPr>
      <w:r>
        <w:rPr>
          <w:rFonts w:ascii="Arial" w:cs="Arial" w:eastAsia="Arial" w:hAnsi="Arial"/>
          <w:sz w:val="16"/>
          <w:szCs w:val="16"/>
          <w:color w:val="auto"/>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3" w:right="359" w:bottom="1440" w:gutter="0" w:footer="0" w:header="0"/>
        </w:sectPr>
      </w:pPr>
    </w:p>
    <w:bookmarkStart w:id="19" w:name="page20"/>
    <w:bookmarkEnd w:id="19"/>
    <w:p>
      <w:pPr>
        <w:spacing w:after="0" w:line="275" w:lineRule="auto"/>
        <w:rPr>
          <w:sz w:val="20"/>
          <w:szCs w:val="20"/>
          <w:color w:val="auto"/>
        </w:rPr>
      </w:pPr>
      <w:r>
        <w:rPr>
          <w:rFonts w:ascii="Arial" w:cs="Arial" w:eastAsia="Arial" w:hAnsi="Arial"/>
          <w:sz w:val="16"/>
          <w:szCs w:val="16"/>
          <w:color w:val="auto"/>
        </w:rPr>
        <w:t>management’s discussion and analysis will prove to be accurate. Furthermore, if our forward-looking statements prove to be inaccurate, the inaccuracy may be material.</w:t>
      </w:r>
    </w:p>
    <w:p>
      <w:pPr>
        <w:spacing w:after="0" w:line="131" w:lineRule="exact"/>
        <w:rPr>
          <w:sz w:val="20"/>
          <w:szCs w:val="20"/>
          <w:color w:val="auto"/>
        </w:rPr>
      </w:pPr>
    </w:p>
    <w:p>
      <w:pPr>
        <w:ind w:right="80" w:firstLine="374"/>
        <w:spacing w:after="0" w:line="275"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45" w:lineRule="exact"/>
        <w:rPr>
          <w:sz w:val="20"/>
          <w:szCs w:val="20"/>
          <w:color w:val="auto"/>
        </w:rPr>
      </w:pPr>
    </w:p>
    <w:p>
      <w:pPr>
        <w:ind w:right="380" w:firstLine="374"/>
        <w:spacing w:after="0" w:line="275"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31" w:lineRule="exact"/>
        <w:rPr>
          <w:sz w:val="20"/>
          <w:szCs w:val="20"/>
          <w:color w:val="auto"/>
        </w:rPr>
      </w:pPr>
    </w:p>
    <w:p>
      <w:pPr>
        <w:ind w:right="20" w:firstLine="374"/>
        <w:spacing w:after="0" w:line="253"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5"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99.3</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As of and for the three and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Contents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Loss and Other Comprehensive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3</w:t>
            </w:r>
          </w:p>
        </w:tc>
      </w:tr>
      <w:tr>
        <w:trPr>
          <w:trHeight w:val="465"/>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4</w:t>
            </w:r>
          </w:p>
        </w:tc>
      </w:tr>
      <w:tr>
        <w:trPr>
          <w:trHeight w:val="465"/>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5</w:t>
            </w:r>
          </w:p>
        </w:tc>
      </w:tr>
      <w:tr>
        <w:trPr>
          <w:trHeight w:val="465"/>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6</w:t>
            </w:r>
          </w:p>
        </w:tc>
      </w:tr>
      <w:tr>
        <w:trPr>
          <w:trHeight w:val="465"/>
        </w:trPr>
        <w:tc>
          <w:tcPr>
            <w:tcW w:w="1112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4" w:right="3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Unaudited condensed consolidated statements of loss and other comprehensive loss</w:t>
      </w: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gridSpan w:val="4"/>
          </w:tcPr>
          <w:p>
            <w:pPr>
              <w:jc w:val="right"/>
              <w:ind w:right="500"/>
              <w:spacing w:after="0"/>
              <w:rPr>
                <w:sz w:val="20"/>
                <w:szCs w:val="20"/>
                <w:color w:val="auto"/>
              </w:rPr>
            </w:pPr>
            <w:r>
              <w:rPr>
                <w:rFonts w:ascii="Arial" w:cs="Arial" w:eastAsia="Arial" w:hAnsi="Arial"/>
                <w:sz w:val="16"/>
                <w:szCs w:val="16"/>
                <w:color w:val="auto"/>
              </w:rPr>
              <w:t>Three months ended September 30,</w:t>
            </w:r>
          </w:p>
        </w:tc>
        <w:tc>
          <w:tcPr>
            <w:tcW w:w="2980" w:type="dxa"/>
            <w:vAlign w:val="bottom"/>
            <w:gridSpan w:val="4"/>
          </w:tcPr>
          <w:p>
            <w:pPr>
              <w:jc w:val="right"/>
              <w:ind w:right="440"/>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242"/>
        </w:trPr>
        <w:tc>
          <w:tcPr>
            <w:tcW w:w="4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1"/>
                <w:szCs w:val="21"/>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19"/>
                <w:szCs w:val="19"/>
                <w:color w:val="auto"/>
              </w:rPr>
            </w:pPr>
          </w:p>
        </w:tc>
        <w:tc>
          <w:tcPr>
            <w:tcW w:w="480" w:type="dxa"/>
            <w:vAlign w:val="bottom"/>
          </w:tcPr>
          <w:p>
            <w:pPr>
              <w:jc w:val="center"/>
              <w:ind w:left="19"/>
              <w:spacing w:after="0"/>
              <w:rPr>
                <w:sz w:val="20"/>
                <w:szCs w:val="20"/>
                <w:color w:val="auto"/>
              </w:rPr>
            </w:pPr>
            <w:r>
              <w:rPr>
                <w:rFonts w:ascii="Arial" w:cs="Arial" w:eastAsia="Arial" w:hAnsi="Arial"/>
                <w:sz w:val="16"/>
                <w:szCs w:val="16"/>
                <w:color w:val="auto"/>
                <w:w w:val="90"/>
              </w:rPr>
              <w:t>Notes</w:t>
            </w:r>
          </w:p>
        </w:tc>
        <w:tc>
          <w:tcPr>
            <w:tcW w:w="240" w:type="dxa"/>
            <w:vAlign w:val="bottom"/>
          </w:tcPr>
          <w:p>
            <w:pPr>
              <w:spacing w:after="0"/>
              <w:rPr>
                <w:sz w:val="19"/>
                <w:szCs w:val="19"/>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3</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(18,535,782 )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(14,088,845 )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(46,962,148 )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(41,324,971 )</w:t>
            </w:r>
          </w:p>
        </w:tc>
        <w:tc>
          <w:tcPr>
            <w:tcW w:w="0" w:type="dxa"/>
            <w:vAlign w:val="bottom"/>
          </w:tcPr>
          <w:p>
            <w:pPr>
              <w:spacing w:after="0"/>
              <w:rPr>
                <w:sz w:val="1"/>
                <w:szCs w:val="1"/>
                <w:color w:val="auto"/>
              </w:rPr>
            </w:pPr>
          </w:p>
        </w:tc>
      </w:tr>
      <w:tr>
        <w:trPr>
          <w:trHeight w:val="226"/>
        </w:trPr>
        <w:tc>
          <w:tcPr>
            <w:tcW w:w="42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48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4</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(7,665,484 )</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color w:val="auto"/>
              </w:rPr>
              <w:t>(8,297,822 )</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(22,770,510 )</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(21,822,960 )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(26,201,266 )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(22,386,667 )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(69,732,658 )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(63,147,931 )</w:t>
            </w:r>
          </w:p>
        </w:tc>
        <w:tc>
          <w:tcPr>
            <w:tcW w:w="0" w:type="dxa"/>
            <w:vAlign w:val="bottom"/>
          </w:tcPr>
          <w:p>
            <w:pPr>
              <w:spacing w:after="0"/>
              <w:rPr>
                <w:sz w:val="1"/>
                <w:szCs w:val="1"/>
                <w:color w:val="auto"/>
              </w:rPr>
            </w:pPr>
          </w:p>
        </w:tc>
      </w:tr>
      <w:tr>
        <w:trPr>
          <w:trHeight w:val="226"/>
        </w:trPr>
        <w:tc>
          <w:tcPr>
            <w:tcW w:w="426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Finance income/(expense)</w:t>
            </w:r>
          </w:p>
        </w:tc>
        <w:tc>
          <w:tcPr>
            <w:tcW w:w="48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jc w:val="right"/>
              <w:ind w:right="84"/>
              <w:spacing w:after="0"/>
              <w:rPr>
                <w:sz w:val="20"/>
                <w:szCs w:val="20"/>
                <w:color w:val="auto"/>
              </w:rPr>
            </w:pPr>
            <w:r>
              <w:rPr>
                <w:rFonts w:ascii="Arial" w:cs="Arial" w:eastAsia="Arial" w:hAnsi="Arial"/>
                <w:sz w:val="15"/>
                <w:szCs w:val="15"/>
                <w:color w:val="auto"/>
                <w:w w:val="71"/>
              </w:rPr>
              <w:t>6</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2,748,943</w:t>
            </w:r>
          </w:p>
        </w:tc>
        <w:tc>
          <w:tcPr>
            <w:tcW w:w="120" w:type="dxa"/>
            <w:vAlign w:val="bottom"/>
            <w:tcBorders>
              <w:top w:val="single" w:sz="8" w:color="CFF0FC"/>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11,494,934</w:t>
            </w:r>
          </w:p>
        </w:tc>
        <w:tc>
          <w:tcPr>
            <w:tcW w:w="120" w:type="dxa"/>
            <w:vAlign w:val="bottom"/>
            <w:tcBorders>
              <w:top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1,906,348</w:t>
            </w:r>
          </w:p>
        </w:tc>
        <w:tc>
          <w:tcPr>
            <w:tcW w:w="120" w:type="dxa"/>
            <w:vAlign w:val="bottom"/>
            <w:tcBorders>
              <w:top w:val="single" w:sz="8" w:color="CFF0FC"/>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26,387,917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(23,452,323 )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(10,891,733 )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(67,826,310 )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(36,760,014 )</w:t>
            </w:r>
          </w:p>
        </w:tc>
        <w:tc>
          <w:tcPr>
            <w:tcW w:w="0" w:type="dxa"/>
            <w:vAlign w:val="bottom"/>
          </w:tcPr>
          <w:p>
            <w:pPr>
              <w:spacing w:after="0"/>
              <w:rPr>
                <w:sz w:val="1"/>
                <w:szCs w:val="1"/>
                <w:color w:val="auto"/>
              </w:rPr>
            </w:pPr>
          </w:p>
        </w:tc>
      </w:tr>
      <w:tr>
        <w:trPr>
          <w:trHeight w:val="23"/>
        </w:trPr>
        <w:tc>
          <w:tcPr>
            <w:tcW w:w="426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60" w:type="dxa"/>
            <w:vAlign w:val="bottom"/>
          </w:tcPr>
          <w:p>
            <w:pPr>
              <w:spacing w:after="0"/>
              <w:rPr>
                <w:sz w:val="20"/>
                <w:szCs w:val="20"/>
                <w:color w:val="auto"/>
              </w:rPr>
            </w:pPr>
            <w:r>
              <w:rPr>
                <w:rFonts w:ascii="Arial" w:cs="Arial" w:eastAsia="Arial" w:hAnsi="Arial"/>
                <w:sz w:val="16"/>
                <w:szCs w:val="16"/>
                <w:color w:val="auto"/>
              </w:rPr>
              <w:t>Income taxes</w:t>
            </w:r>
          </w:p>
        </w:tc>
        <w:tc>
          <w:tcPr>
            <w:tcW w:w="48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7</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(146,273 </w:t>
            </w:r>
            <w:r>
              <w:rPr>
                <w:rFonts w:ascii="Arial" w:cs="Arial" w:eastAsia="Arial" w:hAnsi="Arial"/>
                <w:sz w:val="16"/>
                <w:szCs w:val="16"/>
                <w:color w:val="auto"/>
                <w:highlight w:val="white"/>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2,403,929</w:t>
            </w: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(301,108 </w:t>
            </w:r>
            <w:r>
              <w:rPr>
                <w:rFonts w:ascii="Arial" w:cs="Arial" w:eastAsia="Arial" w:hAnsi="Arial"/>
                <w:sz w:val="16"/>
                <w:szCs w:val="16"/>
                <w:color w:val="auto"/>
                <w:highlight w:val="white"/>
              </w:rPr>
              <w:t>)</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(375,888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w:t>
            </w:r>
          </w:p>
        </w:tc>
        <w:tc>
          <w:tcPr>
            <w:tcW w:w="4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(23,598,596 )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(8,487,804 )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(68,127,418 )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(37,135,902 )</w:t>
            </w:r>
          </w:p>
        </w:tc>
        <w:tc>
          <w:tcPr>
            <w:tcW w:w="0" w:type="dxa"/>
            <w:vAlign w:val="bottom"/>
          </w:tcPr>
          <w:p>
            <w:pPr>
              <w:spacing w:after="0"/>
              <w:rPr>
                <w:sz w:val="1"/>
                <w:szCs w:val="1"/>
                <w:color w:val="auto"/>
              </w:rPr>
            </w:pPr>
          </w:p>
        </w:tc>
      </w:tr>
      <w:tr>
        <w:trPr>
          <w:trHeight w:val="207"/>
        </w:trPr>
        <w:tc>
          <w:tcPr>
            <w:tcW w:w="426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4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Exchange gains/(losses) arising on translation of foreign</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(2,623 )</w:t>
            </w: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208,615</w:t>
            </w:r>
          </w:p>
        </w:tc>
        <w:tc>
          <w:tcPr>
            <w:tcW w:w="120" w:type="dxa"/>
            <w:vAlign w:val="bottom"/>
            <w:shd w:val="clear" w:color="auto" w:fill="CFF0FC"/>
          </w:tcPr>
          <w:p>
            <w:pPr>
              <w:spacing w:after="0"/>
              <w:rPr>
                <w:sz w:val="18"/>
                <w:szCs w:val="18"/>
                <w:color w:val="auto"/>
              </w:rPr>
            </w:pPr>
          </w:p>
        </w:tc>
        <w:tc>
          <w:tcPr>
            <w:tcW w:w="14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(31,508 )</w:t>
            </w: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128,204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operations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6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Total comprehensive loss attributable to:</w:t>
            </w:r>
          </w:p>
        </w:tc>
        <w:tc>
          <w:tcPr>
            <w:tcW w:w="4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Equity holders of the Company</w:t>
            </w:r>
          </w:p>
        </w:tc>
        <w:tc>
          <w:tcPr>
            <w:tcW w:w="4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(23,601,219 )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(8,279,189 )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(68,158,926 )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(37,007,698 )</w:t>
            </w:r>
          </w:p>
        </w:tc>
        <w:tc>
          <w:tcPr>
            <w:tcW w:w="0" w:type="dxa"/>
            <w:vAlign w:val="bottom"/>
          </w:tcPr>
          <w:p>
            <w:pPr>
              <w:spacing w:after="0"/>
              <w:rPr>
                <w:sz w:val="1"/>
                <w:szCs w:val="1"/>
                <w:color w:val="auto"/>
              </w:rPr>
            </w:pPr>
          </w:p>
        </w:tc>
      </w:tr>
      <w:tr>
        <w:trPr>
          <w:trHeight w:val="193"/>
        </w:trPr>
        <w:tc>
          <w:tcPr>
            <w:tcW w:w="4260" w:type="dxa"/>
            <w:vAlign w:val="bottom"/>
            <w:tcBorders>
              <w:top w:val="single" w:sz="8" w:color="CFF0FC"/>
            </w:tcBorders>
          </w:tcPr>
          <w:p>
            <w:pPr>
              <w:spacing w:after="0"/>
              <w:rPr>
                <w:sz w:val="20"/>
                <w:szCs w:val="20"/>
                <w:color w:val="auto"/>
              </w:rPr>
            </w:pPr>
            <w:r>
              <w:rPr>
                <w:rFonts w:ascii="Arial" w:cs="Arial" w:eastAsia="Arial" w:hAnsi="Arial"/>
                <w:sz w:val="16"/>
                <w:szCs w:val="16"/>
                <w:color w:val="auto"/>
                <w:w w:val="93"/>
              </w:rPr>
              <w:t>Loss per share attributable to the equity holders of the Company</w:t>
            </w:r>
          </w:p>
        </w:tc>
        <w:tc>
          <w:tcPr>
            <w:tcW w:w="48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6"/>
                <w:szCs w:val="16"/>
                <w:color w:val="auto"/>
              </w:rPr>
              <w:t>during the periods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(0.58 )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(0.25 )</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(1.87 )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-1797685</wp:posOffset>
            </wp:positionV>
            <wp:extent cx="7683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-1797685</wp:posOffset>
            </wp:positionV>
            <wp:extent cx="6858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-1797685</wp:posOffset>
            </wp:positionV>
            <wp:extent cx="6858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-1797685</wp:posOffset>
            </wp:positionV>
            <wp:extent cx="6858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-1489075</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-1181100</wp:posOffset>
            </wp:positionV>
            <wp:extent cx="29622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6227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-761365</wp:posOffset>
            </wp:positionV>
            <wp:extent cx="29622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62275" cy="17145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-444500</wp:posOffset>
            </wp:positionV>
            <wp:extent cx="2962275" cy="299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62275" cy="299720"/>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Unaudited condensed consolidated statements of financial position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6"/>
                <w:szCs w:val="16"/>
                <w:color w:val="auto"/>
              </w:rPr>
              <w:t>September 30,</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December 31,</w:t>
            </w:r>
          </w:p>
        </w:tc>
      </w:tr>
      <w:tr>
        <w:trPr>
          <w:trHeight w:val="219"/>
        </w:trPr>
        <w:tc>
          <w:tcPr>
            <w:tcW w:w="7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9"/>
                <w:szCs w:val="19"/>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7680" w:type="dxa"/>
            <w:vAlign w:val="bottom"/>
          </w:tcPr>
          <w:p>
            <w:pPr>
              <w:ind w:left="7240"/>
              <w:spacing w:after="0"/>
              <w:rPr>
                <w:sz w:val="20"/>
                <w:szCs w:val="20"/>
                <w:color w:val="auto"/>
              </w:rPr>
            </w:pPr>
            <w:r>
              <w:rPr>
                <w:rFonts w:ascii="Arial" w:cs="Arial" w:eastAsia="Arial" w:hAnsi="Arial"/>
                <w:sz w:val="16"/>
                <w:szCs w:val="16"/>
                <w:color w:val="auto"/>
              </w:rPr>
              <w:t>Notes</w:t>
            </w:r>
          </w:p>
        </w:tc>
        <w:tc>
          <w:tcPr>
            <w:tcW w:w="50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5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211,969</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9</w:t>
            </w:r>
          </w:p>
        </w:tc>
        <w:tc>
          <w:tcPr>
            <w:tcW w:w="1360" w:type="dxa"/>
            <w:vAlign w:val="bottom"/>
          </w:tcPr>
          <w:p>
            <w:pPr>
              <w:jc w:val="right"/>
              <w:spacing w:after="0"/>
              <w:rPr>
                <w:sz w:val="20"/>
                <w:szCs w:val="20"/>
                <w:color w:val="auto"/>
              </w:rPr>
            </w:pPr>
            <w:r>
              <w:rPr>
                <w:rFonts w:ascii="Arial" w:cs="Arial" w:eastAsia="Arial" w:hAnsi="Arial"/>
                <w:sz w:val="16"/>
                <w:szCs w:val="16"/>
                <w:color w:val="auto"/>
              </w:rPr>
              <w:t>283,988</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432,965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302,650</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259,803</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Receivables</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308,845</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11</w:t>
            </w:r>
          </w:p>
        </w:tc>
        <w:tc>
          <w:tcPr>
            <w:tcW w:w="1360" w:type="dxa"/>
            <w:vAlign w:val="bottom"/>
          </w:tcPr>
          <w:p>
            <w:pPr>
              <w:jc w:val="right"/>
              <w:spacing w:after="0"/>
              <w:rPr>
                <w:sz w:val="20"/>
                <w:szCs w:val="20"/>
                <w:color w:val="auto"/>
              </w:rPr>
            </w:pPr>
            <w:r>
              <w:rPr>
                <w:rFonts w:ascii="Arial" w:cs="Arial" w:eastAsia="Arial" w:hAnsi="Arial"/>
                <w:sz w:val="16"/>
                <w:szCs w:val="16"/>
                <w:color w:val="auto"/>
              </w:rPr>
              <w:t>9,852,089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4,626,844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158,358,730</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161,837,429</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Current tax receivable</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21,154</w:t>
            </w: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50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169,339,425</w:t>
            </w:r>
          </w:p>
        </w:tc>
        <w:tc>
          <w:tcPr>
            <w:tcW w:w="28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167,732,983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6"/>
        </w:trPr>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 and liabilities</w:t>
            </w: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capital</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13</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4,918,041</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4,057,976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Share premium</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354,631,449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289,177,197</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reserves</w:t>
            </w:r>
          </w:p>
        </w:tc>
        <w:tc>
          <w:tcPr>
            <w:tcW w:w="5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26,180,298</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20,169,459</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Currency translation reserve</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11,782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43,290</w:t>
            </w:r>
          </w:p>
        </w:tc>
        <w:tc>
          <w:tcPr>
            <w:tcW w:w="100" w:type="dxa"/>
            <w:vAlign w:val="bottom"/>
          </w:tcPr>
          <w:p>
            <w:pPr>
              <w:spacing w:after="0"/>
              <w:rPr>
                <w:sz w:val="19"/>
                <w:szCs w:val="19"/>
                <w:color w:val="auto"/>
              </w:rPr>
            </w:pPr>
          </w:p>
        </w:tc>
      </w:tr>
      <w:tr>
        <w:trPr>
          <w:trHeight w:val="232"/>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Accumulated loss</w:t>
            </w:r>
          </w:p>
        </w:tc>
        <w:tc>
          <w:tcPr>
            <w:tcW w:w="5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(232,612,994 )</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(164,188,892 )</w:t>
            </w: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00" w:type="dxa"/>
            <w:vAlign w:val="bottom"/>
            <w:tcBorders>
              <w:top w:val="single" w:sz="8" w:color="CFF0FC"/>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153,128,576</w:t>
            </w:r>
          </w:p>
        </w:tc>
        <w:tc>
          <w:tcPr>
            <w:tcW w:w="280" w:type="dxa"/>
            <w:vAlign w:val="bottom"/>
            <w:tcBorders>
              <w:top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149,259,030</w:t>
            </w:r>
          </w:p>
        </w:tc>
        <w:tc>
          <w:tcPr>
            <w:tcW w:w="100" w:type="dxa"/>
            <w:vAlign w:val="bottom"/>
            <w:tcBorders>
              <w:top w:val="single" w:sz="8" w:color="CFF0FC"/>
            </w:tcBorders>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Long term liabilities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Non-current lease liability</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96,007</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249,418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14</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4,434,246</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15</w:t>
            </w:r>
          </w:p>
        </w:tc>
        <w:tc>
          <w:tcPr>
            <w:tcW w:w="1360" w:type="dxa"/>
            <w:vAlign w:val="bottom"/>
          </w:tcPr>
          <w:p>
            <w:pPr>
              <w:jc w:val="right"/>
              <w:spacing w:after="0"/>
              <w:rPr>
                <w:sz w:val="20"/>
                <w:szCs w:val="20"/>
                <w:color w:val="auto"/>
              </w:rPr>
            </w:pPr>
            <w:r>
              <w:rPr>
                <w:rFonts w:ascii="Arial" w:cs="Arial" w:eastAsia="Arial" w:hAnsi="Arial"/>
                <w:sz w:val="16"/>
                <w:szCs w:val="16"/>
                <w:color w:val="auto"/>
              </w:rPr>
              <w:t>11,485,255</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lease liability</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195,341</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187,404</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Current tax payable</w:t>
            </w:r>
          </w:p>
        </w:tc>
        <w:tc>
          <w:tcPr>
            <w:tcW w:w="5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461,302</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w:t>
            </w:r>
          </w:p>
        </w:tc>
        <w:tc>
          <w:tcPr>
            <w:tcW w:w="5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16,210,849</w:t>
            </w: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18,473,953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equity and liabilities</w:t>
            </w:r>
          </w:p>
        </w:tc>
        <w:tc>
          <w:tcPr>
            <w:tcW w:w="5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169,339,425</w:t>
            </w:r>
          </w:p>
        </w:tc>
        <w:tc>
          <w:tcPr>
            <w:tcW w:w="2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167,732,983</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-2867660</wp:posOffset>
            </wp:positionV>
            <wp:extent cx="107886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7886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-1677670</wp:posOffset>
            </wp:positionV>
            <wp:extent cx="685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-179070</wp:posOffset>
            </wp:positionV>
            <wp:extent cx="685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2023 and September 30, 2022</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Currency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4"/>
              </w:rPr>
              <w:t>Share</w:t>
            </w:r>
          </w:p>
        </w:tc>
        <w:tc>
          <w:tcPr>
            <w:tcW w:w="2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Share</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Other</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Total</w:t>
            </w:r>
          </w:p>
        </w:tc>
      </w:tr>
      <w:tr>
        <w:trPr>
          <w:trHeight w:val="219"/>
        </w:trPr>
        <w:tc>
          <w:tcPr>
            <w:tcW w:w="2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capital</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premium</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4"/>
              </w:rPr>
              <w:t>reserves</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reserve</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3"/>
              </w:rPr>
              <w:t>losses</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Equity</w:t>
            </w:r>
          </w:p>
        </w:tc>
        <w:tc>
          <w:tcPr>
            <w:tcW w:w="100" w:type="dxa"/>
            <w:vAlign w:val="bottom"/>
          </w:tcPr>
          <w:p>
            <w:pPr>
              <w:spacing w:after="0"/>
              <w:rPr>
                <w:sz w:val="19"/>
                <w:szCs w:val="19"/>
                <w:color w:val="auto"/>
              </w:rPr>
            </w:pPr>
          </w:p>
        </w:tc>
      </w:tr>
      <w:tr>
        <w:trPr>
          <w:trHeight w:val="220"/>
        </w:trPr>
        <w:tc>
          <w:tcPr>
            <w:tcW w:w="2740" w:type="dxa"/>
            <w:vAlign w:val="bottom"/>
          </w:tcPr>
          <w:p>
            <w:pPr>
              <w:spacing w:after="0"/>
              <w:rPr>
                <w:sz w:val="19"/>
                <w:szCs w:val="19"/>
                <w:color w:val="auto"/>
              </w:rPr>
            </w:pP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Notes</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r>
      <w:tr>
        <w:trPr>
          <w:trHeight w:val="23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3,978,226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278,742,900</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9,774,416</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25,928</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(87,568,401 )</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204,953,069</w:t>
            </w:r>
          </w:p>
        </w:tc>
        <w:tc>
          <w:tcPr>
            <w:tcW w:w="100" w:type="dxa"/>
            <w:vAlign w:val="bottom"/>
            <w:shd w:val="clear" w:color="auto" w:fill="CFF0FC"/>
          </w:tcPr>
          <w:p>
            <w:pPr>
              <w:spacing w:after="0"/>
              <w:rPr>
                <w:sz w:val="20"/>
                <w:szCs w:val="20"/>
                <w:color w:val="auto"/>
              </w:rPr>
            </w:pPr>
          </w:p>
        </w:tc>
      </w:tr>
      <w:tr>
        <w:trPr>
          <w:trHeight w:val="220"/>
        </w:trPr>
        <w:tc>
          <w:tcPr>
            <w:tcW w:w="2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(37,135,902 )</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(37,135,902 )</w:t>
            </w:r>
          </w:p>
        </w:tc>
      </w:tr>
      <w:tr>
        <w:trPr>
          <w:trHeight w:val="23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Issue of share capital</w:t>
            </w:r>
          </w:p>
        </w:tc>
        <w:tc>
          <w:tcPr>
            <w:tcW w:w="11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70,572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9,464,901</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9,535,473</w:t>
            </w:r>
          </w:p>
        </w:tc>
        <w:tc>
          <w:tcPr>
            <w:tcW w:w="100" w:type="dxa"/>
            <w:vAlign w:val="bottom"/>
            <w:shd w:val="clear" w:color="auto" w:fill="CFF0FC"/>
          </w:tcPr>
          <w:p>
            <w:pPr>
              <w:spacing w:after="0"/>
              <w:rPr>
                <w:sz w:val="20"/>
                <w:szCs w:val="20"/>
                <w:color w:val="auto"/>
              </w:rPr>
            </w:pPr>
          </w:p>
        </w:tc>
      </w:tr>
      <w:tr>
        <w:trPr>
          <w:trHeight w:val="220"/>
        </w:trPr>
        <w:tc>
          <w:tcPr>
            <w:tcW w:w="2740" w:type="dxa"/>
            <w:vAlign w:val="bottom"/>
          </w:tcPr>
          <w:p>
            <w:pPr>
              <w:ind w:left="20"/>
              <w:spacing w:after="0"/>
              <w:rPr>
                <w:sz w:val="20"/>
                <w:szCs w:val="20"/>
                <w:color w:val="auto"/>
              </w:rPr>
            </w:pPr>
            <w:r>
              <w:rPr>
                <w:rFonts w:ascii="Arial" w:cs="Arial" w:eastAsia="Arial" w:hAnsi="Arial"/>
                <w:sz w:val="16"/>
                <w:szCs w:val="16"/>
                <w:color w:val="auto"/>
              </w:rPr>
              <w:t>Transaction costs on issue of shares</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(307,710 )</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(307,710 )</w:t>
            </w:r>
          </w:p>
        </w:tc>
      </w:tr>
      <w:tr>
        <w:trPr>
          <w:trHeight w:val="23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translation reserve</w:t>
            </w:r>
          </w:p>
        </w:tc>
        <w:tc>
          <w:tcPr>
            <w:tcW w:w="1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128,204</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128,204</w:t>
            </w:r>
          </w:p>
        </w:tc>
        <w:tc>
          <w:tcPr>
            <w:tcW w:w="100" w:type="dxa"/>
            <w:vAlign w:val="bottom"/>
            <w:shd w:val="clear" w:color="auto" w:fill="CFF0FC"/>
          </w:tcPr>
          <w:p>
            <w:pPr>
              <w:spacing w:after="0"/>
              <w:rPr>
                <w:sz w:val="20"/>
                <w:szCs w:val="20"/>
                <w:color w:val="auto"/>
              </w:rPr>
            </w:pPr>
          </w:p>
        </w:tc>
      </w:tr>
      <w:tr>
        <w:trPr>
          <w:trHeight w:val="220"/>
        </w:trPr>
        <w:tc>
          <w:tcPr>
            <w:tcW w:w="2740" w:type="dxa"/>
            <w:vAlign w:val="bottom"/>
          </w:tcPr>
          <w:p>
            <w:pPr>
              <w:ind w:left="20"/>
              <w:spacing w:after="0"/>
              <w:rPr>
                <w:sz w:val="20"/>
                <w:szCs w:val="20"/>
                <w:color w:val="auto"/>
              </w:rPr>
            </w:pPr>
            <w:r>
              <w:rPr>
                <w:rFonts w:ascii="Arial" w:cs="Arial" w:eastAsia="Arial" w:hAnsi="Arial"/>
                <w:sz w:val="16"/>
                <w:szCs w:val="16"/>
                <w:color w:val="auto"/>
              </w:rPr>
              <w:t>Share-based payments</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18</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8,133,588</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8,133,588</w:t>
            </w:r>
          </w:p>
        </w:tc>
        <w:tc>
          <w:tcPr>
            <w:tcW w:w="100" w:type="dxa"/>
            <w:vAlign w:val="bottom"/>
          </w:tcPr>
          <w:p>
            <w:pPr>
              <w:spacing w:after="0"/>
              <w:rPr>
                <w:sz w:val="19"/>
                <w:szCs w:val="19"/>
                <w:color w:val="auto"/>
              </w:rPr>
            </w:pPr>
          </w:p>
        </w:tc>
      </w:tr>
      <w:tr>
        <w:trPr>
          <w:trHeight w:val="22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Settlement of share-based payments</w:t>
            </w:r>
          </w:p>
        </w:tc>
        <w:tc>
          <w:tcPr>
            <w:tcW w:w="1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5,731</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561,481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(492,821 )</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(209,636 )</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(135,245 )</w:t>
            </w:r>
          </w:p>
        </w:tc>
      </w:tr>
      <w:tr>
        <w:trPr>
          <w:trHeight w:val="23"/>
        </w:trPr>
        <w:tc>
          <w:tcPr>
            <w:tcW w:w="274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4,054,529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288,461,572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17,415,183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154,132</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(124,913,939 )</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185,171,477</w:t>
            </w:r>
          </w:p>
        </w:tc>
        <w:tc>
          <w:tcPr>
            <w:tcW w:w="10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January 1, 2023</w:t>
            </w: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4,057,976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289,177,197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20,169,459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43,290</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(164,188,892 )</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149,259,030</w:t>
            </w:r>
          </w:p>
        </w:tc>
        <w:tc>
          <w:tcPr>
            <w:tcW w:w="100" w:type="dxa"/>
            <w:vAlign w:val="bottom"/>
            <w:shd w:val="clear" w:color="auto" w:fill="CFF0FC"/>
          </w:tcPr>
          <w:p>
            <w:pPr>
              <w:spacing w:after="0"/>
              <w:rPr>
                <w:sz w:val="18"/>
                <w:szCs w:val="18"/>
                <w:color w:val="auto"/>
              </w:rPr>
            </w:pPr>
          </w:p>
        </w:tc>
      </w:tr>
      <w:tr>
        <w:trPr>
          <w:trHeight w:val="220"/>
        </w:trPr>
        <w:tc>
          <w:tcPr>
            <w:tcW w:w="2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(68,127,418 )</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(68,127,418 )</w:t>
            </w:r>
          </w:p>
        </w:tc>
      </w:tr>
      <w:tr>
        <w:trPr>
          <w:trHeight w:val="23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Issue of share capital</w:t>
            </w:r>
          </w:p>
        </w:tc>
        <w:tc>
          <w:tcPr>
            <w:tcW w:w="11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834,852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63,366,151</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64,201,003</w:t>
            </w:r>
          </w:p>
        </w:tc>
        <w:tc>
          <w:tcPr>
            <w:tcW w:w="100" w:type="dxa"/>
            <w:vAlign w:val="bottom"/>
            <w:shd w:val="clear" w:color="auto" w:fill="CFF0FC"/>
          </w:tcPr>
          <w:p>
            <w:pPr>
              <w:spacing w:after="0"/>
              <w:rPr>
                <w:sz w:val="20"/>
                <w:szCs w:val="20"/>
                <w:color w:val="auto"/>
              </w:rPr>
            </w:pPr>
          </w:p>
        </w:tc>
      </w:tr>
      <w:tr>
        <w:trPr>
          <w:trHeight w:val="220"/>
        </w:trPr>
        <w:tc>
          <w:tcPr>
            <w:tcW w:w="2740" w:type="dxa"/>
            <w:vAlign w:val="bottom"/>
          </w:tcPr>
          <w:p>
            <w:pPr>
              <w:ind w:left="20"/>
              <w:spacing w:after="0"/>
              <w:rPr>
                <w:sz w:val="20"/>
                <w:szCs w:val="20"/>
                <w:color w:val="auto"/>
              </w:rPr>
            </w:pPr>
            <w:r>
              <w:rPr>
                <w:rFonts w:ascii="Arial" w:cs="Arial" w:eastAsia="Arial" w:hAnsi="Arial"/>
                <w:sz w:val="16"/>
                <w:szCs w:val="16"/>
                <w:color w:val="auto"/>
              </w:rPr>
              <w:t>Transaction costs on issue of shares</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(372,654 )</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(372,654 )</w:t>
            </w:r>
          </w:p>
        </w:tc>
      </w:tr>
      <w:tr>
        <w:trPr>
          <w:trHeight w:val="23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translation reserve</w:t>
            </w:r>
          </w:p>
        </w:tc>
        <w:tc>
          <w:tcPr>
            <w:tcW w:w="1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(31,508 )</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(31,508 )</w:t>
            </w:r>
          </w:p>
        </w:tc>
      </w:tr>
      <w:tr>
        <w:trPr>
          <w:trHeight w:val="220"/>
        </w:trPr>
        <w:tc>
          <w:tcPr>
            <w:tcW w:w="2740" w:type="dxa"/>
            <w:vAlign w:val="bottom"/>
          </w:tcPr>
          <w:p>
            <w:pPr>
              <w:ind w:left="20"/>
              <w:spacing w:after="0"/>
              <w:rPr>
                <w:sz w:val="20"/>
                <w:szCs w:val="20"/>
                <w:color w:val="auto"/>
              </w:rPr>
            </w:pPr>
            <w:r>
              <w:rPr>
                <w:rFonts w:ascii="Arial" w:cs="Arial" w:eastAsia="Arial" w:hAnsi="Arial"/>
                <w:sz w:val="16"/>
                <w:szCs w:val="16"/>
                <w:color w:val="auto"/>
              </w:rPr>
              <w:t>Settlement of share-based payments</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25,213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2,460,755</w:t>
            </w: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(2,174,317 )</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(296,684 )</w:t>
            </w:r>
          </w:p>
        </w:tc>
        <w:tc>
          <w:tcPr>
            <w:tcW w:w="1040" w:type="dxa"/>
            <w:vAlign w:val="bottom"/>
          </w:tcPr>
          <w:p>
            <w:pPr>
              <w:jc w:val="right"/>
              <w:spacing w:after="0"/>
              <w:rPr>
                <w:sz w:val="20"/>
                <w:szCs w:val="20"/>
                <w:color w:val="auto"/>
              </w:rPr>
            </w:pPr>
            <w:r>
              <w:rPr>
                <w:rFonts w:ascii="Arial" w:cs="Arial" w:eastAsia="Arial" w:hAnsi="Arial"/>
                <w:sz w:val="16"/>
                <w:szCs w:val="16"/>
                <w:color w:val="auto"/>
              </w:rPr>
              <w:t>14,967</w:t>
            </w:r>
          </w:p>
        </w:tc>
        <w:tc>
          <w:tcPr>
            <w:tcW w:w="100" w:type="dxa"/>
            <w:vAlign w:val="bottom"/>
          </w:tcPr>
          <w:p>
            <w:pPr>
              <w:spacing w:after="0"/>
              <w:rPr>
                <w:sz w:val="19"/>
                <w:szCs w:val="19"/>
                <w:color w:val="auto"/>
              </w:rPr>
            </w:pPr>
          </w:p>
        </w:tc>
      </w:tr>
      <w:tr>
        <w:trPr>
          <w:trHeight w:val="232"/>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payments</w:t>
            </w:r>
          </w:p>
        </w:tc>
        <w:tc>
          <w:tcPr>
            <w:tcW w:w="11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8,185,156</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8,185,156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4,918,041</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354,631,449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26,180,298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11,782</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(232,612,994 )</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153,128,576</w:t>
            </w:r>
          </w:p>
        </w:tc>
        <w:tc>
          <w:tcPr>
            <w:tcW w:w="10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-1377950</wp:posOffset>
            </wp:positionV>
            <wp:extent cx="76835"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-1377950</wp:posOffset>
            </wp:positionV>
            <wp:extent cx="685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-1377950</wp:posOffset>
            </wp:positionV>
            <wp:extent cx="6858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-1377950</wp:posOffset>
            </wp:positionV>
            <wp:extent cx="6858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-1377950</wp:posOffset>
            </wp:positionV>
            <wp:extent cx="6858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-179070</wp:posOffset>
            </wp:positionV>
            <wp:extent cx="76835"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-179070</wp:posOffset>
            </wp:positionV>
            <wp:extent cx="6858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-179070</wp:posOffset>
            </wp:positionV>
            <wp:extent cx="6858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-179070</wp:posOffset>
            </wp:positionV>
            <wp:extent cx="6858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-179070</wp:posOffset>
            </wp:positionV>
            <wp:extent cx="6858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6340" w:type="dxa"/>
            <w:vAlign w:val="bottom"/>
          </w:tcPr>
          <w:p>
            <w:pPr>
              <w:spacing w:after="0"/>
              <w:rPr>
                <w:sz w:val="19"/>
                <w:szCs w:val="19"/>
                <w:color w:val="auto"/>
              </w:rPr>
            </w:pPr>
          </w:p>
        </w:tc>
        <w:tc>
          <w:tcPr>
            <w:tcW w:w="1700" w:type="dxa"/>
            <w:vAlign w:val="bottom"/>
          </w:tcPr>
          <w:p>
            <w:pPr>
              <w:ind w:left="860"/>
              <w:spacing w:after="0"/>
              <w:rPr>
                <w:sz w:val="20"/>
                <w:szCs w:val="20"/>
                <w:color w:val="auto"/>
              </w:rPr>
            </w:pPr>
            <w:r>
              <w:rPr>
                <w:rFonts w:ascii="Arial" w:cs="Arial" w:eastAsia="Arial" w:hAnsi="Arial"/>
                <w:sz w:val="16"/>
                <w:szCs w:val="16"/>
                <w:color w:val="auto"/>
              </w:rPr>
              <w:t>Notes</w:t>
            </w: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r>
      <w:tr>
        <w:trPr>
          <w:trHeight w:val="23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7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340" w:type="dxa"/>
            <w:vAlign w:val="bottom"/>
          </w:tcPr>
          <w:p>
            <w:pPr>
              <w:ind w:left="20"/>
              <w:spacing w:after="0"/>
              <w:rPr>
                <w:sz w:val="20"/>
                <w:szCs w:val="20"/>
                <w:color w:val="auto"/>
              </w:rPr>
            </w:pPr>
            <w:r>
              <w:rPr>
                <w:rFonts w:ascii="Arial" w:cs="Arial" w:eastAsia="Arial" w:hAnsi="Arial"/>
                <w:sz w:val="16"/>
                <w:szCs w:val="16"/>
                <w:color w:val="auto"/>
              </w:rPr>
              <w:t>Loss before tax</w:t>
            </w:r>
          </w:p>
        </w:tc>
        <w:tc>
          <w:tcPr>
            <w:tcW w:w="17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(67,826,310 )</w:t>
            </w: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(36,760,014 )</w:t>
            </w:r>
          </w:p>
        </w:tc>
      </w:tr>
      <w:tr>
        <w:trPr>
          <w:trHeight w:val="23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Non-cash adjustments to reconcile loss before tax to net cash flows from operations:</w:t>
            </w:r>
          </w:p>
        </w:tc>
        <w:tc>
          <w:tcPr>
            <w:tcW w:w="17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340" w:type="dxa"/>
            <w:vAlign w:val="bottom"/>
          </w:tcPr>
          <w:p>
            <w:pPr>
              <w:ind w:left="20"/>
              <w:spacing w:after="0"/>
              <w:rPr>
                <w:sz w:val="20"/>
                <w:szCs w:val="20"/>
                <w:color w:val="auto"/>
              </w:rPr>
            </w:pPr>
            <w:r>
              <w:rPr>
                <w:rFonts w:ascii="Arial" w:cs="Arial" w:eastAsia="Arial" w:hAnsi="Arial"/>
                <w:sz w:val="16"/>
                <w:szCs w:val="16"/>
                <w:color w:val="auto"/>
              </w:rPr>
              <w:t>Share-based payment expense</w:t>
            </w:r>
          </w:p>
        </w:tc>
        <w:tc>
          <w:tcPr>
            <w:tcW w:w="1700" w:type="dxa"/>
            <w:vAlign w:val="bottom"/>
          </w:tcPr>
          <w:p>
            <w:pPr>
              <w:jc w:val="center"/>
              <w:ind w:left="339"/>
              <w:spacing w:after="0"/>
              <w:rPr>
                <w:sz w:val="20"/>
                <w:szCs w:val="20"/>
                <w:color w:val="auto"/>
              </w:rPr>
            </w:pPr>
            <w:r>
              <w:rPr>
                <w:rFonts w:ascii="Arial" w:cs="Arial" w:eastAsia="Arial" w:hAnsi="Arial"/>
                <w:sz w:val="16"/>
                <w:szCs w:val="16"/>
                <w:color w:val="auto"/>
                <w:w w:val="89"/>
              </w:rPr>
              <w:t>18</w:t>
            </w:r>
          </w:p>
        </w:tc>
        <w:tc>
          <w:tcPr>
            <w:tcW w:w="1440" w:type="dxa"/>
            <w:vAlign w:val="bottom"/>
          </w:tcPr>
          <w:p>
            <w:pPr>
              <w:jc w:val="right"/>
              <w:spacing w:after="0"/>
              <w:rPr>
                <w:sz w:val="20"/>
                <w:szCs w:val="20"/>
                <w:color w:val="auto"/>
              </w:rPr>
            </w:pPr>
            <w:r>
              <w:rPr>
                <w:rFonts w:ascii="Arial" w:cs="Arial" w:eastAsia="Arial" w:hAnsi="Arial"/>
                <w:sz w:val="16"/>
                <w:szCs w:val="16"/>
                <w:color w:val="auto"/>
              </w:rPr>
              <w:t>8,185,156</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8,133,588</w:t>
            </w:r>
          </w:p>
        </w:tc>
        <w:tc>
          <w:tcPr>
            <w:tcW w:w="100" w:type="dxa"/>
            <w:vAlign w:val="bottom"/>
          </w:tcPr>
          <w:p>
            <w:pPr>
              <w:spacing w:after="0"/>
              <w:rPr>
                <w:sz w:val="19"/>
                <w:szCs w:val="19"/>
                <w:color w:val="auto"/>
              </w:rPr>
            </w:pPr>
          </w:p>
        </w:tc>
      </w:tr>
      <w:tr>
        <w:trPr>
          <w:trHeight w:val="23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w:t>
            </w:r>
          </w:p>
        </w:tc>
        <w:tc>
          <w:tcPr>
            <w:tcW w:w="1700" w:type="dxa"/>
            <w:vAlign w:val="bottom"/>
            <w:shd w:val="clear" w:color="auto" w:fill="CFF0FC"/>
          </w:tcPr>
          <w:p>
            <w:pPr>
              <w:jc w:val="center"/>
              <w:ind w:left="339"/>
              <w:spacing w:after="0"/>
              <w:rPr>
                <w:sz w:val="20"/>
                <w:szCs w:val="20"/>
                <w:color w:val="auto"/>
              </w:rPr>
            </w:pPr>
            <w:r>
              <w:rPr>
                <w:rFonts w:ascii="Arial" w:cs="Arial" w:eastAsia="Arial" w:hAnsi="Arial"/>
                <w:sz w:val="16"/>
                <w:szCs w:val="16"/>
                <w:color w:val="auto"/>
                <w:w w:val="89"/>
              </w:rPr>
              <w:t>4</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191,526</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106,767</w:t>
            </w:r>
          </w:p>
        </w:tc>
        <w:tc>
          <w:tcPr>
            <w:tcW w:w="100" w:type="dxa"/>
            <w:vAlign w:val="bottom"/>
            <w:shd w:val="clear" w:color="auto" w:fill="CFF0FC"/>
          </w:tcPr>
          <w:p>
            <w:pPr>
              <w:spacing w:after="0"/>
              <w:rPr>
                <w:sz w:val="20"/>
                <w:szCs w:val="20"/>
                <w:color w:val="auto"/>
              </w:rPr>
            </w:pPr>
          </w:p>
        </w:tc>
      </w:tr>
      <w:tr>
        <w:trPr>
          <w:trHeight w:val="220"/>
        </w:trPr>
        <w:tc>
          <w:tcPr>
            <w:tcW w:w="6340" w:type="dxa"/>
            <w:vAlign w:val="bottom"/>
          </w:tcPr>
          <w:p>
            <w:pPr>
              <w:ind w:left="20"/>
              <w:spacing w:after="0"/>
              <w:rPr>
                <w:sz w:val="20"/>
                <w:szCs w:val="20"/>
                <w:color w:val="auto"/>
              </w:rPr>
            </w:pPr>
            <w:r>
              <w:rPr>
                <w:rFonts w:ascii="Arial" w:cs="Arial" w:eastAsia="Arial" w:hAnsi="Arial"/>
                <w:sz w:val="16"/>
                <w:szCs w:val="16"/>
                <w:color w:val="auto"/>
              </w:rPr>
              <w:t>Net foreign exchange gain</w:t>
            </w:r>
          </w:p>
        </w:tc>
        <w:tc>
          <w:tcPr>
            <w:tcW w:w="1700" w:type="dxa"/>
            <w:vAlign w:val="bottom"/>
          </w:tcPr>
          <w:p>
            <w:pPr>
              <w:jc w:val="center"/>
              <w:ind w:left="339"/>
              <w:spacing w:after="0"/>
              <w:rPr>
                <w:sz w:val="20"/>
                <w:szCs w:val="20"/>
                <w:color w:val="auto"/>
              </w:rPr>
            </w:pPr>
            <w:r>
              <w:rPr>
                <w:rFonts w:ascii="Arial" w:cs="Arial" w:eastAsia="Arial" w:hAnsi="Arial"/>
                <w:sz w:val="16"/>
                <w:szCs w:val="16"/>
                <w:color w:val="auto"/>
                <w:w w:val="89"/>
              </w:rPr>
              <w:t>6</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(1,759,432 )</w:t>
            </w: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(26,492,975 )</w:t>
            </w:r>
          </w:p>
        </w:tc>
      </w:tr>
      <w:tr>
        <w:trPr>
          <w:trHeight w:val="23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(income)/expense</w:t>
            </w:r>
          </w:p>
        </w:tc>
        <w:tc>
          <w:tcPr>
            <w:tcW w:w="1700" w:type="dxa"/>
            <w:vAlign w:val="bottom"/>
            <w:shd w:val="clear" w:color="auto" w:fill="CFF0FC"/>
          </w:tcPr>
          <w:p>
            <w:pPr>
              <w:jc w:val="center"/>
              <w:ind w:left="339"/>
              <w:spacing w:after="0"/>
              <w:rPr>
                <w:sz w:val="20"/>
                <w:szCs w:val="20"/>
                <w:color w:val="auto"/>
              </w:rPr>
            </w:pPr>
            <w:r>
              <w:rPr>
                <w:rFonts w:ascii="Arial" w:cs="Arial" w:eastAsia="Arial" w:hAnsi="Arial"/>
                <w:sz w:val="16"/>
                <w:szCs w:val="16"/>
                <w:color w:val="auto"/>
                <w:w w:val="89"/>
              </w:rPr>
              <w:t>6</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(146,917 )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105,058</w:t>
            </w:r>
          </w:p>
        </w:tc>
        <w:tc>
          <w:tcPr>
            <w:tcW w:w="100" w:type="dxa"/>
            <w:vAlign w:val="bottom"/>
            <w:shd w:val="clear" w:color="auto" w:fill="CFF0FC"/>
          </w:tcPr>
          <w:p>
            <w:pPr>
              <w:spacing w:after="0"/>
              <w:rPr>
                <w:sz w:val="20"/>
                <w:szCs w:val="20"/>
                <w:color w:val="auto"/>
              </w:rPr>
            </w:pPr>
          </w:p>
        </w:tc>
      </w:tr>
      <w:tr>
        <w:trPr>
          <w:trHeight w:val="229"/>
        </w:trPr>
        <w:tc>
          <w:tcPr>
            <w:tcW w:w="6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Changes in working capital:</w:t>
            </w:r>
          </w:p>
        </w:tc>
        <w:tc>
          <w:tcPr>
            <w:tcW w:w="17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340" w:type="dxa"/>
            <w:vAlign w:val="bottom"/>
          </w:tcPr>
          <w:p>
            <w:pPr>
              <w:ind w:left="20"/>
              <w:spacing w:after="0"/>
              <w:rPr>
                <w:sz w:val="20"/>
                <w:szCs w:val="20"/>
                <w:color w:val="auto"/>
              </w:rPr>
            </w:pPr>
            <w:r>
              <w:rPr>
                <w:rFonts w:ascii="Arial" w:cs="Arial" w:eastAsia="Arial" w:hAnsi="Arial"/>
                <w:sz w:val="16"/>
                <w:szCs w:val="16"/>
                <w:color w:val="auto"/>
              </w:rPr>
              <w:t>Decrease in receivables</w:t>
            </w:r>
          </w:p>
        </w:tc>
        <w:tc>
          <w:tcPr>
            <w:tcW w:w="1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73,623</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295,924</w:t>
            </w:r>
          </w:p>
        </w:tc>
        <w:tc>
          <w:tcPr>
            <w:tcW w:w="100" w:type="dxa"/>
            <w:vAlign w:val="bottom"/>
          </w:tcPr>
          <w:p>
            <w:pPr>
              <w:spacing w:after="0"/>
              <w:rPr>
                <w:sz w:val="19"/>
                <w:szCs w:val="19"/>
                <w:color w:val="auto"/>
              </w:rPr>
            </w:pPr>
          </w:p>
        </w:tc>
      </w:tr>
      <w:tr>
        <w:trPr>
          <w:trHeight w:val="23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other current assets</w:t>
            </w:r>
          </w:p>
        </w:tc>
        <w:tc>
          <w:tcPr>
            <w:tcW w:w="17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(5,225,243 )</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(2,192,198 )</w:t>
            </w:r>
          </w:p>
        </w:tc>
      </w:tr>
      <w:tr>
        <w:trPr>
          <w:trHeight w:val="220"/>
        </w:trPr>
        <w:tc>
          <w:tcPr>
            <w:tcW w:w="6340" w:type="dxa"/>
            <w:vAlign w:val="bottom"/>
          </w:tcPr>
          <w:p>
            <w:pPr>
              <w:ind w:left="20"/>
              <w:spacing w:after="0"/>
              <w:rPr>
                <w:sz w:val="20"/>
                <w:szCs w:val="20"/>
                <w:color w:val="auto"/>
              </w:rPr>
            </w:pPr>
            <w:r>
              <w:rPr>
                <w:rFonts w:ascii="Arial" w:cs="Arial" w:eastAsia="Arial" w:hAnsi="Arial"/>
                <w:sz w:val="16"/>
                <w:szCs w:val="16"/>
                <w:color w:val="auto"/>
              </w:rPr>
              <w:t>(Decrease) increase trade and other payables</w:t>
            </w:r>
          </w:p>
        </w:tc>
        <w:tc>
          <w:tcPr>
            <w:tcW w:w="17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(2,250,834 )</w:t>
            </w:r>
          </w:p>
        </w:tc>
        <w:tc>
          <w:tcPr>
            <w:tcW w:w="1420" w:type="dxa"/>
            <w:vAlign w:val="bottom"/>
          </w:tcPr>
          <w:p>
            <w:pPr>
              <w:jc w:val="right"/>
              <w:spacing w:after="0"/>
              <w:rPr>
                <w:sz w:val="20"/>
                <w:szCs w:val="20"/>
                <w:color w:val="auto"/>
              </w:rPr>
            </w:pPr>
            <w:r>
              <w:rPr>
                <w:rFonts w:ascii="Arial" w:cs="Arial" w:eastAsia="Arial" w:hAnsi="Arial"/>
                <w:sz w:val="16"/>
                <w:szCs w:val="16"/>
                <w:color w:val="auto"/>
              </w:rPr>
              <w:t>4,605,286</w:t>
            </w:r>
          </w:p>
        </w:tc>
        <w:tc>
          <w:tcPr>
            <w:tcW w:w="100" w:type="dxa"/>
            <w:vAlign w:val="bottom"/>
          </w:tcPr>
          <w:p>
            <w:pPr>
              <w:spacing w:after="0"/>
              <w:rPr>
                <w:sz w:val="19"/>
                <w:szCs w:val="19"/>
                <w:color w:val="auto"/>
              </w:rPr>
            </w:pPr>
          </w:p>
        </w:tc>
      </w:tr>
      <w:tr>
        <w:trPr>
          <w:trHeight w:val="23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accrued liabilities</w:t>
            </w:r>
          </w:p>
        </w:tc>
        <w:tc>
          <w:tcPr>
            <w:tcW w:w="17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237,109</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5,787,859</w:t>
            </w:r>
          </w:p>
        </w:tc>
        <w:tc>
          <w:tcPr>
            <w:tcW w:w="100" w:type="dxa"/>
            <w:vAlign w:val="bottom"/>
            <w:shd w:val="clear" w:color="auto" w:fill="CFF0FC"/>
          </w:tcPr>
          <w:p>
            <w:pPr>
              <w:spacing w:after="0"/>
              <w:rPr>
                <w:sz w:val="20"/>
                <w:szCs w:val="20"/>
                <w:color w:val="auto"/>
              </w:rPr>
            </w:pPr>
          </w:p>
        </w:tc>
      </w:tr>
      <w:tr>
        <w:trPr>
          <w:trHeight w:val="229"/>
        </w:trPr>
        <w:tc>
          <w:tcPr>
            <w:tcW w:w="6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1520" w:type="dxa"/>
            <w:vAlign w:val="bottom"/>
            <w:gridSpan w:val="2"/>
          </w:tcPr>
          <w:p>
            <w:pPr>
              <w:spacing w:after="0"/>
              <w:rPr>
                <w:sz w:val="19"/>
                <w:szCs w:val="19"/>
                <w:color w:val="auto"/>
              </w:rPr>
            </w:pP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taxes paid</w:t>
            </w:r>
          </w:p>
        </w:tc>
        <w:tc>
          <w:tcPr>
            <w:tcW w:w="17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(830,568 )</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(200,041 )</w:t>
            </w:r>
          </w:p>
        </w:tc>
      </w:tr>
      <w:tr>
        <w:trPr>
          <w:trHeight w:val="220"/>
        </w:trPr>
        <w:tc>
          <w:tcPr>
            <w:tcW w:w="6340" w:type="dxa"/>
            <w:vAlign w:val="bottom"/>
          </w:tcPr>
          <w:p>
            <w:pPr>
              <w:ind w:left="20"/>
              <w:spacing w:after="0"/>
              <w:rPr>
                <w:sz w:val="20"/>
                <w:szCs w:val="20"/>
                <w:color w:val="auto"/>
              </w:rPr>
            </w:pPr>
            <w:r>
              <w:rPr>
                <w:rFonts w:ascii="Arial" w:cs="Arial" w:eastAsia="Arial" w:hAnsi="Arial"/>
                <w:sz w:val="16"/>
                <w:szCs w:val="16"/>
                <w:color w:val="auto"/>
              </w:rPr>
              <w:t>Received (Paid) interest</w:t>
            </w:r>
          </w:p>
        </w:tc>
        <w:tc>
          <w:tcPr>
            <w:tcW w:w="1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111,694</w:t>
            </w:r>
          </w:p>
        </w:tc>
        <w:tc>
          <w:tcPr>
            <w:tcW w:w="2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(138,915 )</w:t>
            </w:r>
          </w:p>
        </w:tc>
      </w:tr>
      <w:tr>
        <w:trPr>
          <w:trHeight w:val="23"/>
        </w:trPr>
        <w:tc>
          <w:tcPr>
            <w:tcW w:w="6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operating activities</w:t>
            </w:r>
          </w:p>
        </w:tc>
        <w:tc>
          <w:tcPr>
            <w:tcW w:w="17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(69,240,196 )</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(46,749,661 )</w:t>
            </w:r>
          </w:p>
        </w:tc>
      </w:tr>
      <w:tr>
        <w:trPr>
          <w:trHeight w:val="216"/>
        </w:trPr>
        <w:tc>
          <w:tcPr>
            <w:tcW w:w="6340" w:type="dxa"/>
            <w:vAlign w:val="bottom"/>
            <w:tcBorders>
              <w:top w:val="single" w:sz="8" w:color="CFF0FC"/>
            </w:tcBorders>
          </w:tcPr>
          <w:p>
            <w:pPr>
              <w:spacing w:after="0"/>
              <w:rPr>
                <w:sz w:val="18"/>
                <w:szCs w:val="18"/>
                <w:color w:val="auto"/>
              </w:rPr>
            </w:pPr>
          </w:p>
        </w:tc>
        <w:tc>
          <w:tcPr>
            <w:tcW w:w="1700" w:type="dxa"/>
            <w:vAlign w:val="bottom"/>
            <w:tcBorders>
              <w:top w:val="single" w:sz="8" w:color="CFF0F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7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34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1700" w:type="dxa"/>
            <w:vAlign w:val="bottom"/>
          </w:tcPr>
          <w:p>
            <w:pPr>
              <w:jc w:val="center"/>
              <w:ind w:left="339"/>
              <w:spacing w:after="0"/>
              <w:rPr>
                <w:sz w:val="20"/>
                <w:szCs w:val="20"/>
                <w:color w:val="auto"/>
              </w:rPr>
            </w:pPr>
            <w:r>
              <w:rPr>
                <w:rFonts w:ascii="Arial" w:cs="Arial" w:eastAsia="Arial" w:hAnsi="Arial"/>
                <w:sz w:val="16"/>
                <w:szCs w:val="16"/>
                <w:color w:val="auto"/>
                <w:w w:val="89"/>
              </w:rPr>
              <w:t>8</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(61,604 )</w:t>
            </w: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(100,657 )</w:t>
            </w:r>
          </w:p>
        </w:tc>
      </w:tr>
      <w:tr>
        <w:trPr>
          <w:trHeight w:val="20"/>
        </w:trPr>
        <w:tc>
          <w:tcPr>
            <w:tcW w:w="6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used in investing activities</w:t>
            </w:r>
          </w:p>
        </w:tc>
        <w:tc>
          <w:tcPr>
            <w:tcW w:w="17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(61,604 )</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(100,657 )</w:t>
            </w:r>
          </w:p>
        </w:tc>
      </w:tr>
      <w:tr>
        <w:trPr>
          <w:trHeight w:val="216"/>
        </w:trPr>
        <w:tc>
          <w:tcPr>
            <w:tcW w:w="6340" w:type="dxa"/>
            <w:vAlign w:val="bottom"/>
            <w:tcBorders>
              <w:top w:val="single" w:sz="8" w:color="CFF0FC"/>
            </w:tcBorders>
          </w:tcPr>
          <w:p>
            <w:pPr>
              <w:spacing w:after="0"/>
              <w:rPr>
                <w:sz w:val="18"/>
                <w:szCs w:val="18"/>
                <w:color w:val="auto"/>
              </w:rPr>
            </w:pPr>
          </w:p>
        </w:tc>
        <w:tc>
          <w:tcPr>
            <w:tcW w:w="1700" w:type="dxa"/>
            <w:vAlign w:val="bottom"/>
            <w:tcBorders>
              <w:top w:val="single" w:sz="8" w:color="CFF0F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7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340" w:type="dxa"/>
            <w:vAlign w:val="bottom"/>
          </w:tcPr>
          <w:p>
            <w:pPr>
              <w:ind w:left="20"/>
              <w:spacing w:after="0"/>
              <w:rPr>
                <w:sz w:val="20"/>
                <w:szCs w:val="20"/>
                <w:color w:val="auto"/>
              </w:rPr>
            </w:pPr>
            <w:r>
              <w:rPr>
                <w:rFonts w:ascii="Arial" w:cs="Arial" w:eastAsia="Arial" w:hAnsi="Arial"/>
                <w:sz w:val="16"/>
                <w:szCs w:val="16"/>
                <w:color w:val="auto"/>
              </w:rPr>
              <w:t>Proceeds from issue of shares</w:t>
            </w:r>
          </w:p>
        </w:tc>
        <w:tc>
          <w:tcPr>
            <w:tcW w:w="1700" w:type="dxa"/>
            <w:vAlign w:val="bottom"/>
          </w:tcPr>
          <w:p>
            <w:pPr>
              <w:jc w:val="center"/>
              <w:ind w:left="339"/>
              <w:spacing w:after="0"/>
              <w:rPr>
                <w:sz w:val="20"/>
                <w:szCs w:val="20"/>
                <w:color w:val="auto"/>
              </w:rPr>
            </w:pPr>
            <w:r>
              <w:rPr>
                <w:rFonts w:ascii="Arial" w:cs="Arial" w:eastAsia="Arial" w:hAnsi="Arial"/>
                <w:sz w:val="16"/>
                <w:szCs w:val="16"/>
                <w:color w:val="auto"/>
                <w:w w:val="89"/>
              </w:rPr>
              <w:t>13</w:t>
            </w:r>
          </w:p>
        </w:tc>
        <w:tc>
          <w:tcPr>
            <w:tcW w:w="1440" w:type="dxa"/>
            <w:vAlign w:val="bottom"/>
          </w:tcPr>
          <w:p>
            <w:pPr>
              <w:jc w:val="right"/>
              <w:spacing w:after="0"/>
              <w:rPr>
                <w:sz w:val="20"/>
                <w:szCs w:val="20"/>
                <w:color w:val="auto"/>
              </w:rPr>
            </w:pPr>
            <w:r>
              <w:rPr>
                <w:rFonts w:ascii="Arial" w:cs="Arial" w:eastAsia="Arial" w:hAnsi="Arial"/>
                <w:sz w:val="16"/>
                <w:szCs w:val="16"/>
                <w:color w:val="auto"/>
              </w:rPr>
              <w:t>64,201,004</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9,609,865</w:t>
            </w:r>
          </w:p>
        </w:tc>
        <w:tc>
          <w:tcPr>
            <w:tcW w:w="100" w:type="dxa"/>
            <w:vAlign w:val="bottom"/>
          </w:tcPr>
          <w:p>
            <w:pPr>
              <w:spacing w:after="0"/>
              <w:rPr>
                <w:sz w:val="19"/>
                <w:szCs w:val="19"/>
                <w:color w:val="auto"/>
              </w:rPr>
            </w:pPr>
          </w:p>
        </w:tc>
      </w:tr>
      <w:tr>
        <w:trPr>
          <w:trHeight w:val="23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 costs on issue of shares</w:t>
            </w:r>
          </w:p>
        </w:tc>
        <w:tc>
          <w:tcPr>
            <w:tcW w:w="17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(373,257 )</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(726,367 )</w:t>
            </w:r>
          </w:p>
        </w:tc>
      </w:tr>
      <w:tr>
        <w:trPr>
          <w:trHeight w:val="226"/>
        </w:trPr>
        <w:tc>
          <w:tcPr>
            <w:tcW w:w="6340" w:type="dxa"/>
            <w:vAlign w:val="bottom"/>
          </w:tcPr>
          <w:p>
            <w:pPr>
              <w:ind w:left="20"/>
              <w:spacing w:after="0"/>
              <w:rPr>
                <w:sz w:val="20"/>
                <w:szCs w:val="20"/>
                <w:color w:val="auto"/>
              </w:rPr>
            </w:pPr>
            <w:r>
              <w:rPr>
                <w:rFonts w:ascii="Arial" w:cs="Arial" w:eastAsia="Arial" w:hAnsi="Arial"/>
                <w:sz w:val="16"/>
                <w:szCs w:val="16"/>
                <w:color w:val="auto"/>
              </w:rPr>
              <w:t>Payment of principal portion of lease liabilities</w:t>
            </w:r>
          </w:p>
        </w:tc>
        <w:tc>
          <w:tcPr>
            <w:tcW w:w="1700" w:type="dxa"/>
            <w:vAlign w:val="bottom"/>
          </w:tcPr>
          <w:p>
            <w:pPr>
              <w:jc w:val="center"/>
              <w:ind w:left="339"/>
              <w:spacing w:after="0"/>
              <w:rPr>
                <w:sz w:val="20"/>
                <w:szCs w:val="20"/>
                <w:color w:val="auto"/>
              </w:rPr>
            </w:pPr>
            <w:r>
              <w:rPr>
                <w:rFonts w:ascii="Arial" w:cs="Arial" w:eastAsia="Arial" w:hAnsi="Arial"/>
                <w:sz w:val="16"/>
                <w:szCs w:val="16"/>
                <w:color w:val="auto"/>
                <w:w w:val="89"/>
              </w:rPr>
              <w:t>9</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(165,852 )</w:t>
            </w:r>
          </w:p>
        </w:tc>
        <w:tc>
          <w:tcPr>
            <w:tcW w:w="1520" w:type="dxa"/>
            <w:vAlign w:val="bottom"/>
            <w:gridSpan w:val="2"/>
          </w:tcPr>
          <w:p>
            <w:pPr>
              <w:jc w:val="right"/>
              <w:ind w:right="40"/>
              <w:spacing w:after="0"/>
              <w:rPr>
                <w:sz w:val="20"/>
                <w:szCs w:val="20"/>
                <w:color w:val="auto"/>
              </w:rPr>
            </w:pPr>
            <w:r>
              <w:rPr>
                <w:rFonts w:ascii="Arial" w:cs="Arial" w:eastAsia="Arial" w:hAnsi="Arial"/>
                <w:sz w:val="16"/>
                <w:szCs w:val="16"/>
                <w:color w:val="auto"/>
              </w:rPr>
              <w:t>(73,320 )</w:t>
            </w:r>
          </w:p>
        </w:tc>
      </w:tr>
      <w:tr>
        <w:trPr>
          <w:trHeight w:val="259"/>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Net cash flows provided by financing activities</w:t>
            </w:r>
          </w:p>
        </w:tc>
        <w:tc>
          <w:tcPr>
            <w:tcW w:w="17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63,661,895</w:t>
            </w:r>
          </w:p>
        </w:tc>
        <w:tc>
          <w:tcPr>
            <w:tcW w:w="24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8,810,178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6"/>
        </w:trPr>
        <w:tc>
          <w:tcPr>
            <w:tcW w:w="6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r>
      <w:tr>
        <w:trPr>
          <w:trHeight w:val="229"/>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7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(5,639,905 )</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(38,040,140 )</w:t>
            </w:r>
          </w:p>
        </w:tc>
      </w:tr>
      <w:tr>
        <w:trPr>
          <w:trHeight w:val="220"/>
        </w:trPr>
        <w:tc>
          <w:tcPr>
            <w:tcW w:w="634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209,353,132</w:t>
            </w:r>
          </w:p>
        </w:tc>
        <w:tc>
          <w:tcPr>
            <w:tcW w:w="100" w:type="dxa"/>
            <w:vAlign w:val="bottom"/>
          </w:tcPr>
          <w:p>
            <w:pPr>
              <w:spacing w:after="0"/>
              <w:rPr>
                <w:sz w:val="19"/>
                <w:szCs w:val="19"/>
                <w:color w:val="auto"/>
              </w:rPr>
            </w:pPr>
          </w:p>
        </w:tc>
      </w:tr>
      <w:tr>
        <w:trPr>
          <w:trHeight w:val="232"/>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w:t>
            </w:r>
          </w:p>
        </w:tc>
        <w:tc>
          <w:tcPr>
            <w:tcW w:w="17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2,161,206</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26,416,455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700" w:type="dxa"/>
            <w:vAlign w:val="bottom"/>
          </w:tcPr>
          <w:p>
            <w:pPr>
              <w:jc w:val="center"/>
              <w:ind w:left="339"/>
              <w:spacing w:after="0"/>
              <w:rPr>
                <w:sz w:val="20"/>
                <w:szCs w:val="20"/>
                <w:color w:val="auto"/>
              </w:rPr>
            </w:pPr>
            <w:r>
              <w:rPr>
                <w:rFonts w:ascii="Arial" w:cs="Arial" w:eastAsia="Arial" w:hAnsi="Arial"/>
                <w:sz w:val="16"/>
                <w:szCs w:val="16"/>
                <w:color w:val="auto"/>
                <w:w w:val="89"/>
              </w:rPr>
              <w:t>12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158,358,730</w:t>
            </w:r>
          </w:p>
        </w:tc>
        <w:tc>
          <w:tcPr>
            <w:tcW w:w="2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197,729,447</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-2311400</wp:posOffset>
            </wp:positionV>
            <wp:extent cx="111315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315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-1694815</wp:posOffset>
            </wp:positionV>
            <wp:extent cx="111315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315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-787400</wp:posOffset>
            </wp:positionV>
            <wp:extent cx="111315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315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-179070</wp:posOffset>
            </wp:positionV>
            <wp:extent cx="6858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6" w:name="page27"/>
    <w:bookmarkEnd w:id="26"/>
    <w:p>
      <w:pPr>
        <w:ind w:right="3340"/>
        <w:spacing w:after="0" w:line="375"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Arial" w:cs="Arial" w:eastAsia="Arial" w:hAnsi="Arial"/>
          <w:sz w:val="25"/>
          <w:szCs w:val="25"/>
          <w:b w:val="1"/>
          <w:bCs w:val="1"/>
          <w:color w:val="auto"/>
        </w:rPr>
        <w:t>1</w:t>
      </w:r>
      <w:r>
        <w:rPr>
          <w:rFonts w:ascii="Arial" w:cs="Arial" w:eastAsia="Arial" w:hAnsi="Arial"/>
          <w:sz w:val="21"/>
          <w:szCs w:val="21"/>
          <w:b w:val="1"/>
          <w:bCs w:val="1"/>
          <w:color w:val="auto"/>
        </w:rPr>
        <w:t>. Corporate and Group information</w:t>
      </w: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3"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color w:val="auto"/>
        </w:rPr>
        <w:t>The Company’s registered office is located at Emmy Noetherweg 2, Leiden. It has been registered at the Chamber of Commerce under file number 64239411.</w:t>
      </w:r>
    </w:p>
    <w:p>
      <w:pPr>
        <w:spacing w:after="0" w:line="64"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64"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September 30, 2023, and December 31, 2022, and for the three and nine months ended September 30, 2023 and 2022 were authorized for issue in accordance with a resolution of the directors on November 2,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60" w:type="dxa"/>
            <w:vAlign w:val="bottom"/>
            <w:gridSpan w:val="3"/>
          </w:tcPr>
          <w:p>
            <w:pPr>
              <w:jc w:val="center"/>
              <w:ind w:right="919"/>
              <w:spacing w:after="0"/>
              <w:rPr>
                <w:sz w:val="20"/>
                <w:szCs w:val="20"/>
                <w:color w:val="auto"/>
              </w:rPr>
            </w:pPr>
            <w:r>
              <w:rPr>
                <w:rFonts w:ascii="Arial" w:cs="Arial" w:eastAsia="Arial" w:hAnsi="Arial"/>
                <w:sz w:val="16"/>
                <w:szCs w:val="16"/>
                <w:color w:val="auto"/>
                <w:w w:val="92"/>
              </w:rPr>
              <w:t>% of equity interest as</w:t>
            </w:r>
          </w:p>
        </w:tc>
      </w:tr>
      <w:tr>
        <w:trPr>
          <w:trHeight w:val="220"/>
        </w:trPr>
        <w:tc>
          <w:tcPr>
            <w:tcW w:w="3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Country of</w:t>
            </w: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ind w:right="919"/>
              <w:spacing w:after="0"/>
              <w:rPr>
                <w:sz w:val="20"/>
                <w:szCs w:val="20"/>
                <w:color w:val="auto"/>
              </w:rPr>
            </w:pPr>
            <w:r>
              <w:rPr>
                <w:rFonts w:ascii="Arial" w:cs="Arial" w:eastAsia="Arial" w:hAnsi="Arial"/>
                <w:sz w:val="16"/>
                <w:szCs w:val="16"/>
                <w:color w:val="auto"/>
                <w:w w:val="89"/>
              </w:rPr>
              <w:t>September 30,</w:t>
            </w:r>
          </w:p>
        </w:tc>
      </w:tr>
      <w:tr>
        <w:trPr>
          <w:trHeight w:val="222"/>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200" w:type="dxa"/>
            <w:vAlign w:val="bottom"/>
          </w:tcPr>
          <w:p>
            <w:pPr>
              <w:spacing w:after="0"/>
              <w:rPr>
                <w:sz w:val="19"/>
                <w:szCs w:val="19"/>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Legal seat</w:t>
            </w:r>
          </w:p>
        </w:tc>
        <w:tc>
          <w:tcPr>
            <w:tcW w:w="180" w:type="dxa"/>
            <w:vAlign w:val="bottom"/>
          </w:tcPr>
          <w:p>
            <w:pPr>
              <w:spacing w:after="0"/>
              <w:rPr>
                <w:sz w:val="19"/>
                <w:szCs w:val="19"/>
                <w:color w:val="auto"/>
              </w:rPr>
            </w:pPr>
          </w:p>
        </w:tc>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incorporation</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89"/>
              </w:rPr>
              <w:t>2023</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2022</w:t>
            </w: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Pharvaris Holdings B.V.</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Leiden</w:t>
            </w:r>
          </w:p>
        </w:tc>
        <w:tc>
          <w:tcPr>
            <w:tcW w:w="18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The Netherlands</w:t>
            </w:r>
          </w:p>
        </w:tc>
        <w:tc>
          <w:tcPr>
            <w:tcW w:w="1000" w:type="dxa"/>
            <w:vAlign w:val="bottom"/>
            <w:shd w:val="clear" w:color="auto" w:fill="CFF0FC"/>
          </w:tcPr>
          <w:p>
            <w:pPr>
              <w:jc w:val="center"/>
              <w:ind w:left="539"/>
              <w:spacing w:after="0"/>
              <w:rPr>
                <w:sz w:val="20"/>
                <w:szCs w:val="20"/>
                <w:color w:val="auto"/>
              </w:rPr>
            </w:pPr>
            <w:r>
              <w:rPr>
                <w:rFonts w:ascii="Arial" w:cs="Arial" w:eastAsia="Arial" w:hAnsi="Arial"/>
                <w:sz w:val="16"/>
                <w:szCs w:val="16"/>
                <w:color w:val="auto"/>
                <w:w w:val="92"/>
              </w:rPr>
              <w:t>100%</w:t>
            </w:r>
          </w:p>
        </w:tc>
        <w:tc>
          <w:tcPr>
            <w:tcW w:w="2460" w:type="dxa"/>
            <w:vAlign w:val="bottom"/>
            <w:gridSpan w:val="3"/>
            <w:shd w:val="clear" w:color="auto" w:fill="CFF0FC"/>
          </w:tcPr>
          <w:p>
            <w:pPr>
              <w:jc w:val="center"/>
              <w:ind w:left="719"/>
              <w:spacing w:after="0"/>
              <w:rPr>
                <w:sz w:val="20"/>
                <w:szCs w:val="20"/>
                <w:color w:val="auto"/>
              </w:rPr>
            </w:pPr>
            <w:r>
              <w:rPr>
                <w:rFonts w:ascii="Arial" w:cs="Arial" w:eastAsia="Arial" w:hAnsi="Arial"/>
                <w:sz w:val="16"/>
                <w:szCs w:val="16"/>
                <w:color w:val="auto"/>
                <w:w w:val="92"/>
              </w:rPr>
              <w:t>100%</w:t>
            </w:r>
          </w:p>
        </w:tc>
      </w:tr>
      <w:tr>
        <w:trPr>
          <w:trHeight w:val="220"/>
        </w:trPr>
        <w:tc>
          <w:tcPr>
            <w:tcW w:w="3020" w:type="dxa"/>
            <w:vAlign w:val="bottom"/>
          </w:tcPr>
          <w:p>
            <w:pPr>
              <w:spacing w:after="0"/>
              <w:rPr>
                <w:sz w:val="20"/>
                <w:szCs w:val="20"/>
                <w:color w:val="auto"/>
              </w:rPr>
            </w:pPr>
            <w:r>
              <w:rPr>
                <w:rFonts w:ascii="Arial" w:cs="Arial" w:eastAsia="Arial" w:hAnsi="Arial"/>
                <w:sz w:val="16"/>
                <w:szCs w:val="16"/>
                <w:color w:val="auto"/>
              </w:rPr>
              <w:t>Pharvaris Netherlands B.V.</w:t>
            </w:r>
          </w:p>
        </w:tc>
        <w:tc>
          <w:tcPr>
            <w:tcW w:w="20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Leiden</w:t>
            </w:r>
          </w:p>
        </w:tc>
        <w:tc>
          <w:tcPr>
            <w:tcW w:w="180" w:type="dxa"/>
            <w:vAlign w:val="bottom"/>
          </w:tcPr>
          <w:p>
            <w:pPr>
              <w:spacing w:after="0"/>
              <w:rPr>
                <w:sz w:val="19"/>
                <w:szCs w:val="19"/>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The Netherlands</w:t>
            </w:r>
          </w:p>
        </w:tc>
        <w:tc>
          <w:tcPr>
            <w:tcW w:w="1000" w:type="dxa"/>
            <w:vAlign w:val="bottom"/>
          </w:tcPr>
          <w:p>
            <w:pPr>
              <w:jc w:val="center"/>
              <w:ind w:left="539"/>
              <w:spacing w:after="0"/>
              <w:rPr>
                <w:sz w:val="20"/>
                <w:szCs w:val="20"/>
                <w:color w:val="auto"/>
              </w:rPr>
            </w:pPr>
            <w:r>
              <w:rPr>
                <w:rFonts w:ascii="Arial" w:cs="Arial" w:eastAsia="Arial" w:hAnsi="Arial"/>
                <w:sz w:val="16"/>
                <w:szCs w:val="16"/>
                <w:color w:val="auto"/>
                <w:w w:val="92"/>
              </w:rPr>
              <w:t>100%</w:t>
            </w:r>
          </w:p>
        </w:tc>
        <w:tc>
          <w:tcPr>
            <w:tcW w:w="2460" w:type="dxa"/>
            <w:vAlign w:val="bottom"/>
            <w:gridSpan w:val="3"/>
          </w:tcPr>
          <w:p>
            <w:pPr>
              <w:jc w:val="center"/>
              <w:ind w:left="719"/>
              <w:spacing w:after="0"/>
              <w:rPr>
                <w:sz w:val="20"/>
                <w:szCs w:val="20"/>
                <w:color w:val="auto"/>
              </w:rPr>
            </w:pPr>
            <w:r>
              <w:rPr>
                <w:rFonts w:ascii="Arial" w:cs="Arial" w:eastAsia="Arial" w:hAnsi="Arial"/>
                <w:sz w:val="16"/>
                <w:szCs w:val="16"/>
                <w:color w:val="auto"/>
                <w:w w:val="92"/>
              </w:rPr>
              <w:t>100%</w:t>
            </w:r>
          </w:p>
        </w:tc>
      </w:tr>
      <w:tr>
        <w:trPr>
          <w:trHeight w:val="23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Pharvaris GmbH</w:t>
            </w:r>
          </w:p>
        </w:tc>
        <w:tc>
          <w:tcPr>
            <w:tcW w:w="2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Zug</w:t>
            </w:r>
          </w:p>
        </w:tc>
        <w:tc>
          <w:tcPr>
            <w:tcW w:w="18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Switzerland</w:t>
            </w:r>
          </w:p>
        </w:tc>
        <w:tc>
          <w:tcPr>
            <w:tcW w:w="1000" w:type="dxa"/>
            <w:vAlign w:val="bottom"/>
            <w:shd w:val="clear" w:color="auto" w:fill="CFF0FC"/>
          </w:tcPr>
          <w:p>
            <w:pPr>
              <w:jc w:val="center"/>
              <w:ind w:left="539"/>
              <w:spacing w:after="0"/>
              <w:rPr>
                <w:sz w:val="20"/>
                <w:szCs w:val="20"/>
                <w:color w:val="auto"/>
              </w:rPr>
            </w:pPr>
            <w:r>
              <w:rPr>
                <w:rFonts w:ascii="Arial" w:cs="Arial" w:eastAsia="Arial" w:hAnsi="Arial"/>
                <w:sz w:val="16"/>
                <w:szCs w:val="16"/>
                <w:color w:val="auto"/>
                <w:w w:val="92"/>
              </w:rPr>
              <w:t>100%</w:t>
            </w:r>
          </w:p>
        </w:tc>
        <w:tc>
          <w:tcPr>
            <w:tcW w:w="2460" w:type="dxa"/>
            <w:vAlign w:val="bottom"/>
            <w:gridSpan w:val="3"/>
            <w:shd w:val="clear" w:color="auto" w:fill="CFF0FC"/>
          </w:tcPr>
          <w:p>
            <w:pPr>
              <w:jc w:val="center"/>
              <w:ind w:left="719"/>
              <w:spacing w:after="0"/>
              <w:rPr>
                <w:sz w:val="20"/>
                <w:szCs w:val="20"/>
                <w:color w:val="auto"/>
              </w:rPr>
            </w:pPr>
            <w:r>
              <w:rPr>
                <w:rFonts w:ascii="Arial" w:cs="Arial" w:eastAsia="Arial" w:hAnsi="Arial"/>
                <w:sz w:val="16"/>
                <w:szCs w:val="16"/>
                <w:color w:val="auto"/>
                <w:w w:val="92"/>
              </w:rPr>
              <w:t>100%</w:t>
            </w:r>
          </w:p>
        </w:tc>
      </w:tr>
      <w:tr>
        <w:trPr>
          <w:trHeight w:val="210"/>
        </w:trPr>
        <w:tc>
          <w:tcPr>
            <w:tcW w:w="3020" w:type="dxa"/>
            <w:vAlign w:val="bottom"/>
          </w:tcPr>
          <w:p>
            <w:pPr>
              <w:spacing w:after="0"/>
              <w:rPr>
                <w:sz w:val="20"/>
                <w:szCs w:val="20"/>
                <w:color w:val="auto"/>
              </w:rPr>
            </w:pPr>
            <w:r>
              <w:rPr>
                <w:rFonts w:ascii="Arial" w:cs="Arial" w:eastAsia="Arial" w:hAnsi="Arial"/>
                <w:sz w:val="16"/>
                <w:szCs w:val="16"/>
                <w:color w:val="auto"/>
              </w:rPr>
              <w:t>Pharvaris, Inc.</w:t>
            </w:r>
          </w:p>
        </w:tc>
        <w:tc>
          <w:tcPr>
            <w:tcW w:w="20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Delaware</w:t>
            </w:r>
          </w:p>
        </w:tc>
        <w:tc>
          <w:tcPr>
            <w:tcW w:w="180" w:type="dxa"/>
            <w:vAlign w:val="bottom"/>
          </w:tcPr>
          <w:p>
            <w:pPr>
              <w:spacing w:after="0"/>
              <w:rPr>
                <w:sz w:val="18"/>
                <w:szCs w:val="18"/>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United States of America</w:t>
            </w:r>
          </w:p>
        </w:tc>
        <w:tc>
          <w:tcPr>
            <w:tcW w:w="1000" w:type="dxa"/>
            <w:vAlign w:val="bottom"/>
          </w:tcPr>
          <w:p>
            <w:pPr>
              <w:jc w:val="center"/>
              <w:ind w:left="539"/>
              <w:spacing w:after="0"/>
              <w:rPr>
                <w:sz w:val="20"/>
                <w:szCs w:val="20"/>
                <w:color w:val="auto"/>
              </w:rPr>
            </w:pPr>
            <w:r>
              <w:rPr>
                <w:rFonts w:ascii="Arial" w:cs="Arial" w:eastAsia="Arial" w:hAnsi="Arial"/>
                <w:sz w:val="16"/>
                <w:szCs w:val="16"/>
                <w:color w:val="auto"/>
                <w:w w:val="92"/>
              </w:rPr>
              <w:t>100%</w:t>
            </w:r>
          </w:p>
        </w:tc>
        <w:tc>
          <w:tcPr>
            <w:tcW w:w="2460" w:type="dxa"/>
            <w:vAlign w:val="bottom"/>
            <w:gridSpan w:val="3"/>
          </w:tcPr>
          <w:p>
            <w:pPr>
              <w:jc w:val="center"/>
              <w:ind w:left="719"/>
              <w:spacing w:after="0"/>
              <w:rPr>
                <w:sz w:val="20"/>
                <w:szCs w:val="20"/>
                <w:color w:val="auto"/>
              </w:rPr>
            </w:pPr>
            <w:r>
              <w:rPr>
                <w:rFonts w:ascii="Arial" w:cs="Arial" w:eastAsia="Arial" w:hAnsi="Arial"/>
                <w:sz w:val="16"/>
                <w:szCs w:val="16"/>
                <w:color w:val="auto"/>
                <w:w w:val="92"/>
              </w:rPr>
              <w:t>100%</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ultimate parent company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2022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64"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1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 These therapies will need to go through clinical development trials to achieve regulatory approval for commercialization. Therefore, Pharvaris is incurring annual research and development and other operating costs, and has no revenues to date. As such, Pharvaris anticipates on-going negative operating cash flows for the foreseeable future before the Company has a product candidate ready for commercialization, if at all.</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4" w:right="399" w:bottom="1440" w:gutter="0" w:footer="0" w:header="0"/>
        </w:sectPr>
      </w:pPr>
    </w:p>
    <w:bookmarkStart w:id="27" w:name="page28"/>
    <w:bookmarkEnd w:id="27"/>
    <w:p>
      <w:pPr>
        <w:ind w:right="60"/>
        <w:spacing w:after="0" w:line="275" w:lineRule="auto"/>
        <w:rPr>
          <w:sz w:val="20"/>
          <w:szCs w:val="20"/>
          <w:color w:val="auto"/>
        </w:rPr>
      </w:pPr>
      <w:r>
        <w:rPr>
          <w:rFonts w:ascii="Arial" w:cs="Arial" w:eastAsia="Arial" w:hAnsi="Arial"/>
          <w:sz w:val="16"/>
          <w:szCs w:val="16"/>
          <w:color w:val="auto"/>
        </w:rPr>
        <w:t>This makes the Group dependent on external capital sources, debt capital and equity capital. Historically, the Group has obtained financing primary through the offering of equity securities.</w:t>
      </w:r>
    </w:p>
    <w:p>
      <w:pPr>
        <w:spacing w:after="0" w:line="6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September 30, 2023 and December 31, 2022 the Group had cash and cash equivalents of €158.4 million and €161.8 million, respectively. The Group incurred net losses of €68.1 million in the nine months ended September 30, 2023 and €37.1 million in the same period in 2022 and negative operating cash flows of €69.2 million and €46.7 million in the nine months ended September 30, 2023 and 2022, respectively.</w:t>
      </w:r>
    </w:p>
    <w:p>
      <w:pPr>
        <w:spacing w:after="0" w:line="14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(€64.2 million).</w:t>
      </w:r>
    </w:p>
    <w:p>
      <w:pPr>
        <w:spacing w:after="0" w:line="14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Group does not expect positive operating cash flows in the foreseeable future and remains dependent on additional financing to fund its research and development expenses, general and administrative expenses and financing costs. The Group believes that the available cash balances are sufficient to execute the Group’s operating plan and strategies and to meet the anticipated working capital requirements and settle all expected liabilities into the first quarter of 2025, which is at least twelve months from the issuance date of these unaudited interim financial statements. Accordingly, the unaudited interim financial statements have been prepared on a going concern basis.</w:t>
      </w:r>
    </w:p>
    <w:p>
      <w:pPr>
        <w:spacing w:after="0" w:line="14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future viability of the Group is dependent on its ability to successfully develop and commercialize its products and its ability to raise additional capital to finance its operations. The Group will need to finance its operations through public or private securities offerings, debt financings or other sources, which may include licensing, collaborations or other strategic transactions or arrangements. Although the Group has been successful in raising capital in the past, there is no assurance that it will be successful in obtaining such additional financing on terms acceptable to the Group, if at all. If the Group is unable to obtain funding, the Group could be forced to delay, reduce, or eliminate some or all of its research and development programs for product candidates, product portfolio expansion or commercialization efforts, which could adversely affect its business prospects, or the Group may be unable to continue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16"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6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significant accounting policies</w:t>
      </w:r>
    </w:p>
    <w:p>
      <w:pPr>
        <w:spacing w:after="0" w:line="11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4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5"/>
          </w:tcPr>
          <w:p>
            <w:pPr>
              <w:jc w:val="right"/>
              <w:ind w:right="260"/>
              <w:spacing w:after="0"/>
              <w:rPr>
                <w:sz w:val="20"/>
                <w:szCs w:val="20"/>
                <w:color w:val="auto"/>
              </w:rPr>
            </w:pPr>
            <w:r>
              <w:rPr>
                <w:rFonts w:ascii="Arial" w:cs="Arial" w:eastAsia="Arial" w:hAnsi="Arial"/>
                <w:sz w:val="16"/>
                <w:szCs w:val="16"/>
                <w:color w:val="auto"/>
                <w:w w:val="92"/>
              </w:rPr>
              <w:t>For the nine months ended September</w:t>
            </w:r>
          </w:p>
        </w:tc>
      </w:tr>
      <w:tr>
        <w:trPr>
          <w:trHeight w:val="219"/>
        </w:trPr>
        <w:tc>
          <w:tcPr>
            <w:tcW w:w="4760" w:type="dxa"/>
            <w:vAlign w:val="bottom"/>
          </w:tcPr>
          <w:p>
            <w:pPr>
              <w:spacing w:after="0"/>
              <w:rPr>
                <w:sz w:val="19"/>
                <w:szCs w:val="19"/>
                <w:color w:val="auto"/>
              </w:rPr>
            </w:pPr>
          </w:p>
        </w:tc>
        <w:tc>
          <w:tcPr>
            <w:tcW w:w="3520" w:type="dxa"/>
            <w:vAlign w:val="bottom"/>
            <w:gridSpan w:val="4"/>
          </w:tcPr>
          <w:p>
            <w:pPr>
              <w:jc w:val="right"/>
              <w:ind w:right="440"/>
              <w:spacing w:after="0"/>
              <w:rPr>
                <w:sz w:val="20"/>
                <w:szCs w:val="20"/>
                <w:color w:val="auto"/>
              </w:rPr>
            </w:pPr>
            <w:r>
              <w:rPr>
                <w:rFonts w:ascii="Arial" w:cs="Arial" w:eastAsia="Arial" w:hAnsi="Arial"/>
                <w:sz w:val="16"/>
                <w:szCs w:val="16"/>
                <w:color w:val="auto"/>
                <w:w w:val="99"/>
              </w:rPr>
              <w:t>For the three months ended September 30,</w:t>
            </w:r>
          </w:p>
        </w:tc>
        <w:tc>
          <w:tcPr>
            <w:tcW w:w="1660" w:type="dxa"/>
            <w:vAlign w:val="bottom"/>
            <w:gridSpan w:val="3"/>
          </w:tcPr>
          <w:p>
            <w:pPr>
              <w:jc w:val="right"/>
              <w:ind w:right="200"/>
              <w:spacing w:after="0"/>
              <w:rPr>
                <w:sz w:val="20"/>
                <w:szCs w:val="20"/>
                <w:color w:val="auto"/>
              </w:rPr>
            </w:pPr>
            <w:r>
              <w:rPr>
                <w:rFonts w:ascii="Arial" w:cs="Arial" w:eastAsia="Arial" w:hAnsi="Arial"/>
                <w:sz w:val="16"/>
                <w:szCs w:val="16"/>
                <w:color w:val="auto"/>
              </w:rPr>
              <w:t>30,</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206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476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center"/>
              <w:ind w:right="46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color w:val="auto"/>
                <w:w w:val="89"/>
              </w:rPr>
              <w:t>€</w:t>
            </w:r>
          </w:p>
        </w:tc>
      </w:tr>
      <w:tr>
        <w:trPr>
          <w:trHeight w:val="23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 (Note 5)</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(4,759,379 )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(3,692,003 )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(13,521,323 )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(9,282,210 )</w:t>
            </w:r>
          </w:p>
        </w:tc>
      </w:tr>
      <w:tr>
        <w:trPr>
          <w:trHeight w:val="220"/>
        </w:trPr>
        <w:tc>
          <w:tcPr>
            <w:tcW w:w="4760" w:type="dxa"/>
            <w:vAlign w:val="bottom"/>
          </w:tcPr>
          <w:p>
            <w:pPr>
              <w:spacing w:after="0"/>
              <w:rPr>
                <w:sz w:val="20"/>
                <w:szCs w:val="20"/>
                <w:color w:val="auto"/>
              </w:rPr>
            </w:pPr>
            <w:r>
              <w:rPr>
                <w:rFonts w:ascii="Arial" w:cs="Arial" w:eastAsia="Arial" w:hAnsi="Arial"/>
                <w:sz w:val="16"/>
                <w:szCs w:val="16"/>
                <w:color w:val="auto"/>
              </w:rPr>
              <w:t>Clinical expenses</w:t>
            </w:r>
          </w:p>
        </w:tc>
        <w:tc>
          <w:tcPr>
            <w:tcW w:w="2180" w:type="dxa"/>
            <w:vAlign w:val="bottom"/>
            <w:gridSpan w:val="2"/>
          </w:tcPr>
          <w:p>
            <w:pPr>
              <w:jc w:val="right"/>
              <w:ind w:right="60"/>
              <w:spacing w:after="0"/>
              <w:rPr>
                <w:sz w:val="20"/>
                <w:szCs w:val="20"/>
                <w:color w:val="auto"/>
              </w:rPr>
            </w:pPr>
            <w:r>
              <w:rPr>
                <w:rFonts w:ascii="Arial" w:cs="Arial" w:eastAsia="Arial" w:hAnsi="Arial"/>
                <w:sz w:val="16"/>
                <w:szCs w:val="16"/>
                <w:color w:val="auto"/>
              </w:rPr>
              <w:t>(8,897,295 )</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(8,037,012 )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(21,395,174 )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(21,778,622 )</w:t>
            </w:r>
          </w:p>
        </w:tc>
      </w:tr>
      <w:tr>
        <w:trPr>
          <w:trHeight w:val="23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Nonclinical expenses</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(2,325,762 )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(862,643 )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(6,744,771 )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(2,695,561 )</w:t>
            </w:r>
          </w:p>
        </w:tc>
      </w:tr>
      <w:tr>
        <w:trPr>
          <w:trHeight w:val="220"/>
        </w:trPr>
        <w:tc>
          <w:tcPr>
            <w:tcW w:w="4760" w:type="dxa"/>
            <w:vAlign w:val="bottom"/>
          </w:tcPr>
          <w:p>
            <w:pPr>
              <w:spacing w:after="0"/>
              <w:rPr>
                <w:sz w:val="20"/>
                <w:szCs w:val="20"/>
                <w:color w:val="auto"/>
              </w:rPr>
            </w:pPr>
            <w:r>
              <w:rPr>
                <w:rFonts w:ascii="Arial" w:cs="Arial" w:eastAsia="Arial" w:hAnsi="Arial"/>
                <w:sz w:val="16"/>
                <w:szCs w:val="16"/>
                <w:color w:val="auto"/>
              </w:rPr>
              <w:t>Manufacturing costs</w:t>
            </w:r>
          </w:p>
        </w:tc>
        <w:tc>
          <w:tcPr>
            <w:tcW w:w="2180" w:type="dxa"/>
            <w:vAlign w:val="bottom"/>
            <w:gridSpan w:val="2"/>
          </w:tcPr>
          <w:p>
            <w:pPr>
              <w:jc w:val="right"/>
              <w:ind w:right="60"/>
              <w:spacing w:after="0"/>
              <w:rPr>
                <w:sz w:val="20"/>
                <w:szCs w:val="20"/>
                <w:color w:val="auto"/>
              </w:rPr>
            </w:pPr>
            <w:r>
              <w:rPr>
                <w:rFonts w:ascii="Arial" w:cs="Arial" w:eastAsia="Arial" w:hAnsi="Arial"/>
                <w:sz w:val="16"/>
                <w:szCs w:val="16"/>
                <w:color w:val="auto"/>
              </w:rPr>
              <w:t>(2,490,477 )</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(1,437,370 )</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(5,133,990 )</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(7,321,038 )</w:t>
            </w: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Intellectual Property costs</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(62,869 )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(59,817 )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(166,890 )</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(247,540 )</w:t>
            </w:r>
          </w:p>
        </w:tc>
      </w:tr>
      <w:tr>
        <w:trPr>
          <w:trHeight w:val="23"/>
        </w:trPr>
        <w:tc>
          <w:tcPr>
            <w:tcW w:w="4760" w:type="dxa"/>
            <w:vAlign w:val="bottom"/>
            <w:shd w:val="clear" w:color="auto" w:fill="CFF0FC"/>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760" w:type="dxa"/>
            <w:vAlign w:val="bottom"/>
          </w:tcPr>
          <w:p>
            <w:pPr>
              <w:spacing w:after="0"/>
              <w:rPr>
                <w:sz w:val="19"/>
                <w:szCs w:val="19"/>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(18,535,782 </w:t>
            </w:r>
            <w:r>
              <w:rPr>
                <w:rFonts w:ascii="Arial" w:cs="Arial" w:eastAsia="Arial" w:hAnsi="Arial"/>
                <w:sz w:val="16"/>
                <w:szCs w:val="16"/>
                <w:color w:val="auto"/>
                <w:highlight w:val="white"/>
              </w:rPr>
              <w:t>)</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(14,088,845 </w:t>
            </w:r>
            <w:r>
              <w:rPr>
                <w:rFonts w:ascii="Arial" w:cs="Arial" w:eastAsia="Arial" w:hAnsi="Arial"/>
                <w:sz w:val="16"/>
                <w:szCs w:val="16"/>
                <w:color w:val="auto"/>
                <w:highlight w:val="white"/>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(46,962,148 </w:t>
            </w:r>
            <w:r>
              <w:rPr>
                <w:rFonts w:ascii="Arial" w:cs="Arial" w:eastAsia="Arial" w:hAnsi="Arial"/>
                <w:sz w:val="16"/>
                <w:szCs w:val="16"/>
                <w:color w:val="auto"/>
                <w:highlight w:val="white"/>
              </w:rPr>
              <w:t>)</w:t>
            </w: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(41,324,971 </w:t>
            </w:r>
            <w:r>
              <w:rPr>
                <w:rFonts w:ascii="Arial" w:cs="Arial" w:eastAsia="Arial" w:hAnsi="Arial"/>
                <w:sz w:val="16"/>
                <w:szCs w:val="16"/>
                <w:color w:val="auto"/>
                <w:highlight w:val="white"/>
              </w:rPr>
              <w:t>)</w:t>
            </w:r>
          </w:p>
        </w:tc>
      </w:tr>
      <w:tr>
        <w:trPr>
          <w:trHeight w:val="20"/>
        </w:trPr>
        <w:tc>
          <w:tcPr>
            <w:tcW w:w="476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4"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color w:val="auto"/>
        </w:rPr>
        <w:t>Development expenses are currently not capitalized but are recorded in the unaudited condensed consolidated statements of profit or loss and other comprehensive income because the recognition criteria for capitalization are not met.</w:t>
      </w:r>
    </w:p>
    <w:p>
      <w:pPr>
        <w:spacing w:after="0" w:line="6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1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4"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00" w:type="dxa"/>
            <w:vAlign w:val="bottom"/>
          </w:tcPr>
          <w:p>
            <w:pPr>
              <w:spacing w:after="0"/>
              <w:rPr>
                <w:sz w:val="19"/>
                <w:szCs w:val="19"/>
                <w:color w:val="auto"/>
              </w:rPr>
            </w:pPr>
          </w:p>
        </w:tc>
        <w:tc>
          <w:tcPr>
            <w:tcW w:w="3620" w:type="dxa"/>
            <w:vAlign w:val="bottom"/>
            <w:gridSpan w:val="4"/>
          </w:tcPr>
          <w:p>
            <w:pPr>
              <w:jc w:val="right"/>
              <w:ind w:right="500"/>
              <w:spacing w:after="0"/>
              <w:rPr>
                <w:sz w:val="20"/>
                <w:szCs w:val="20"/>
                <w:color w:val="auto"/>
              </w:rPr>
            </w:pPr>
            <w:r>
              <w:rPr>
                <w:rFonts w:ascii="Arial" w:cs="Arial" w:eastAsia="Arial" w:hAnsi="Arial"/>
                <w:sz w:val="16"/>
                <w:szCs w:val="16"/>
                <w:color w:val="auto"/>
              </w:rPr>
              <w:t>For the three months ended September 30,</w:t>
            </w:r>
          </w:p>
        </w:tc>
        <w:tc>
          <w:tcPr>
            <w:tcW w:w="3220" w:type="dxa"/>
            <w:vAlign w:val="bottom"/>
            <w:gridSpan w:val="4"/>
          </w:tcPr>
          <w:p>
            <w:pPr>
              <w:jc w:val="right"/>
              <w:ind w:right="320"/>
              <w:spacing w:after="0"/>
              <w:rPr>
                <w:sz w:val="20"/>
                <w:szCs w:val="20"/>
                <w:color w:val="auto"/>
              </w:rPr>
            </w:pPr>
            <w:r>
              <w:rPr>
                <w:rFonts w:ascii="Arial" w:cs="Arial" w:eastAsia="Arial" w:hAnsi="Arial"/>
                <w:sz w:val="16"/>
                <w:szCs w:val="16"/>
                <w:color w:val="auto"/>
                <w:w w:val="95"/>
              </w:rPr>
              <w:t>For the nine months ended September 30,</w:t>
            </w:r>
          </w:p>
        </w:tc>
      </w:tr>
      <w:tr>
        <w:trPr>
          <w:trHeight w:val="223"/>
        </w:trPr>
        <w:tc>
          <w:tcPr>
            <w:tcW w:w="44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44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expenses (Note 5)</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(3,529,687 )</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(3,537,264 )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(10,265,614 )</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(9,807,298 )</w:t>
            </w: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Consulting fees</w:t>
            </w: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(65,925 )</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(246,269 )</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(370,241 )</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(679,080 )</w:t>
            </w: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Professional fees</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(1,361,682 )</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(1,379,416 )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(3,538,857 )</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(3,174,586 )</w:t>
            </w: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Accounting, tax and auditing fees</w:t>
            </w: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(327,050 )</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(444,057 )</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(1,224,364 )</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(1,038,714 )</w:t>
            </w: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Facilities, communication &amp; office expenses</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(1,577,375 )</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(1,807,806 )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(4,487,982 )</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(5,054,636 )</w:t>
            </w: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Travel expenses</w:t>
            </w: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(304,641 )</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(379,369 )</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(1,083,091 )</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(783,569 )</w:t>
            </w:r>
          </w:p>
        </w:tc>
      </w:tr>
      <w:tr>
        <w:trPr>
          <w:trHeight w:val="22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expenses</w:t>
            </w: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(499,124 )</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(503,641 )</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(1,800,361 )</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(1,285,077 )</w:t>
            </w:r>
          </w:p>
        </w:tc>
      </w:tr>
      <w:tr>
        <w:trPr>
          <w:trHeight w:val="23"/>
        </w:trPr>
        <w:tc>
          <w:tcPr>
            <w:tcW w:w="4400" w:type="dxa"/>
            <w:vAlign w:val="bottom"/>
            <w:shd w:val="clear" w:color="auto" w:fill="CFF0FC"/>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40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6"/>
                <w:szCs w:val="16"/>
                <w:color w:val="auto"/>
              </w:rPr>
              <w:t>(7,665,484 )</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(8,297,822 )</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(22,770,510 )</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(21,822,960 )</w:t>
            </w:r>
          </w:p>
        </w:tc>
      </w:tr>
      <w:tr>
        <w:trPr>
          <w:trHeight w:val="20"/>
        </w:trPr>
        <w:tc>
          <w:tcPr>
            <w:tcW w:w="44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-179070</wp:posOffset>
            </wp:positionV>
            <wp:extent cx="7683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-179070</wp:posOffset>
            </wp:positionV>
            <wp:extent cx="6858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-179070</wp:posOffset>
            </wp:positionV>
            <wp:extent cx="685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In 2022 and 2021 the Group entered into a number of short-term rental arrangements, the expenses are included in "Other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in the nine months of 2023 was €191,526 (2022: €68,195), which related to property, plant and equipment and leases and is included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 the 'Other expenses' line. For the third quarter of 2023 a total of €67,933 (2022: €38,572) depreciation charge was included in the 'Other expenses'.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00" w:type="dxa"/>
            <w:vAlign w:val="bottom"/>
          </w:tcPr>
          <w:p>
            <w:pPr>
              <w:spacing w:after="0"/>
              <w:rPr>
                <w:sz w:val="19"/>
                <w:szCs w:val="19"/>
                <w:color w:val="auto"/>
              </w:rPr>
            </w:pPr>
          </w:p>
        </w:tc>
        <w:tc>
          <w:tcPr>
            <w:tcW w:w="3520" w:type="dxa"/>
            <w:vAlign w:val="bottom"/>
            <w:gridSpan w:val="4"/>
          </w:tcPr>
          <w:p>
            <w:pPr>
              <w:jc w:val="right"/>
              <w:ind w:right="440"/>
              <w:spacing w:after="0"/>
              <w:rPr>
                <w:sz w:val="20"/>
                <w:szCs w:val="20"/>
                <w:color w:val="auto"/>
              </w:rPr>
            </w:pPr>
            <w:r>
              <w:rPr>
                <w:rFonts w:ascii="Arial" w:cs="Arial" w:eastAsia="Arial" w:hAnsi="Arial"/>
                <w:sz w:val="16"/>
                <w:szCs w:val="16"/>
                <w:color w:val="auto"/>
                <w:w w:val="99"/>
              </w:rPr>
              <w:t>For the three months ended September 30,</w:t>
            </w:r>
          </w:p>
        </w:tc>
        <w:tc>
          <w:tcPr>
            <w:tcW w:w="3520" w:type="dxa"/>
            <w:vAlign w:val="bottom"/>
            <w:gridSpan w:val="4"/>
          </w:tcPr>
          <w:p>
            <w:pPr>
              <w:jc w:val="right"/>
              <w:ind w:right="460"/>
              <w:spacing w:after="0"/>
              <w:rPr>
                <w:sz w:val="20"/>
                <w:szCs w:val="20"/>
                <w:color w:val="auto"/>
              </w:rPr>
            </w:pPr>
            <w:r>
              <w:rPr>
                <w:rFonts w:ascii="Arial" w:cs="Arial" w:eastAsia="Arial" w:hAnsi="Arial"/>
                <w:sz w:val="16"/>
                <w:szCs w:val="16"/>
                <w:color w:val="auto"/>
              </w:rPr>
              <w:t>For the nine months ended September 30,</w:t>
            </w:r>
          </w:p>
        </w:tc>
      </w:tr>
      <w:tr>
        <w:trPr>
          <w:trHeight w:val="223"/>
        </w:trPr>
        <w:tc>
          <w:tcPr>
            <w:tcW w:w="4200" w:type="dxa"/>
            <w:vAlign w:val="bottom"/>
          </w:tcPr>
          <w:p>
            <w:pPr>
              <w:spacing w:after="0"/>
              <w:rPr>
                <w:sz w:val="19"/>
                <w:szCs w:val="19"/>
                <w:color w:val="auto"/>
              </w:rPr>
            </w:pPr>
          </w:p>
        </w:tc>
        <w:tc>
          <w:tcPr>
            <w:tcW w:w="206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4200" w:type="dxa"/>
            <w:vAlign w:val="bottom"/>
          </w:tcPr>
          <w:p>
            <w:pPr>
              <w:spacing w:after="0"/>
              <w:rPr>
                <w:sz w:val="19"/>
                <w:szCs w:val="19"/>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r>
      <w:tr>
        <w:trPr>
          <w:trHeight w:val="239"/>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Wages and salaries</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(4,605,929 )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(3,647,977 )</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(13,429,175 )</w:t>
            </w: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(9,493,153 )</w:t>
            </w:r>
          </w:p>
        </w:tc>
      </w:tr>
      <w:tr>
        <w:trPr>
          <w:trHeight w:val="220"/>
        </w:trPr>
        <w:tc>
          <w:tcPr>
            <w:tcW w:w="4200" w:type="dxa"/>
            <w:vAlign w:val="bottom"/>
          </w:tcPr>
          <w:p>
            <w:pPr>
              <w:ind w:left="20"/>
              <w:spacing w:after="0"/>
              <w:rPr>
                <w:sz w:val="20"/>
                <w:szCs w:val="20"/>
                <w:color w:val="auto"/>
              </w:rPr>
            </w:pPr>
            <w:r>
              <w:rPr>
                <w:rFonts w:ascii="Arial" w:cs="Arial" w:eastAsia="Arial" w:hAnsi="Arial"/>
                <w:sz w:val="16"/>
                <w:szCs w:val="16"/>
                <w:color w:val="auto"/>
              </w:rPr>
              <w:t>Pension charges</w:t>
            </w:r>
          </w:p>
        </w:tc>
        <w:tc>
          <w:tcPr>
            <w:tcW w:w="2180" w:type="dxa"/>
            <w:vAlign w:val="bottom"/>
            <w:gridSpan w:val="2"/>
          </w:tcPr>
          <w:p>
            <w:pPr>
              <w:jc w:val="right"/>
              <w:ind w:right="60"/>
              <w:spacing w:after="0"/>
              <w:rPr>
                <w:sz w:val="20"/>
                <w:szCs w:val="20"/>
                <w:color w:val="auto"/>
              </w:rPr>
            </w:pPr>
            <w:r>
              <w:rPr>
                <w:rFonts w:ascii="Arial" w:cs="Arial" w:eastAsia="Arial" w:hAnsi="Arial"/>
                <w:sz w:val="16"/>
                <w:szCs w:val="16"/>
                <w:color w:val="auto"/>
              </w:rPr>
              <w:t>(288,788 )</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(205,053 )</w:t>
            </w: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(848,811 )</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(560,782 )</w:t>
            </w:r>
          </w:p>
        </w:tc>
      </w:tr>
      <w:tr>
        <w:trPr>
          <w:trHeight w:val="239"/>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social security charges</w:t>
            </w: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(509,007 )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(332,426 )</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(1,323,795 )</w:t>
            </w: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(901,985 )</w:t>
            </w:r>
          </w:p>
        </w:tc>
      </w:tr>
      <w:tr>
        <w:trPr>
          <w:trHeight w:val="220"/>
        </w:trPr>
        <w:tc>
          <w:tcPr>
            <w:tcW w:w="4200" w:type="dxa"/>
            <w:vAlign w:val="bottom"/>
          </w:tcPr>
          <w:p>
            <w:pPr>
              <w:ind w:left="20"/>
              <w:spacing w:after="0"/>
              <w:rPr>
                <w:sz w:val="20"/>
                <w:szCs w:val="20"/>
                <w:color w:val="auto"/>
              </w:rPr>
            </w:pPr>
            <w:r>
              <w:rPr>
                <w:rFonts w:ascii="Arial" w:cs="Arial" w:eastAsia="Arial" w:hAnsi="Arial"/>
                <w:sz w:val="16"/>
                <w:szCs w:val="16"/>
                <w:color w:val="auto"/>
              </w:rPr>
              <w:t>Share-based payments</w:t>
            </w:r>
          </w:p>
        </w:tc>
        <w:tc>
          <w:tcPr>
            <w:tcW w:w="2180" w:type="dxa"/>
            <w:vAlign w:val="bottom"/>
            <w:gridSpan w:val="2"/>
          </w:tcPr>
          <w:p>
            <w:pPr>
              <w:jc w:val="right"/>
              <w:ind w:right="60"/>
              <w:spacing w:after="0"/>
              <w:rPr>
                <w:sz w:val="20"/>
                <w:szCs w:val="20"/>
                <w:color w:val="auto"/>
              </w:rPr>
            </w:pPr>
            <w:r>
              <w:rPr>
                <w:rFonts w:ascii="Arial" w:cs="Arial" w:eastAsia="Arial" w:hAnsi="Arial"/>
                <w:sz w:val="16"/>
                <w:szCs w:val="16"/>
                <w:color w:val="auto"/>
              </w:rPr>
              <w:t>(2,885,342 )</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(3,043,811 )</w:t>
            </w: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(8,185,156 )</w:t>
            </w:r>
          </w:p>
        </w:tc>
        <w:tc>
          <w:tcPr>
            <w:tcW w:w="1900" w:type="dxa"/>
            <w:vAlign w:val="bottom"/>
            <w:gridSpan w:val="2"/>
          </w:tcPr>
          <w:p>
            <w:pPr>
              <w:jc w:val="right"/>
              <w:ind w:right="40"/>
              <w:spacing w:after="0"/>
              <w:rPr>
                <w:sz w:val="20"/>
                <w:szCs w:val="20"/>
                <w:color w:val="auto"/>
              </w:rPr>
            </w:pPr>
            <w:r>
              <w:rPr>
                <w:rFonts w:ascii="Arial" w:cs="Arial" w:eastAsia="Arial" w:hAnsi="Arial"/>
                <w:sz w:val="16"/>
                <w:szCs w:val="16"/>
                <w:color w:val="auto"/>
              </w:rPr>
              <w:t>(8,133,588 )</w:t>
            </w:r>
          </w:p>
        </w:tc>
      </w:tr>
      <w:tr>
        <w:trPr>
          <w:trHeight w:val="23"/>
        </w:trPr>
        <w:tc>
          <w:tcPr>
            <w:tcW w:w="42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20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(8,289,066 )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(7,229,267 )</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(23,786,937 )</w:t>
            </w: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(19,089,508 )</w:t>
            </w: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nine months ended September 30, 2023 was 70 (2022: 56).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income/(expense)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60" w:type="dxa"/>
            <w:vAlign w:val="bottom"/>
          </w:tcPr>
          <w:p>
            <w:pPr>
              <w:spacing w:after="0"/>
              <w:rPr>
                <w:sz w:val="17"/>
                <w:szCs w:val="17"/>
                <w:color w:val="auto"/>
              </w:rPr>
            </w:pPr>
          </w:p>
        </w:tc>
        <w:tc>
          <w:tcPr>
            <w:tcW w:w="2820" w:type="dxa"/>
            <w:vAlign w:val="bottom"/>
            <w:gridSpan w:val="4"/>
          </w:tcPr>
          <w:p>
            <w:pPr>
              <w:jc w:val="right"/>
              <w:ind w:right="240"/>
              <w:spacing w:after="0"/>
              <w:rPr>
                <w:sz w:val="20"/>
                <w:szCs w:val="20"/>
                <w:color w:val="auto"/>
              </w:rPr>
            </w:pPr>
            <w:r>
              <w:rPr>
                <w:rFonts w:ascii="Arial" w:cs="Arial" w:eastAsia="Arial" w:hAnsi="Arial"/>
                <w:sz w:val="16"/>
                <w:szCs w:val="16"/>
                <w:color w:val="auto"/>
                <w:w w:val="91"/>
              </w:rPr>
              <w:t>For the three months ended September</w:t>
            </w:r>
          </w:p>
        </w:tc>
        <w:tc>
          <w:tcPr>
            <w:tcW w:w="2660" w:type="dxa"/>
            <w:vAlign w:val="bottom"/>
            <w:gridSpan w:val="5"/>
          </w:tcPr>
          <w:p>
            <w:pPr>
              <w:jc w:val="right"/>
              <w:ind w:right="180"/>
              <w:spacing w:after="0"/>
              <w:rPr>
                <w:sz w:val="20"/>
                <w:szCs w:val="20"/>
                <w:color w:val="auto"/>
              </w:rPr>
            </w:pPr>
            <w:r>
              <w:rPr>
                <w:rFonts w:ascii="Arial" w:cs="Arial" w:eastAsia="Arial" w:hAnsi="Arial"/>
                <w:sz w:val="16"/>
                <w:szCs w:val="16"/>
                <w:color w:val="auto"/>
                <w:w w:val="89"/>
              </w:rPr>
              <w:t>For the nine months ended September</w:t>
            </w:r>
          </w:p>
        </w:tc>
      </w:tr>
      <w:tr>
        <w:trPr>
          <w:trHeight w:val="219"/>
        </w:trPr>
        <w:tc>
          <w:tcPr>
            <w:tcW w:w="576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30,</w:t>
            </w: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60" w:type="dxa"/>
            <w:vAlign w:val="bottom"/>
          </w:tcPr>
          <w:p>
            <w:pPr>
              <w:spacing w:after="0"/>
              <w:rPr>
                <w:sz w:val="19"/>
                <w:szCs w:val="19"/>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576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580" w:type="dxa"/>
            <w:vAlign w:val="bottom"/>
            <w:gridSpan w:val="3"/>
          </w:tcPr>
          <w:p>
            <w:pPr>
              <w:jc w:val="center"/>
              <w:ind w:right="380"/>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w:t>
            </w:r>
          </w:p>
        </w:tc>
      </w:tr>
      <w:tr>
        <w:trPr>
          <w:trHeight w:val="23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exchange differences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2,687,200</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11,520,977</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1,759,432</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26,492,975</w:t>
            </w:r>
          </w:p>
        </w:tc>
        <w:tc>
          <w:tcPr>
            <w:tcW w:w="100" w:type="dxa"/>
            <w:vAlign w:val="bottom"/>
            <w:shd w:val="clear" w:color="auto" w:fill="CFF0FC"/>
          </w:tcPr>
          <w:p>
            <w:pPr>
              <w:spacing w:after="0"/>
              <w:rPr>
                <w:sz w:val="20"/>
                <w:szCs w:val="20"/>
                <w:color w:val="auto"/>
              </w:rPr>
            </w:pPr>
          </w:p>
        </w:tc>
      </w:tr>
      <w:tr>
        <w:trPr>
          <w:trHeight w:val="220"/>
        </w:trPr>
        <w:tc>
          <w:tcPr>
            <w:tcW w:w="5760" w:type="dxa"/>
            <w:vAlign w:val="bottom"/>
          </w:tcPr>
          <w:p>
            <w:pPr>
              <w:ind w:left="20"/>
              <w:spacing w:after="0"/>
              <w:rPr>
                <w:sz w:val="20"/>
                <w:szCs w:val="20"/>
                <w:color w:val="auto"/>
              </w:rPr>
            </w:pPr>
            <w:r>
              <w:rPr>
                <w:rFonts w:ascii="Arial" w:cs="Arial" w:eastAsia="Arial" w:hAnsi="Arial"/>
                <w:sz w:val="16"/>
                <w:szCs w:val="16"/>
                <w:color w:val="auto"/>
              </w:rPr>
              <w:t>Interest (expense)/income over bank balances</w:t>
            </w:r>
          </w:p>
        </w:tc>
        <w:tc>
          <w:tcPr>
            <w:tcW w:w="1360" w:type="dxa"/>
            <w:vAlign w:val="bottom"/>
          </w:tcPr>
          <w:p>
            <w:pPr>
              <w:jc w:val="right"/>
              <w:spacing w:after="0"/>
              <w:rPr>
                <w:sz w:val="20"/>
                <w:szCs w:val="20"/>
                <w:color w:val="auto"/>
              </w:rPr>
            </w:pPr>
            <w:r>
              <w:rPr>
                <w:rFonts w:ascii="Arial" w:cs="Arial" w:eastAsia="Arial" w:hAnsi="Arial"/>
                <w:sz w:val="16"/>
                <w:szCs w:val="16"/>
                <w:color w:val="auto"/>
              </w:rPr>
              <w:t>66,576</w:t>
            </w: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(25,863 )</w:t>
            </w:r>
          </w:p>
        </w:tc>
        <w:tc>
          <w:tcPr>
            <w:tcW w:w="1220" w:type="dxa"/>
            <w:vAlign w:val="bottom"/>
          </w:tcPr>
          <w:p>
            <w:pPr>
              <w:jc w:val="right"/>
              <w:spacing w:after="0"/>
              <w:rPr>
                <w:sz w:val="20"/>
                <w:szCs w:val="20"/>
                <w:color w:val="auto"/>
              </w:rPr>
            </w:pPr>
            <w:r>
              <w:rPr>
                <w:rFonts w:ascii="Arial" w:cs="Arial" w:eastAsia="Arial" w:hAnsi="Arial"/>
                <w:sz w:val="16"/>
                <w:szCs w:val="16"/>
                <w:color w:val="auto"/>
              </w:rPr>
              <w:t>161,942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(104,380 )</w:t>
            </w:r>
          </w:p>
        </w:tc>
      </w:tr>
      <w:tr>
        <w:trPr>
          <w:trHeight w:val="232"/>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finance expenses</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(4,833 )</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(180 )</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(15,026 )</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(678 )</w:t>
            </w:r>
          </w:p>
        </w:tc>
      </w:tr>
      <w:tr>
        <w:trPr>
          <w:trHeight w:val="223"/>
        </w:trPr>
        <w:tc>
          <w:tcPr>
            <w:tcW w:w="5760" w:type="dxa"/>
            <w:vAlign w:val="bottom"/>
            <w:tcBorders>
              <w:top w:val="single" w:sz="8" w:color="CFF0FC"/>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2,748,943</w:t>
            </w:r>
          </w:p>
        </w:tc>
        <w:tc>
          <w:tcPr>
            <w:tcW w:w="120" w:type="dxa"/>
            <w:vAlign w:val="bottom"/>
            <w:tcBorders>
              <w:top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11,494,934</w:t>
            </w:r>
          </w:p>
        </w:tc>
        <w:tc>
          <w:tcPr>
            <w:tcW w:w="120" w:type="dxa"/>
            <w:vAlign w:val="bottom"/>
            <w:tcBorders>
              <w:top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1,906,348</w:t>
            </w:r>
          </w:p>
        </w:tc>
        <w:tc>
          <w:tcPr>
            <w:tcW w:w="10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26,387,917</w:t>
            </w:r>
          </w:p>
        </w:tc>
        <w:tc>
          <w:tcPr>
            <w:tcW w:w="100" w:type="dxa"/>
            <w:vAlign w:val="bottom"/>
            <w:tcBorders>
              <w:top w:val="single" w:sz="8" w:color="CFF0FC"/>
            </w:tcBorders>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-179070</wp:posOffset>
            </wp:positionV>
            <wp:extent cx="76835"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-179070</wp:posOffset>
            </wp:positionV>
            <wp:extent cx="6858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-179070</wp:posOffset>
            </wp:positionV>
            <wp:extent cx="6858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2"/>
        </w:trPr>
        <w:tc>
          <w:tcPr>
            <w:tcW w:w="576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Arial" w:cs="Arial" w:eastAsia="Arial" w:hAnsi="Arial"/>
                <w:sz w:val="16"/>
                <w:szCs w:val="16"/>
                <w:color w:val="auto"/>
                <w:w w:val="89"/>
              </w:rPr>
              <w:t>For the three months ended September</w:t>
            </w:r>
          </w:p>
        </w:tc>
        <w:tc>
          <w:tcPr>
            <w:tcW w:w="220" w:type="dxa"/>
            <w:vAlign w:val="bottom"/>
          </w:tcPr>
          <w:p>
            <w:pPr>
              <w:spacing w:after="0"/>
              <w:rPr>
                <w:sz w:val="17"/>
                <w:szCs w:val="17"/>
                <w:color w:val="auto"/>
              </w:rPr>
            </w:pPr>
          </w:p>
        </w:tc>
        <w:tc>
          <w:tcPr>
            <w:tcW w:w="2640" w:type="dxa"/>
            <w:vAlign w:val="bottom"/>
            <w:gridSpan w:val="4"/>
          </w:tcPr>
          <w:p>
            <w:pPr>
              <w:jc w:val="right"/>
              <w:ind w:right="160"/>
              <w:spacing w:after="0"/>
              <w:rPr>
                <w:sz w:val="20"/>
                <w:szCs w:val="20"/>
                <w:color w:val="auto"/>
              </w:rPr>
            </w:pPr>
            <w:r>
              <w:rPr>
                <w:rFonts w:ascii="Arial" w:cs="Arial" w:eastAsia="Arial" w:hAnsi="Arial"/>
                <w:sz w:val="16"/>
                <w:szCs w:val="16"/>
                <w:color w:val="auto"/>
                <w:w w:val="89"/>
              </w:rPr>
              <w:t>For the nine months ended September</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19"/>
                <w:szCs w:val="19"/>
                <w:color w:val="auto"/>
              </w:rPr>
            </w:pP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30,</w:t>
            </w:r>
          </w:p>
        </w:tc>
        <w:tc>
          <w:tcPr>
            <w:tcW w:w="1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3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(146,273 )</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2,403,929</w:t>
            </w:r>
          </w:p>
        </w:tc>
        <w:tc>
          <w:tcPr>
            <w:tcW w:w="16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(301,108 )</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(375,888 )</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Income tax expense</w:t>
            </w: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vMerge w:val="continue"/>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(146,273 )</w:t>
            </w:r>
          </w:p>
        </w:tc>
        <w:tc>
          <w:tcPr>
            <w:tcW w:w="1180" w:type="dxa"/>
            <w:vAlign w:val="bottom"/>
          </w:tcPr>
          <w:p>
            <w:pPr>
              <w:jc w:val="right"/>
              <w:spacing w:after="0"/>
              <w:rPr>
                <w:sz w:val="20"/>
                <w:szCs w:val="20"/>
                <w:color w:val="auto"/>
              </w:rPr>
            </w:pPr>
            <w:r>
              <w:rPr>
                <w:rFonts w:ascii="Arial" w:cs="Arial" w:eastAsia="Arial" w:hAnsi="Arial"/>
                <w:sz w:val="16"/>
                <w:szCs w:val="16"/>
                <w:color w:val="auto"/>
              </w:rPr>
              <w:t>2,403,929</w:t>
            </w:r>
          </w:p>
        </w:tc>
        <w:tc>
          <w:tcPr>
            <w:tcW w:w="1600" w:type="dxa"/>
            <w:vAlign w:val="bottom"/>
            <w:gridSpan w:val="3"/>
          </w:tcPr>
          <w:p>
            <w:pPr>
              <w:jc w:val="right"/>
              <w:ind w:right="140"/>
              <w:spacing w:after="0"/>
              <w:rPr>
                <w:sz w:val="20"/>
                <w:szCs w:val="20"/>
                <w:color w:val="auto"/>
              </w:rPr>
            </w:pPr>
            <w:r>
              <w:rPr>
                <w:rFonts w:ascii="Arial" w:cs="Arial" w:eastAsia="Arial" w:hAnsi="Arial"/>
                <w:sz w:val="16"/>
                <w:szCs w:val="16"/>
                <w:color w:val="auto"/>
              </w:rPr>
              <w:t>(301,108 )</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(375,888 )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160"/>
        <w:spacing w:after="0" w:line="260" w:lineRule="auto"/>
        <w:rPr>
          <w:sz w:val="20"/>
          <w:szCs w:val="20"/>
          <w:color w:val="auto"/>
        </w:rPr>
      </w:pPr>
      <w:r>
        <w:rPr>
          <w:rFonts w:ascii="Arial" w:cs="Arial" w:eastAsia="Arial" w:hAnsi="Arial"/>
          <w:sz w:val="16"/>
          <w:szCs w:val="16"/>
          <w:color w:val="auto"/>
        </w:rPr>
        <w:t>The tax expense over the nine months ended September 30, 2023 and 2022 relates to the Company's U.S. and Dutch subsidiaries as the result of a cost-plus agreement between the Company's principal entity and the U.S. and the Dutch subsidiaries, resulting in an estimated taxable profit in the U.S. and the Netherlands.</w:t>
      </w:r>
    </w:p>
    <w:p>
      <w:pPr>
        <w:spacing w:after="0" w:line="76"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jc w:val="right"/>
              <w:ind w:right="600"/>
              <w:spacing w:after="0"/>
              <w:rPr>
                <w:sz w:val="20"/>
                <w:szCs w:val="20"/>
                <w:color w:val="auto"/>
              </w:rPr>
            </w:pPr>
            <w:r>
              <w:rPr>
                <w:rFonts w:ascii="Arial" w:cs="Arial" w:eastAsia="Arial" w:hAnsi="Arial"/>
                <w:sz w:val="16"/>
                <w:szCs w:val="16"/>
                <w:color w:val="auto"/>
              </w:rPr>
              <w:t>For the nine months ended</w:t>
            </w:r>
          </w:p>
        </w:tc>
      </w:tr>
      <w:tr>
        <w:trPr>
          <w:trHeight w:val="219"/>
        </w:trPr>
        <w:tc>
          <w:tcPr>
            <w:tcW w:w="5520" w:type="dxa"/>
            <w:vAlign w:val="bottom"/>
          </w:tcPr>
          <w:p>
            <w:pPr>
              <w:spacing w:after="0"/>
              <w:rPr>
                <w:sz w:val="19"/>
                <w:szCs w:val="19"/>
                <w:color w:val="auto"/>
              </w:rPr>
            </w:pPr>
          </w:p>
        </w:tc>
        <w:tc>
          <w:tcPr>
            <w:tcW w:w="2940" w:type="dxa"/>
            <w:vAlign w:val="bottom"/>
            <w:gridSpan w:val="4"/>
          </w:tcPr>
          <w:p>
            <w:pPr>
              <w:jc w:val="right"/>
              <w:ind w:right="140"/>
              <w:spacing w:after="0"/>
              <w:rPr>
                <w:sz w:val="20"/>
                <w:szCs w:val="20"/>
                <w:color w:val="auto"/>
              </w:rPr>
            </w:pPr>
            <w:r>
              <w:rPr>
                <w:rFonts w:ascii="Arial" w:cs="Arial" w:eastAsia="Arial" w:hAnsi="Arial"/>
                <w:sz w:val="16"/>
                <w:szCs w:val="16"/>
                <w:color w:val="auto"/>
                <w:w w:val="90"/>
              </w:rPr>
              <w:t>For the three months ended September 30,</w:t>
            </w:r>
          </w:p>
        </w:tc>
        <w:tc>
          <w:tcPr>
            <w:tcW w:w="1860" w:type="dxa"/>
            <w:vAlign w:val="bottom"/>
            <w:gridSpan w:val="3"/>
          </w:tcPr>
          <w:p>
            <w:pPr>
              <w:ind w:left="900"/>
              <w:spacing w:after="0"/>
              <w:rPr>
                <w:sz w:val="20"/>
                <w:szCs w:val="20"/>
                <w:color w:val="auto"/>
              </w:rPr>
            </w:pPr>
            <w:r>
              <w:rPr>
                <w:rFonts w:ascii="Arial" w:cs="Arial" w:eastAsia="Arial" w:hAnsi="Arial"/>
                <w:sz w:val="16"/>
                <w:szCs w:val="16"/>
                <w:color w:val="auto"/>
                <w:w w:val="89"/>
              </w:rPr>
              <w:t>September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9"/>
                <w:szCs w:val="19"/>
                <w:color w:val="auto"/>
              </w:rPr>
            </w:pPr>
          </w:p>
        </w:tc>
      </w:tr>
      <w:tr>
        <w:trPr>
          <w:trHeight w:val="220"/>
        </w:trPr>
        <w:tc>
          <w:tcPr>
            <w:tcW w:w="55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c>
          <w:tcPr>
            <w:tcW w:w="1860" w:type="dxa"/>
            <w:vAlign w:val="bottom"/>
            <w:gridSpan w:val="3"/>
          </w:tcPr>
          <w:p>
            <w:pPr>
              <w:jc w:val="center"/>
              <w:ind w:right="5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center"/>
              <w:ind w:right="520"/>
              <w:spacing w:after="0"/>
              <w:rPr>
                <w:sz w:val="20"/>
                <w:szCs w:val="20"/>
                <w:color w:val="auto"/>
              </w:rPr>
            </w:pPr>
            <w:r>
              <w:rPr>
                <w:rFonts w:ascii="Arial" w:cs="Arial" w:eastAsia="Arial" w:hAnsi="Arial"/>
                <w:sz w:val="16"/>
                <w:szCs w:val="16"/>
                <w:color w:val="auto"/>
                <w:w w:val="89"/>
              </w:rPr>
              <w:t>€</w:t>
            </w:r>
          </w:p>
        </w:tc>
      </w:tr>
      <w:tr>
        <w:trPr>
          <w:trHeight w:val="23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(23,452,323 )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(10,891,733 )</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(67,826,310 )</w:t>
            </w:r>
          </w:p>
        </w:tc>
        <w:tc>
          <w:tcPr>
            <w:tcW w:w="4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(36,760,014 )</w:t>
            </w:r>
          </w:p>
        </w:tc>
      </w:tr>
      <w:tr>
        <w:trPr>
          <w:trHeight w:val="220"/>
        </w:trPr>
        <w:tc>
          <w:tcPr>
            <w:tcW w:w="5520" w:type="dxa"/>
            <w:vAlign w:val="bottom"/>
          </w:tcPr>
          <w:p>
            <w:pPr>
              <w:ind w:left="20"/>
              <w:spacing w:after="0"/>
              <w:rPr>
                <w:sz w:val="20"/>
                <w:szCs w:val="20"/>
                <w:color w:val="auto"/>
              </w:rPr>
            </w:pPr>
            <w:r>
              <w:rPr>
                <w:rFonts w:ascii="Arial" w:cs="Arial" w:eastAsia="Arial" w:hAnsi="Arial"/>
                <w:sz w:val="16"/>
                <w:szCs w:val="16"/>
                <w:color w:val="auto"/>
              </w:rPr>
              <w:t>Income tax against statutory rate in The Netherlands (25.8%)</w:t>
            </w:r>
          </w:p>
        </w:tc>
        <w:tc>
          <w:tcPr>
            <w:tcW w:w="1480" w:type="dxa"/>
            <w:vAlign w:val="bottom"/>
          </w:tcPr>
          <w:p>
            <w:pPr>
              <w:jc w:val="right"/>
              <w:spacing w:after="0"/>
              <w:rPr>
                <w:sz w:val="20"/>
                <w:szCs w:val="20"/>
                <w:color w:val="auto"/>
              </w:rPr>
            </w:pPr>
            <w:r>
              <w:rPr>
                <w:rFonts w:ascii="Arial" w:cs="Arial" w:eastAsia="Arial" w:hAnsi="Arial"/>
                <w:sz w:val="16"/>
                <w:szCs w:val="16"/>
                <w:color w:val="auto"/>
              </w:rPr>
              <w:t>6,050,699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2,810,068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17,499,188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9,484,084</w:t>
            </w:r>
          </w:p>
        </w:tc>
        <w:tc>
          <w:tcPr>
            <w:tcW w:w="100" w:type="dxa"/>
            <w:vAlign w:val="bottom"/>
          </w:tcPr>
          <w:p>
            <w:pPr>
              <w:spacing w:after="0"/>
              <w:rPr>
                <w:sz w:val="19"/>
                <w:szCs w:val="19"/>
                <w:color w:val="auto"/>
              </w:rPr>
            </w:pPr>
          </w:p>
        </w:tc>
      </w:tr>
      <w:tr>
        <w:trPr>
          <w:trHeight w:val="23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tax rates in other countries</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(3,264,971 )</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613,514</w:t>
            </w: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(9,645,509 )</w:t>
            </w:r>
          </w:p>
        </w:tc>
        <w:tc>
          <w:tcPr>
            <w:tcW w:w="4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9"/>
              </w:rPr>
              <w:t>(5,403,944 )</w:t>
            </w:r>
          </w:p>
        </w:tc>
      </w:tr>
      <w:tr>
        <w:trPr>
          <w:trHeight w:val="220"/>
        </w:trPr>
        <w:tc>
          <w:tcPr>
            <w:tcW w:w="5520" w:type="dxa"/>
            <w:vAlign w:val="bottom"/>
          </w:tcPr>
          <w:p>
            <w:pPr>
              <w:ind w:left="20"/>
              <w:spacing w:after="0"/>
              <w:rPr>
                <w:sz w:val="20"/>
                <w:szCs w:val="20"/>
                <w:color w:val="auto"/>
              </w:rPr>
            </w:pPr>
            <w:r>
              <w:rPr>
                <w:rFonts w:ascii="Arial" w:cs="Arial" w:eastAsia="Arial" w:hAnsi="Arial"/>
                <w:sz w:val="16"/>
                <w:szCs w:val="16"/>
                <w:color w:val="auto"/>
              </w:rPr>
              <w:t>Current period losses for which no deferred tax asset has been recognized</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(2,830,006 )</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(906,766 )</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(7,819,144 )</w:t>
            </w: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(4,153,081 )</w:t>
            </w:r>
          </w:p>
        </w:tc>
      </w:tr>
      <w:tr>
        <w:trPr>
          <w:trHeight w:val="22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Non-deductible expenses</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(101,995 )</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(112,887 )</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(335,643 )</w:t>
            </w: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(302,947 )</w:t>
            </w:r>
          </w:p>
        </w:tc>
      </w:tr>
      <w:tr>
        <w:trPr>
          <w:trHeight w:val="23"/>
        </w:trPr>
        <w:tc>
          <w:tcPr>
            <w:tcW w:w="5520" w:type="dxa"/>
            <w:vAlign w:val="bottom"/>
            <w:shd w:val="clear" w:color="auto" w:fill="CFF0FC"/>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Total tax (charge)/credit</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(146,273 )</w:t>
            </w:r>
          </w:p>
        </w:tc>
        <w:tc>
          <w:tcPr>
            <w:tcW w:w="1240" w:type="dxa"/>
            <w:vAlign w:val="bottom"/>
          </w:tcPr>
          <w:p>
            <w:pPr>
              <w:jc w:val="right"/>
              <w:spacing w:after="0"/>
              <w:rPr>
                <w:sz w:val="20"/>
                <w:szCs w:val="20"/>
                <w:color w:val="auto"/>
              </w:rPr>
            </w:pPr>
            <w:r>
              <w:rPr>
                <w:rFonts w:ascii="Arial" w:cs="Arial" w:eastAsia="Arial" w:hAnsi="Arial"/>
                <w:sz w:val="16"/>
                <w:szCs w:val="16"/>
                <w:color w:val="auto"/>
              </w:rPr>
              <w:t>2,403,929</w:t>
            </w: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(301,108 )</w:t>
            </w: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(375,888 )</w:t>
            </w:r>
          </w:p>
        </w:tc>
      </w:tr>
      <w:tr>
        <w:trPr>
          <w:trHeight w:val="20"/>
        </w:trPr>
        <w:tc>
          <w:tcPr>
            <w:tcW w:w="55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-179070</wp:posOffset>
            </wp:positionV>
            <wp:extent cx="7683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-179070</wp:posOffset>
            </wp:positionV>
            <wp:extent cx="6858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-179070</wp:posOffset>
            </wp:positionV>
            <wp:extent cx="6858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9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spacing w:after="0" w:line="7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(estimated) average annual tax rate used for the nine months ended September 30, 2023 is (0.48)%, compared to (1.02)% for the nine months ended September 30, 2022. The estimated effective tax rate includes significant discrete tax effects relating to the tax impact (after utilization of DTAs previously not recognized) on foreign exchange gains. As foreign exchange results cannot be reliably forecasted, the effective tax rate at year end may deviate from the currently reflected estimated effective tax rate.</w:t>
      </w:r>
    </w:p>
    <w:p>
      <w:pPr>
        <w:spacing w:after="0" w:line="78"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 The differences in the overseas tax rates are due to the lower tax rate in Switzerland and the higher tax rate in the U.S. compared to the statutory income tax rate in the Netherlands.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16"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9"/>
        </w:trPr>
        <w:tc>
          <w:tcPr>
            <w:tcW w:w="69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September 30, 2023</w:t>
            </w:r>
          </w:p>
        </w:tc>
        <w:tc>
          <w:tcPr>
            <w:tcW w:w="22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December 31, 2022</w:t>
            </w:r>
          </w:p>
        </w:tc>
        <w:tc>
          <w:tcPr>
            <w:tcW w:w="100" w:type="dxa"/>
            <w:vAlign w:val="bottom"/>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6"/>
                <w:szCs w:val="16"/>
                <w:b w:val="1"/>
                <w:bCs w:val="1"/>
                <w:color w:val="auto"/>
              </w:rPr>
              <w:t>Net book value</w:t>
            </w:r>
          </w:p>
        </w:tc>
        <w:tc>
          <w:tcPr>
            <w:tcW w:w="218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t>
            </w: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beginning of period</w:t>
            </w:r>
          </w:p>
        </w:tc>
        <w:tc>
          <w:tcPr>
            <w:tcW w:w="1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193,474</w:t>
            </w:r>
          </w:p>
        </w:tc>
        <w:tc>
          <w:tcPr>
            <w:tcW w:w="2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108,098</w:t>
            </w:r>
          </w:p>
        </w:tc>
        <w:tc>
          <w:tcPr>
            <w:tcW w:w="100" w:type="dxa"/>
            <w:vAlign w:val="bottom"/>
            <w:shd w:val="clear" w:color="auto" w:fill="CFF0FC"/>
          </w:tcPr>
          <w:p>
            <w:pPr>
              <w:spacing w:after="0"/>
              <w:rPr>
                <w:sz w:val="19"/>
                <w:szCs w:val="19"/>
                <w:color w:val="auto"/>
              </w:rPr>
            </w:pPr>
          </w:p>
        </w:tc>
      </w:tr>
      <w:tr>
        <w:trPr>
          <w:trHeight w:val="226"/>
        </w:trPr>
        <w:tc>
          <w:tcPr>
            <w:tcW w:w="69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960" w:type="dxa"/>
            <w:vAlign w:val="bottom"/>
          </w:tcPr>
          <w:p>
            <w:pPr>
              <w:jc w:val="right"/>
              <w:spacing w:after="0"/>
              <w:rPr>
                <w:sz w:val="20"/>
                <w:szCs w:val="20"/>
                <w:color w:val="auto"/>
              </w:rPr>
            </w:pPr>
            <w:r>
              <w:rPr>
                <w:rFonts w:ascii="Arial" w:cs="Arial" w:eastAsia="Arial" w:hAnsi="Arial"/>
                <w:sz w:val="16"/>
                <w:szCs w:val="16"/>
                <w:color w:val="auto"/>
              </w:rPr>
              <w:t>61,603</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124,296</w:t>
            </w:r>
          </w:p>
        </w:tc>
        <w:tc>
          <w:tcPr>
            <w:tcW w:w="100" w:type="dxa"/>
            <w:vAlign w:val="bottom"/>
          </w:tcPr>
          <w:p>
            <w:pPr>
              <w:spacing w:after="0"/>
              <w:rPr>
                <w:sz w:val="19"/>
                <w:szCs w:val="19"/>
                <w:color w:val="auto"/>
              </w:rPr>
            </w:pPr>
          </w:p>
        </w:tc>
      </w:tr>
      <w:tr>
        <w:trPr>
          <w:trHeight w:val="232"/>
        </w:trPr>
        <w:tc>
          <w:tcPr>
            <w:tcW w:w="6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expenses</w:t>
            </w:r>
          </w:p>
        </w:tc>
        <w:tc>
          <w:tcPr>
            <w:tcW w:w="2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(43,108 )</w:t>
            </w:r>
          </w:p>
        </w:tc>
        <w:tc>
          <w:tcPr>
            <w:tcW w:w="2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(38,920 )</w:t>
            </w:r>
          </w:p>
        </w:tc>
      </w:tr>
      <w:tr>
        <w:trPr>
          <w:trHeight w:val="223"/>
        </w:trPr>
        <w:tc>
          <w:tcPr>
            <w:tcW w:w="69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Balance at end of period</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211,969</w:t>
            </w:r>
          </w:p>
        </w:tc>
        <w:tc>
          <w:tcPr>
            <w:tcW w:w="220" w:type="dxa"/>
            <w:vAlign w:val="bottom"/>
            <w:tcBorders>
              <w:top w:val="single" w:sz="8" w:color="CFF0FC"/>
            </w:tcBorders>
          </w:tcPr>
          <w:p>
            <w:pPr>
              <w:spacing w:after="0"/>
              <w:rPr>
                <w:sz w:val="19"/>
                <w:szCs w:val="19"/>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193,474</w:t>
            </w:r>
          </w:p>
        </w:tc>
        <w:tc>
          <w:tcPr>
            <w:tcW w:w="100" w:type="dxa"/>
            <w:vAlign w:val="bottom"/>
            <w:tcBorders>
              <w:top w:val="single" w:sz="8" w:color="CFF0FC"/>
            </w:tcBorders>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69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September 30, 2023</w:t>
            </w:r>
          </w:p>
        </w:tc>
        <w:tc>
          <w:tcPr>
            <w:tcW w:w="22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December 31, 2022</w:t>
            </w:r>
          </w:p>
        </w:tc>
        <w:tc>
          <w:tcPr>
            <w:tcW w:w="100" w:type="dxa"/>
            <w:vAlign w:val="bottom"/>
          </w:tcPr>
          <w:p>
            <w:pPr>
              <w:spacing w:after="0"/>
              <w:rPr>
                <w:sz w:val="24"/>
                <w:szCs w:val="24"/>
                <w:color w:val="auto"/>
              </w:rPr>
            </w:pP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Cumulative depreciation</w:t>
            </w:r>
          </w:p>
        </w:tc>
        <w:tc>
          <w:tcPr>
            <w:tcW w:w="21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w:t>
            </w:r>
          </w:p>
        </w:tc>
        <w:tc>
          <w:tcPr>
            <w:tcW w:w="21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9"/>
              </w:rPr>
              <w:t>€</w:t>
            </w:r>
          </w:p>
        </w:tc>
      </w:tr>
      <w:tr>
        <w:trPr>
          <w:trHeight w:val="226"/>
        </w:trPr>
        <w:tc>
          <w:tcPr>
            <w:tcW w:w="692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180" w:type="dxa"/>
            <w:vAlign w:val="bottom"/>
            <w:gridSpan w:val="2"/>
          </w:tcPr>
          <w:p>
            <w:pPr>
              <w:jc w:val="right"/>
              <w:ind w:right="160"/>
              <w:spacing w:after="0"/>
              <w:rPr>
                <w:sz w:val="20"/>
                <w:szCs w:val="20"/>
                <w:color w:val="auto"/>
              </w:rPr>
            </w:pPr>
            <w:r>
              <w:rPr>
                <w:rFonts w:ascii="Arial" w:cs="Arial" w:eastAsia="Arial" w:hAnsi="Arial"/>
                <w:sz w:val="16"/>
                <w:szCs w:val="16"/>
                <w:color w:val="auto"/>
              </w:rPr>
              <w:t>(65,526 )</w:t>
            </w:r>
          </w:p>
        </w:tc>
        <w:tc>
          <w:tcPr>
            <w:tcW w:w="2140" w:type="dxa"/>
            <w:vAlign w:val="bottom"/>
            <w:gridSpan w:val="2"/>
          </w:tcPr>
          <w:p>
            <w:pPr>
              <w:jc w:val="right"/>
              <w:ind w:right="40"/>
              <w:spacing w:after="0"/>
              <w:rPr>
                <w:sz w:val="20"/>
                <w:szCs w:val="20"/>
                <w:color w:val="auto"/>
              </w:rPr>
            </w:pPr>
            <w:r>
              <w:rPr>
                <w:rFonts w:ascii="Arial" w:cs="Arial" w:eastAsia="Arial" w:hAnsi="Arial"/>
                <w:sz w:val="16"/>
                <w:szCs w:val="16"/>
                <w:color w:val="auto"/>
              </w:rPr>
              <w:t>(26,606 )</w:t>
            </w:r>
          </w:p>
        </w:tc>
      </w:tr>
      <w:tr>
        <w:trPr>
          <w:trHeight w:val="232"/>
        </w:trPr>
        <w:tc>
          <w:tcPr>
            <w:tcW w:w="6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w:t>
            </w:r>
          </w:p>
        </w:tc>
        <w:tc>
          <w:tcPr>
            <w:tcW w:w="2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(43,108 )</w:t>
            </w:r>
          </w:p>
        </w:tc>
        <w:tc>
          <w:tcPr>
            <w:tcW w:w="2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(38,920 )</w:t>
            </w:r>
          </w:p>
        </w:tc>
      </w:tr>
      <w:tr>
        <w:trPr>
          <w:trHeight w:val="20"/>
        </w:trPr>
        <w:tc>
          <w:tcPr>
            <w:tcW w:w="692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180" w:type="dxa"/>
            <w:vAlign w:val="bottom"/>
            <w:gridSpan w:val="2"/>
          </w:tcPr>
          <w:p>
            <w:pPr>
              <w:jc w:val="right"/>
              <w:ind w:right="160"/>
              <w:spacing w:after="0"/>
              <w:rPr>
                <w:sz w:val="20"/>
                <w:szCs w:val="20"/>
                <w:color w:val="auto"/>
              </w:rPr>
            </w:pPr>
            <w:r>
              <w:rPr>
                <w:rFonts w:ascii="Arial" w:cs="Arial" w:eastAsia="Arial" w:hAnsi="Arial"/>
                <w:sz w:val="16"/>
                <w:szCs w:val="16"/>
                <w:color w:val="auto"/>
              </w:rPr>
              <w:t>(108,634 )</w:t>
            </w:r>
          </w:p>
        </w:tc>
        <w:tc>
          <w:tcPr>
            <w:tcW w:w="2140" w:type="dxa"/>
            <w:vAlign w:val="bottom"/>
            <w:gridSpan w:val="2"/>
          </w:tcPr>
          <w:p>
            <w:pPr>
              <w:jc w:val="right"/>
              <w:ind w:right="40"/>
              <w:spacing w:after="0"/>
              <w:rPr>
                <w:sz w:val="20"/>
                <w:szCs w:val="20"/>
                <w:color w:val="auto"/>
              </w:rPr>
            </w:pPr>
            <w:r>
              <w:rPr>
                <w:rFonts w:ascii="Arial" w:cs="Arial" w:eastAsia="Arial" w:hAnsi="Arial"/>
                <w:sz w:val="16"/>
                <w:szCs w:val="16"/>
                <w:color w:val="auto"/>
              </w:rPr>
              <w:t>(65,526 )</w:t>
            </w:r>
          </w:p>
        </w:tc>
      </w:tr>
      <w:tr>
        <w:trPr>
          <w:trHeight w:val="20"/>
        </w:trPr>
        <w:tc>
          <w:tcPr>
            <w:tcW w:w="69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69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September 30, 2023</w:t>
            </w:r>
          </w:p>
        </w:tc>
        <w:tc>
          <w:tcPr>
            <w:tcW w:w="22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December 31, 2022</w:t>
            </w:r>
          </w:p>
        </w:tc>
        <w:tc>
          <w:tcPr>
            <w:tcW w:w="100" w:type="dxa"/>
            <w:vAlign w:val="bottom"/>
          </w:tcPr>
          <w:p>
            <w:pPr>
              <w:spacing w:after="0"/>
              <w:rPr>
                <w:sz w:val="24"/>
                <w:szCs w:val="24"/>
                <w:color w:val="auto"/>
              </w:rPr>
            </w:pPr>
          </w:p>
        </w:tc>
      </w:tr>
      <w:tr>
        <w:trPr>
          <w:trHeight w:val="243"/>
        </w:trPr>
        <w:tc>
          <w:tcPr>
            <w:tcW w:w="69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Cumulative Costs</w:t>
            </w:r>
          </w:p>
        </w:tc>
        <w:tc>
          <w:tcPr>
            <w:tcW w:w="218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w:t>
            </w:r>
          </w:p>
        </w:tc>
        <w:tc>
          <w:tcPr>
            <w:tcW w:w="21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9"/>
              </w:rPr>
              <w:t>€</w:t>
            </w:r>
          </w:p>
        </w:tc>
      </w:tr>
      <w:tr>
        <w:trPr>
          <w:trHeight w:val="240"/>
        </w:trPr>
        <w:tc>
          <w:tcPr>
            <w:tcW w:w="692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1960" w:type="dxa"/>
            <w:vAlign w:val="bottom"/>
          </w:tcPr>
          <w:p>
            <w:pPr>
              <w:jc w:val="right"/>
              <w:spacing w:after="0"/>
              <w:rPr>
                <w:sz w:val="20"/>
                <w:szCs w:val="20"/>
                <w:color w:val="auto"/>
              </w:rPr>
            </w:pPr>
            <w:r>
              <w:rPr>
                <w:rFonts w:ascii="Arial" w:cs="Arial" w:eastAsia="Arial" w:hAnsi="Arial"/>
                <w:sz w:val="16"/>
                <w:szCs w:val="16"/>
                <w:color w:val="auto"/>
              </w:rPr>
              <w:t>259,000</w:t>
            </w:r>
          </w:p>
        </w:tc>
        <w:tc>
          <w:tcPr>
            <w:tcW w:w="2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134,704</w:t>
            </w:r>
          </w:p>
        </w:tc>
        <w:tc>
          <w:tcPr>
            <w:tcW w:w="100" w:type="dxa"/>
            <w:vAlign w:val="bottom"/>
          </w:tcPr>
          <w:p>
            <w:pPr>
              <w:spacing w:after="0"/>
              <w:rPr>
                <w:sz w:val="20"/>
                <w:szCs w:val="20"/>
                <w:color w:val="auto"/>
              </w:rPr>
            </w:pPr>
          </w:p>
        </w:tc>
      </w:tr>
      <w:tr>
        <w:trPr>
          <w:trHeight w:val="232"/>
        </w:trPr>
        <w:tc>
          <w:tcPr>
            <w:tcW w:w="6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Additions</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61,603</w:t>
            </w:r>
          </w:p>
        </w:tc>
        <w:tc>
          <w:tcPr>
            <w:tcW w:w="22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124,296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320,603</w:t>
            </w:r>
          </w:p>
        </w:tc>
        <w:tc>
          <w:tcPr>
            <w:tcW w:w="22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259,000</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-2037080</wp:posOffset>
            </wp:positionV>
            <wp:extent cx="68580" cy="4794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4794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4794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47942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-1120775</wp:posOffset>
            </wp:positionV>
            <wp:extent cx="68580" cy="488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-1120775</wp:posOffset>
            </wp:positionV>
            <wp:extent cx="68580" cy="4883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-179070</wp:posOffset>
            </wp:positionV>
            <wp:extent cx="685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20" w:lineRule="exact"/>
        <w:rPr>
          <w:sz w:val="20"/>
          <w:szCs w:val="20"/>
          <w:color w:val="auto"/>
        </w:rPr>
      </w:pPr>
    </w:p>
    <w:p>
      <w:pPr>
        <w:ind w:right="500"/>
        <w:spacing w:after="0" w:line="275" w:lineRule="auto"/>
        <w:rPr>
          <w:sz w:val="20"/>
          <w:szCs w:val="20"/>
          <w:color w:val="auto"/>
        </w:rPr>
      </w:pPr>
      <w:r>
        <w:rPr>
          <w:rFonts w:ascii="Arial" w:cs="Arial" w:eastAsia="Arial" w:hAnsi="Arial"/>
          <w:sz w:val="16"/>
          <w:szCs w:val="16"/>
          <w:color w:val="auto"/>
        </w:rPr>
        <w:t>During the nine months ended September 30, 2023, the Group acquired assets with a cost of €61,603 (2022: €100,657). The acquisitions were mainly related to equipment, tools and installations.</w:t>
      </w:r>
    </w:p>
    <w:p>
      <w:pPr>
        <w:spacing w:after="0" w:line="6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Depreciation expense related to property and equipment for the three and nine months ended September 30, 2023 was €28,947 and €43,108, respectively, and for the three and nine months ended September 30, 2022 was €10,738 and €26,730,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Group’s right-of-use assets: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6"/>
                <w:szCs w:val="16"/>
                <w:color w:val="auto"/>
              </w:rPr>
              <w:t>September 30,</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780" w:type="dxa"/>
            <w:vAlign w:val="bottom"/>
          </w:tcPr>
          <w:p>
            <w:pPr>
              <w:spacing w:after="0"/>
              <w:rPr>
                <w:sz w:val="19"/>
                <w:szCs w:val="19"/>
                <w:color w:val="auto"/>
              </w:rPr>
            </w:pPr>
          </w:p>
        </w:tc>
        <w:tc>
          <w:tcPr>
            <w:tcW w:w="17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5"/>
              </w:rPr>
              <w:t>December 31, 2022</w:t>
            </w:r>
          </w:p>
        </w:tc>
        <w:tc>
          <w:tcPr>
            <w:tcW w:w="100" w:type="dxa"/>
            <w:vAlign w:val="bottom"/>
          </w:tcPr>
          <w:p>
            <w:pPr>
              <w:spacing w:after="0"/>
              <w:rPr>
                <w:sz w:val="19"/>
                <w:szCs w:val="19"/>
                <w:color w:val="auto"/>
              </w:rPr>
            </w:pPr>
          </w:p>
        </w:tc>
      </w:tr>
      <w:tr>
        <w:trPr>
          <w:trHeight w:val="220"/>
        </w:trPr>
        <w:tc>
          <w:tcPr>
            <w:tcW w:w="7780" w:type="dxa"/>
            <w:vAlign w:val="bottom"/>
          </w:tcPr>
          <w:p>
            <w:pPr>
              <w:spacing w:after="0"/>
              <w:rPr>
                <w:sz w:val="19"/>
                <w:szCs w:val="19"/>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beginning of period</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432,965</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243,251</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Addition</w:t>
            </w: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303,734</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charges</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(148,524 )</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(114,020 )</w:t>
            </w: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Impact of transaction of foreign currency</w:t>
            </w: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(453 )</w:t>
            </w: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6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end of period</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283,988</w:t>
            </w:r>
          </w:p>
        </w:tc>
        <w:tc>
          <w:tcPr>
            <w:tcW w:w="20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432,965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lease liabilities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748665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Office leases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portion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color w:val="auto"/>
        </w:rPr>
        <w:t>September 30,</w:t>
      </w:r>
      <w:r>
        <w:rPr>
          <w:sz w:val="20"/>
          <w:szCs w:val="20"/>
          <w:color w:val="auto"/>
        </w:rPr>
        <w:tab/>
      </w:r>
      <w:r>
        <w:rPr>
          <w:rFonts w:ascii="Arial" w:cs="Arial" w:eastAsia="Arial" w:hAnsi="Arial"/>
          <w:sz w:val="14"/>
          <w:szCs w:val="14"/>
          <w:color w:val="auto"/>
        </w:rPr>
        <w:t>December 31,</w:t>
      </w:r>
    </w:p>
    <w:p>
      <w:pPr>
        <w:spacing w:after="0" w:line="22" w:lineRule="exact"/>
        <w:rPr>
          <w:sz w:val="20"/>
          <w:szCs w:val="20"/>
          <w:color w:val="auto"/>
        </w:rPr>
      </w:pPr>
    </w:p>
    <w:p>
      <w:pPr>
        <w:ind w:left="300"/>
        <w:spacing w:after="0"/>
        <w:tabs>
          <w:tab w:leader="none" w:pos="2100" w:val="left"/>
        </w:tabs>
        <w:rPr>
          <w:sz w:val="20"/>
          <w:szCs w:val="20"/>
          <w:color w:val="auto"/>
        </w:rPr>
      </w:pPr>
      <w:r>
        <w:rPr>
          <w:rFonts w:ascii="Arial" w:cs="Arial" w:eastAsia="Arial" w:hAnsi="Arial"/>
          <w:sz w:val="16"/>
          <w:szCs w:val="16"/>
          <w:color w:val="auto"/>
        </w:rPr>
        <w:t>2023</w:t>
      </w:r>
      <w:r>
        <w:rPr>
          <w:sz w:val="20"/>
          <w:szCs w:val="20"/>
          <w:color w:val="auto"/>
        </w:rPr>
        <w:tab/>
      </w:r>
      <w:r>
        <w:rPr>
          <w:rFonts w:ascii="Arial" w:cs="Arial" w:eastAsia="Arial" w:hAnsi="Arial"/>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24130</wp:posOffset>
            </wp:positionV>
            <wp:extent cx="21494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9475" cy="8255"/>
                    </a:xfrm>
                    <a:prstGeom prst="rect">
                      <a:avLst/>
                    </a:prstGeom>
                    <a:noFill/>
                  </pic:spPr>
                </pic:pic>
              </a:graphicData>
            </a:graphic>
          </wp:anchor>
        </w:drawing>
      </w:r>
    </w:p>
    <w:p>
      <w:pPr>
        <w:spacing w:after="0" w:line="35" w:lineRule="exact"/>
        <w:rPr>
          <w:sz w:val="20"/>
          <w:szCs w:val="20"/>
          <w:color w:val="auto"/>
        </w:rPr>
      </w:pPr>
    </w:p>
    <w:p>
      <w:pPr>
        <w:ind w:left="440"/>
        <w:spacing w:after="0"/>
        <w:tabs>
          <w:tab w:leader="none" w:pos="2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45" w:lineRule="exact"/>
        <w:rPr>
          <w:sz w:val="20"/>
          <w:szCs w:val="20"/>
          <w:color w:val="auto"/>
        </w:rPr>
      </w:pPr>
    </w:p>
    <w:p>
      <w:pPr>
        <w:jc w:val="right"/>
        <w:ind w:right="40"/>
        <w:spacing w:after="0"/>
        <w:tabs>
          <w:tab w:leader="none" w:pos="640" w:val="left"/>
        </w:tabs>
        <w:rPr>
          <w:sz w:val="20"/>
          <w:szCs w:val="20"/>
          <w:color w:val="auto"/>
        </w:rPr>
      </w:pPr>
      <w:r>
        <w:rPr>
          <w:rFonts w:ascii="Arial" w:cs="Arial" w:eastAsia="Arial" w:hAnsi="Arial"/>
          <w:sz w:val="16"/>
          <w:szCs w:val="16"/>
          <w:color w:val="auto"/>
        </w:rPr>
        <w:t>(291,348 )</w:t>
      </w:r>
      <w:r>
        <w:rPr>
          <w:sz w:val="20"/>
          <w:szCs w:val="20"/>
          <w:color w:val="auto"/>
        </w:rPr>
        <w:tab/>
      </w:r>
      <w:r>
        <w:rPr>
          <w:rFonts w:ascii="Arial" w:cs="Arial" w:eastAsia="Arial" w:hAnsi="Arial"/>
          <w:sz w:val="14"/>
          <w:szCs w:val="14"/>
          <w:color w:val="auto"/>
        </w:rPr>
        <w:t>(436,822 )</w:t>
      </w:r>
    </w:p>
    <w:p>
      <w:pPr>
        <w:spacing w:after="0" w:line="45" w:lineRule="exact"/>
        <w:rPr>
          <w:sz w:val="20"/>
          <w:szCs w:val="20"/>
          <w:color w:val="auto"/>
        </w:rPr>
      </w:pPr>
    </w:p>
    <w:p>
      <w:pPr>
        <w:jc w:val="right"/>
        <w:ind w:right="40"/>
        <w:spacing w:after="0"/>
        <w:tabs>
          <w:tab w:leader="none" w:pos="640" w:val="left"/>
        </w:tabs>
        <w:rPr>
          <w:sz w:val="20"/>
          <w:szCs w:val="20"/>
          <w:color w:val="auto"/>
        </w:rPr>
      </w:pPr>
      <w:r>
        <w:rPr>
          <w:rFonts w:ascii="Arial" w:cs="Arial" w:eastAsia="Arial" w:hAnsi="Arial"/>
          <w:sz w:val="16"/>
          <w:szCs w:val="16"/>
          <w:color w:val="auto"/>
        </w:rPr>
        <w:t>(291,348 )</w:t>
      </w:r>
      <w:r>
        <w:rPr>
          <w:sz w:val="20"/>
          <w:szCs w:val="20"/>
          <w:color w:val="auto"/>
        </w:rPr>
        <w:tab/>
      </w:r>
      <w:r>
        <w:rPr>
          <w:rFonts w:ascii="Arial" w:cs="Arial" w:eastAsia="Arial" w:hAnsi="Arial"/>
          <w:sz w:val="14"/>
          <w:szCs w:val="14"/>
          <w:color w:val="auto"/>
        </w:rPr>
        <w:t>(436,822 )</w:t>
      </w:r>
    </w:p>
    <w:p>
      <w:pPr>
        <w:spacing w:after="0" w:line="41" w:lineRule="exact"/>
        <w:rPr>
          <w:sz w:val="20"/>
          <w:szCs w:val="20"/>
          <w:color w:val="auto"/>
        </w:rPr>
      </w:pPr>
    </w:p>
    <w:p>
      <w:pPr>
        <w:jc w:val="right"/>
        <w:ind w:right="40"/>
        <w:spacing w:after="0"/>
        <w:tabs>
          <w:tab w:leader="none" w:pos="640" w:val="left"/>
        </w:tabs>
        <w:rPr>
          <w:sz w:val="20"/>
          <w:szCs w:val="20"/>
          <w:color w:val="auto"/>
        </w:rPr>
      </w:pPr>
      <w:r>
        <w:rPr>
          <w:rFonts w:ascii="Arial" w:cs="Arial" w:eastAsia="Arial" w:hAnsi="Arial"/>
          <w:sz w:val="16"/>
          <w:szCs w:val="16"/>
          <w:b w:val="1"/>
          <w:bCs w:val="1"/>
          <w:color w:val="auto"/>
        </w:rPr>
        <w:t>(195,341 )</w:t>
      </w:r>
      <w:r>
        <w:rPr>
          <w:sz w:val="20"/>
          <w:szCs w:val="20"/>
          <w:color w:val="auto"/>
        </w:rPr>
        <w:tab/>
      </w:r>
      <w:r>
        <w:rPr>
          <w:rFonts w:ascii="Arial" w:cs="Arial" w:eastAsia="Arial" w:hAnsi="Arial"/>
          <w:sz w:val="14"/>
          <w:szCs w:val="14"/>
          <w:b w:val="1"/>
          <w:bCs w:val="1"/>
          <w:color w:val="auto"/>
        </w:rPr>
        <w:t>(187,404 )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29210</wp:posOffset>
            </wp:positionV>
            <wp:extent cx="21494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49475" cy="8255"/>
                    </a:xfrm>
                    <a:prstGeom prst="rect">
                      <a:avLst/>
                    </a:prstGeom>
                    <a:noFill/>
                  </pic:spPr>
                </pic:pic>
              </a:graphicData>
            </a:graphic>
          </wp:anchor>
        </w:drawing>
      </w:r>
    </w:p>
    <w:p>
      <w:pPr>
        <w:spacing w:after="0" w:line="39" w:lineRule="exact"/>
        <w:rPr>
          <w:sz w:val="20"/>
          <w:szCs w:val="20"/>
          <w:color w:val="auto"/>
        </w:rPr>
      </w:pPr>
    </w:p>
    <w:p>
      <w:pPr>
        <w:jc w:val="right"/>
        <w:ind w:right="40"/>
        <w:spacing w:after="0"/>
        <w:tabs>
          <w:tab w:leader="none" w:pos="640" w:val="left"/>
        </w:tabs>
        <w:rPr>
          <w:sz w:val="20"/>
          <w:szCs w:val="20"/>
          <w:color w:val="auto"/>
        </w:rPr>
      </w:pPr>
      <w:r>
        <w:rPr>
          <w:rFonts w:ascii="Arial" w:cs="Arial" w:eastAsia="Arial" w:hAnsi="Arial"/>
          <w:sz w:val="16"/>
          <w:szCs w:val="16"/>
          <w:b w:val="1"/>
          <w:bCs w:val="1"/>
          <w:color w:val="auto"/>
        </w:rPr>
        <w:t>(96,007 )</w:t>
      </w:r>
      <w:r>
        <w:rPr>
          <w:sz w:val="20"/>
          <w:szCs w:val="20"/>
          <w:color w:val="auto"/>
        </w:rPr>
        <w:tab/>
      </w:r>
      <w:r>
        <w:rPr>
          <w:rFonts w:ascii="Arial" w:cs="Arial" w:eastAsia="Arial" w:hAnsi="Arial"/>
          <w:sz w:val="14"/>
          <w:szCs w:val="14"/>
          <w:b w:val="1"/>
          <w:bCs w:val="1"/>
          <w:color w:val="auto"/>
        </w:rPr>
        <w:t>(249,418 )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29210</wp:posOffset>
            </wp:positionV>
            <wp:extent cx="214947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49475" cy="2540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7400" w:space="720"/>
            <w:col w:w="3120"/>
          </w:cols>
          <w:pgMar w:left="320" w:top="723" w:right="339" w:bottom="1440" w:gutter="0" w:footer="0" w:header="0"/>
          <w:type w:val="continuous"/>
        </w:sectPr>
      </w:pPr>
    </w:p>
    <w:p>
      <w:pPr>
        <w:ind w:right="100"/>
        <w:spacing w:after="0" w:line="275" w:lineRule="auto"/>
        <w:rPr>
          <w:sz w:val="20"/>
          <w:szCs w:val="20"/>
          <w:color w:val="auto"/>
        </w:rPr>
      </w:pPr>
      <w:r>
        <w:rPr>
          <w:rFonts w:ascii="Arial" w:cs="Arial" w:eastAsia="Arial" w:hAnsi="Arial"/>
          <w:sz w:val="16"/>
          <w:szCs w:val="16"/>
          <w:color w:val="auto"/>
        </w:rPr>
        <w:t>Office leases consist of a lease agreement entered into on June 1, 2021 for office space in Lexington, United States of America, and a lease entered into on December 1, 2022, for offices in Leiden, The Netherlands. Both leases have terms of three years and were assessed as being long-term.</w:t>
      </w:r>
    </w:p>
    <w:p>
      <w:pPr>
        <w:spacing w:after="0" w:line="6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average incremental borrowing rate applied to the lease liabilities was 7.77% during the nine months ended September 30, 2023 (2022: 3.12%). Cash outflows related to leases during the three and nine months ended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type w:val="continuous"/>
        </w:sectPr>
      </w:pPr>
    </w:p>
    <w:bookmarkStart w:id="31" w:name="page32"/>
    <w:bookmarkEnd w:id="31"/>
    <w:p>
      <w:pPr>
        <w:ind w:right="140"/>
        <w:spacing w:after="0" w:line="275" w:lineRule="auto"/>
        <w:rPr>
          <w:sz w:val="20"/>
          <w:szCs w:val="20"/>
          <w:color w:val="auto"/>
        </w:rPr>
      </w:pPr>
      <w:r>
        <w:rPr>
          <w:rFonts w:ascii="Arial" w:cs="Arial" w:eastAsia="Arial" w:hAnsi="Arial"/>
          <w:sz w:val="16"/>
          <w:szCs w:val="16"/>
          <w:color w:val="auto"/>
        </w:rPr>
        <w:t>September 30, 2023, were €81,945 and €187,629, respectively, and for the three and nine months ended September 30, 2022, were €34,892 and €73,320,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7"/>
                <w:szCs w:val="17"/>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100" w:type="dxa"/>
            <w:vAlign w:val="bottom"/>
          </w:tcPr>
          <w:p>
            <w:pPr>
              <w:spacing w:after="0"/>
              <w:rPr>
                <w:sz w:val="17"/>
                <w:szCs w:val="17"/>
                <w:color w:val="auto"/>
              </w:rPr>
            </w:pPr>
          </w:p>
        </w:tc>
      </w:tr>
      <w:tr>
        <w:trPr>
          <w:trHeight w:val="219"/>
        </w:trPr>
        <w:tc>
          <w:tcPr>
            <w:tcW w:w="764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color w:val="auto"/>
              </w:rPr>
              <w:t>2023</w:t>
            </w:r>
          </w:p>
        </w:tc>
        <w:tc>
          <w:tcPr>
            <w:tcW w:w="1860" w:type="dxa"/>
            <w:vAlign w:val="bottom"/>
            <w:gridSpan w:val="2"/>
          </w:tcPr>
          <w:p>
            <w:pPr>
              <w:jc w:val="right"/>
              <w:ind w:right="5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764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r>
      <w:tr>
        <w:trPr>
          <w:trHeight w:val="232"/>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VAT receivables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308,845</w:t>
            </w:r>
          </w:p>
        </w:tc>
        <w:tc>
          <w:tcPr>
            <w:tcW w:w="28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308,845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382,468</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current assets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7"/>
                <w:szCs w:val="17"/>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100" w:type="dxa"/>
            <w:vAlign w:val="bottom"/>
          </w:tcPr>
          <w:p>
            <w:pPr>
              <w:spacing w:after="0"/>
              <w:rPr>
                <w:sz w:val="17"/>
                <w:szCs w:val="17"/>
                <w:color w:val="auto"/>
              </w:rPr>
            </w:pPr>
          </w:p>
        </w:tc>
      </w:tr>
      <w:tr>
        <w:trPr>
          <w:trHeight w:val="219"/>
        </w:trPr>
        <w:tc>
          <w:tcPr>
            <w:tcW w:w="764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color w:val="auto"/>
              </w:rPr>
              <w:t>2023</w:t>
            </w:r>
          </w:p>
        </w:tc>
        <w:tc>
          <w:tcPr>
            <w:tcW w:w="1860" w:type="dxa"/>
            <w:vAlign w:val="bottom"/>
            <w:gridSpan w:val="2"/>
          </w:tcPr>
          <w:p>
            <w:pPr>
              <w:jc w:val="right"/>
              <w:ind w:right="5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764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Prepayments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8,992,217</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4,044,255</w:t>
            </w:r>
          </w:p>
        </w:tc>
        <w:tc>
          <w:tcPr>
            <w:tcW w:w="100" w:type="dxa"/>
            <w:vAlign w:val="bottom"/>
            <w:shd w:val="clear" w:color="auto" w:fill="CFF0FC"/>
          </w:tcPr>
          <w:p>
            <w:pPr>
              <w:spacing w:after="0"/>
              <w:rPr>
                <w:sz w:val="20"/>
                <w:szCs w:val="20"/>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859,872</w:t>
            </w:r>
          </w:p>
        </w:tc>
        <w:tc>
          <w:tcPr>
            <w:tcW w:w="2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582,589</w:t>
            </w:r>
          </w:p>
        </w:tc>
        <w:tc>
          <w:tcPr>
            <w:tcW w:w="100" w:type="dxa"/>
            <w:vAlign w:val="bottom"/>
          </w:tcPr>
          <w:p>
            <w:pPr>
              <w:spacing w:after="0"/>
              <w:rPr>
                <w:sz w:val="19"/>
                <w:szCs w:val="19"/>
                <w:color w:val="auto"/>
              </w:rPr>
            </w:pPr>
          </w:p>
        </w:tc>
      </w:tr>
      <w:tr>
        <w:trPr>
          <w:trHeight w:val="263"/>
        </w:trPr>
        <w:tc>
          <w:tcPr>
            <w:tcW w:w="7640" w:type="dxa"/>
            <w:vAlign w:val="bottom"/>
            <w:tcBorders>
              <w:bottom w:val="single" w:sz="8" w:color="CFF0FC"/>
            </w:tcBorders>
            <w:shd w:val="clear" w:color="auto" w:fill="CFF0FC"/>
          </w:tcPr>
          <w:p>
            <w:pPr>
              <w:spacing w:after="0"/>
              <w:rPr>
                <w:sz w:val="22"/>
                <w:szCs w:val="2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9,852,089</w:t>
            </w:r>
          </w:p>
        </w:tc>
        <w:tc>
          <w:tcPr>
            <w:tcW w:w="28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4,626,844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R&amp;D expenses and rent.</w:t>
      </w:r>
    </w:p>
    <w:p>
      <w:pPr>
        <w:spacing w:after="0" w:line="113"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Other assets mainly consist of deferred transaction costs related to the Group’s in-process equity financing. The Company defers the transaction costs related to any in-process financing. Upon recognition of the equity instruments, the related transaction costs are deducted from share premium.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of cash in bank and are not subject to any restriction.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1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In June 30, 2023, the Company’s authorized share capital amounted to €14,100,000 divided into 58,750,000 ordinary shares and 58,750,000 preferred shares, each with a nominal value of €0.12. As of September 30, 2023 and 2022, the total number of ordinary shares issued was 40,983,675 and 33,787,740, respectively. As of December 31, 2022, the total number of issued shares was 33,816,459.</w:t>
      </w:r>
    </w:p>
    <w:p>
      <w:pPr>
        <w:spacing w:after="0" w:line="76"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As of September 30, 2023, and 2022, the issued share capital totaled €4,918,041 and €4,054,529, respectively. On December 31, 2022, the issued share capital totaled €4,057,976.</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 March 2022, the Company filed a Form F-3 Registration Statement and prospectus with the Securities and Exchange Commission relating to an at-the-market program providing for the sales from time to time of up to $75 million of its ordinary shares pursuant to a Sales Agreement with Leerink Partners. As of September 30, 2023, the Company has sold a total of 593,927 ordinary shares under the sales agreement generating total net proceeds of $9,826,427 (€9.3 million), after deducting $303,910 (€311,700), which was payable to Leerink Partners as commission in respect of such sales.</w:t>
      </w:r>
    </w:p>
    <w:p>
      <w:pPr>
        <w:spacing w:after="0" w:line="7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(€64.2 million).</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September 30,</w:t>
            </w:r>
          </w:p>
        </w:tc>
        <w:tc>
          <w:tcPr>
            <w:tcW w:w="2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7"/>
                <w:szCs w:val="17"/>
                <w:color w:val="auto"/>
              </w:rPr>
            </w:pPr>
          </w:p>
        </w:tc>
      </w:tr>
      <w:tr>
        <w:trPr>
          <w:trHeight w:val="219"/>
        </w:trPr>
        <w:tc>
          <w:tcPr>
            <w:tcW w:w="76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860" w:type="dxa"/>
            <w:vAlign w:val="bottom"/>
            <w:gridSpan w:val="2"/>
          </w:tcPr>
          <w:p>
            <w:pPr>
              <w:jc w:val="center"/>
              <w:ind w:left="179"/>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1"/>
              </w:rPr>
              <w:t>Number of shares</w:t>
            </w:r>
          </w:p>
        </w:tc>
        <w:tc>
          <w:tcPr>
            <w:tcW w:w="2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1"/>
              </w:rPr>
              <w:t>Number of shares</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Ordinary shares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40,983,675</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33,816,459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40,983,675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33,816,459</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14. Trade and other payables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September 30,</w:t>
            </w:r>
          </w:p>
        </w:tc>
        <w:tc>
          <w:tcPr>
            <w:tcW w:w="260" w:type="dxa"/>
            <w:vAlign w:val="bottom"/>
          </w:tcPr>
          <w:p>
            <w:pPr>
              <w:spacing w:after="0"/>
              <w:rPr>
                <w:sz w:val="17"/>
                <w:szCs w:val="17"/>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100" w:type="dxa"/>
            <w:vAlign w:val="bottom"/>
          </w:tcPr>
          <w:p>
            <w:pPr>
              <w:spacing w:after="0"/>
              <w:rPr>
                <w:sz w:val="17"/>
                <w:szCs w:val="17"/>
                <w:color w:val="auto"/>
              </w:rPr>
            </w:pPr>
          </w:p>
        </w:tc>
      </w:tr>
      <w:tr>
        <w:trPr>
          <w:trHeight w:val="219"/>
        </w:trPr>
        <w:tc>
          <w:tcPr>
            <w:tcW w:w="7700" w:type="dxa"/>
            <w:vAlign w:val="bottom"/>
          </w:tcPr>
          <w:p>
            <w:pPr>
              <w:spacing w:after="0"/>
              <w:rPr>
                <w:sz w:val="19"/>
                <w:szCs w:val="19"/>
                <w:color w:val="auto"/>
              </w:rPr>
            </w:pP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2023</w:t>
            </w:r>
          </w:p>
        </w:tc>
        <w:tc>
          <w:tcPr>
            <w:tcW w:w="1840" w:type="dxa"/>
            <w:vAlign w:val="bottom"/>
            <w:gridSpan w:val="2"/>
          </w:tcPr>
          <w:p>
            <w:pPr>
              <w:jc w:val="right"/>
              <w:ind w:right="5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770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payables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3,605,346</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5,979,168</w:t>
            </w:r>
          </w:p>
        </w:tc>
        <w:tc>
          <w:tcPr>
            <w:tcW w:w="100" w:type="dxa"/>
            <w:vAlign w:val="bottom"/>
            <w:shd w:val="clear" w:color="auto" w:fill="CFF0FC"/>
          </w:tcPr>
          <w:p>
            <w:pPr>
              <w:spacing w:after="0"/>
              <w:rPr>
                <w:sz w:val="20"/>
                <w:szCs w:val="20"/>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6"/>
                <w:szCs w:val="16"/>
                <w:color w:val="auto"/>
              </w:rPr>
              <w:t>Tax and social security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828,900</w:t>
            </w:r>
          </w:p>
        </w:tc>
        <w:tc>
          <w:tcPr>
            <w:tcW w:w="2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705,912</w:t>
            </w:r>
          </w:p>
        </w:tc>
        <w:tc>
          <w:tcPr>
            <w:tcW w:w="100" w:type="dxa"/>
            <w:vAlign w:val="bottom"/>
          </w:tcPr>
          <w:p>
            <w:pPr>
              <w:spacing w:after="0"/>
              <w:rPr>
                <w:sz w:val="19"/>
                <w:szCs w:val="19"/>
                <w:color w:val="auto"/>
              </w:rPr>
            </w:pPr>
          </w:p>
        </w:tc>
      </w:tr>
      <w:tr>
        <w:trPr>
          <w:trHeight w:val="223"/>
        </w:trPr>
        <w:tc>
          <w:tcPr>
            <w:tcW w:w="77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4,434,246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6,685,080</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1600" w:type="dxa"/>
            <w:vAlign w:val="bottom"/>
          </w:tcPr>
          <w:p>
            <w:pPr>
              <w:jc w:val="right"/>
              <w:ind w:right="259"/>
              <w:spacing w:after="0"/>
              <w:rPr>
                <w:sz w:val="20"/>
                <w:szCs w:val="20"/>
                <w:color w:val="auto"/>
              </w:rPr>
            </w:pPr>
            <w:r>
              <w:rPr>
                <w:rFonts w:ascii="Arial" w:cs="Arial" w:eastAsia="Arial" w:hAnsi="Arial"/>
                <w:sz w:val="16"/>
                <w:szCs w:val="16"/>
                <w:color w:val="auto"/>
              </w:rPr>
              <w:t>September 30,</w:t>
            </w:r>
          </w:p>
        </w:tc>
        <w:tc>
          <w:tcPr>
            <w:tcW w:w="260" w:type="dxa"/>
            <w:vAlign w:val="bottom"/>
          </w:tcPr>
          <w:p>
            <w:pPr>
              <w:spacing w:after="0"/>
              <w:rPr>
                <w:sz w:val="17"/>
                <w:szCs w:val="17"/>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December 31,</w:t>
            </w:r>
          </w:p>
        </w:tc>
        <w:tc>
          <w:tcPr>
            <w:tcW w:w="100" w:type="dxa"/>
            <w:vAlign w:val="bottom"/>
          </w:tcPr>
          <w:p>
            <w:pPr>
              <w:spacing w:after="0"/>
              <w:rPr>
                <w:sz w:val="17"/>
                <w:szCs w:val="17"/>
                <w:color w:val="auto"/>
              </w:rPr>
            </w:pPr>
          </w:p>
        </w:tc>
      </w:tr>
      <w:tr>
        <w:trPr>
          <w:trHeight w:val="219"/>
        </w:trPr>
        <w:tc>
          <w:tcPr>
            <w:tcW w:w="7700" w:type="dxa"/>
            <w:vAlign w:val="bottom"/>
          </w:tcPr>
          <w:p>
            <w:pPr>
              <w:spacing w:after="0"/>
              <w:rPr>
                <w:sz w:val="19"/>
                <w:szCs w:val="19"/>
                <w:color w:val="auto"/>
              </w:rPr>
            </w:pP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2023</w:t>
            </w:r>
          </w:p>
        </w:tc>
        <w:tc>
          <w:tcPr>
            <w:tcW w:w="1840" w:type="dxa"/>
            <w:vAlign w:val="bottom"/>
            <w:gridSpan w:val="2"/>
          </w:tcPr>
          <w:p>
            <w:pPr>
              <w:jc w:val="right"/>
              <w:ind w:right="5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770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Consulting, professional and audit liability</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425,405</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642,662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Clinical accrued liabilities</w:t>
            </w:r>
          </w:p>
        </w:tc>
        <w:tc>
          <w:tcPr>
            <w:tcW w:w="1600" w:type="dxa"/>
            <w:vAlign w:val="bottom"/>
          </w:tcPr>
          <w:p>
            <w:pPr>
              <w:jc w:val="right"/>
              <w:spacing w:after="0"/>
              <w:rPr>
                <w:sz w:val="20"/>
                <w:szCs w:val="20"/>
                <w:color w:val="auto"/>
              </w:rPr>
            </w:pPr>
            <w:r>
              <w:rPr>
                <w:rFonts w:ascii="Arial" w:cs="Arial" w:eastAsia="Arial" w:hAnsi="Arial"/>
                <w:sz w:val="16"/>
                <w:szCs w:val="16"/>
                <w:color w:val="auto"/>
              </w:rPr>
              <w:t>4,162,560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3,824,468</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Manufacturing accrued liabilities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1,955,124</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2,285,584</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Arial" w:cs="Arial" w:eastAsia="Arial" w:hAnsi="Arial"/>
                <w:sz w:val="16"/>
                <w:szCs w:val="16"/>
                <w:color w:val="auto"/>
              </w:rPr>
              <w:t>Pre-clinical accrued liabilities</w:t>
            </w:r>
          </w:p>
        </w:tc>
        <w:tc>
          <w:tcPr>
            <w:tcW w:w="1600" w:type="dxa"/>
            <w:vAlign w:val="bottom"/>
          </w:tcPr>
          <w:p>
            <w:pPr>
              <w:jc w:val="right"/>
              <w:spacing w:after="0"/>
              <w:rPr>
                <w:sz w:val="20"/>
                <w:szCs w:val="20"/>
                <w:color w:val="auto"/>
              </w:rPr>
            </w:pPr>
            <w:r>
              <w:rPr>
                <w:rFonts w:ascii="Arial" w:cs="Arial" w:eastAsia="Arial" w:hAnsi="Arial"/>
                <w:sz w:val="16"/>
                <w:szCs w:val="16"/>
                <w:color w:val="auto"/>
              </w:rPr>
              <w:t>514,104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885,030</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related accruals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3,950,045</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2,971,068</w:t>
            </w:r>
          </w:p>
        </w:tc>
        <w:tc>
          <w:tcPr>
            <w:tcW w:w="100" w:type="dxa"/>
            <w:vAlign w:val="bottom"/>
            <w:shd w:val="clear" w:color="auto" w:fill="CFF0FC"/>
          </w:tcPr>
          <w:p>
            <w:pPr>
              <w:spacing w:after="0"/>
              <w:rPr>
                <w:sz w:val="20"/>
                <w:szCs w:val="20"/>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478,017</w:t>
            </w:r>
          </w:p>
        </w:tc>
        <w:tc>
          <w:tcPr>
            <w:tcW w:w="2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281,937</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11,485,255</w:t>
            </w:r>
          </w:p>
        </w:tc>
        <w:tc>
          <w:tcPr>
            <w:tcW w:w="26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10,890,749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16"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16"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Fair values of cash and cash equivalents, trade receivables, trade payables, and other current liabilities approximate their carrying amounts largely due to the short-term maturities of these instruments.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nine months ended September 30,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80" w:type="dxa"/>
            <w:vAlign w:val="bottom"/>
          </w:tcPr>
          <w:p>
            <w:pPr>
              <w:spacing w:after="0"/>
              <w:rPr>
                <w:sz w:val="19"/>
                <w:szCs w:val="19"/>
                <w:color w:val="auto"/>
              </w:rPr>
            </w:pPr>
          </w:p>
        </w:tc>
        <w:tc>
          <w:tcPr>
            <w:tcW w:w="2020" w:type="dxa"/>
            <w:vAlign w:val="bottom"/>
            <w:gridSpan w:val="3"/>
          </w:tcPr>
          <w:p>
            <w:pPr>
              <w:ind w:left="1060"/>
              <w:spacing w:after="0"/>
              <w:rPr>
                <w:sz w:val="20"/>
                <w:szCs w:val="20"/>
                <w:color w:val="auto"/>
              </w:rPr>
            </w:pPr>
            <w:r>
              <w:rPr>
                <w:rFonts w:ascii="Arial" w:cs="Arial" w:eastAsia="Arial" w:hAnsi="Arial"/>
                <w:sz w:val="16"/>
                <w:szCs w:val="16"/>
                <w:color w:val="auto"/>
                <w:w w:val="94"/>
              </w:rPr>
              <w:t>Stock Options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RSUs</w:t>
            </w:r>
          </w:p>
        </w:tc>
      </w:tr>
      <w:tr>
        <w:trPr>
          <w:trHeight w:val="206"/>
        </w:trPr>
        <w:tc>
          <w:tcPr>
            <w:tcW w:w="64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259"/>
              <w:spacing w:after="0"/>
              <w:rPr>
                <w:sz w:val="20"/>
                <w:szCs w:val="20"/>
                <w:color w:val="auto"/>
              </w:rPr>
            </w:pPr>
            <w:r>
              <w:rPr>
                <w:rFonts w:ascii="Arial" w:cs="Arial" w:eastAsia="Arial" w:hAnsi="Arial"/>
                <w:sz w:val="16"/>
                <w:szCs w:val="16"/>
                <w:color w:val="auto"/>
                <w:w w:val="88"/>
              </w:rPr>
              <w:t>Weighted</w:t>
            </w:r>
          </w:p>
        </w:tc>
        <w:tc>
          <w:tcPr>
            <w:tcW w:w="28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259"/>
              <w:spacing w:after="0"/>
              <w:rPr>
                <w:sz w:val="20"/>
                <w:szCs w:val="20"/>
                <w:color w:val="auto"/>
              </w:rPr>
            </w:pPr>
            <w:r>
              <w:rPr>
                <w:rFonts w:ascii="Arial" w:cs="Arial" w:eastAsia="Arial" w:hAnsi="Arial"/>
                <w:sz w:val="16"/>
                <w:szCs w:val="16"/>
                <w:color w:val="auto"/>
                <w:w w:val="89"/>
              </w:rPr>
              <w:t>average</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480" w:type="dxa"/>
            <w:vAlign w:val="bottom"/>
          </w:tcPr>
          <w:p>
            <w:pPr>
              <w:spacing w:after="0"/>
              <w:rPr>
                <w:sz w:val="17"/>
                <w:szCs w:val="17"/>
                <w:color w:val="auto"/>
              </w:rPr>
            </w:pPr>
          </w:p>
        </w:tc>
        <w:tc>
          <w:tcPr>
            <w:tcW w:w="2020" w:type="dxa"/>
            <w:vAlign w:val="bottom"/>
            <w:gridSpan w:val="3"/>
          </w:tcPr>
          <w:p>
            <w:pPr>
              <w:jc w:val="center"/>
              <w:ind w:right="620"/>
              <w:spacing w:after="0"/>
              <w:rPr>
                <w:sz w:val="20"/>
                <w:szCs w:val="20"/>
                <w:color w:val="auto"/>
              </w:rPr>
            </w:pPr>
            <w:r>
              <w:rPr>
                <w:rFonts w:ascii="Arial" w:cs="Arial" w:eastAsia="Arial" w:hAnsi="Arial"/>
                <w:sz w:val="16"/>
                <w:szCs w:val="16"/>
                <w:color w:val="auto"/>
                <w:w w:val="92"/>
              </w:rPr>
              <w:t>Outstanding</w:t>
            </w:r>
          </w:p>
        </w:tc>
        <w:tc>
          <w:tcPr>
            <w:tcW w:w="1020" w:type="dxa"/>
            <w:vAlign w:val="bottom"/>
          </w:tcPr>
          <w:p>
            <w:pPr>
              <w:jc w:val="center"/>
              <w:ind w:right="259"/>
              <w:spacing w:after="0"/>
              <w:rPr>
                <w:sz w:val="20"/>
                <w:szCs w:val="20"/>
                <w:color w:val="auto"/>
              </w:rPr>
            </w:pPr>
            <w:r>
              <w:rPr>
                <w:rFonts w:ascii="Arial" w:cs="Arial" w:eastAsia="Arial" w:hAnsi="Arial"/>
                <w:sz w:val="16"/>
                <w:szCs w:val="16"/>
                <w:color w:val="auto"/>
                <w:w w:val="87"/>
              </w:rPr>
              <w:t>exercise</w:t>
            </w:r>
          </w:p>
        </w:tc>
        <w:tc>
          <w:tcPr>
            <w:tcW w:w="28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Outstanding</w:t>
            </w:r>
          </w:p>
        </w:tc>
      </w:tr>
      <w:tr>
        <w:trPr>
          <w:trHeight w:val="219"/>
        </w:trPr>
        <w:tc>
          <w:tcPr>
            <w:tcW w:w="6480" w:type="dxa"/>
            <w:vAlign w:val="bottom"/>
          </w:tcPr>
          <w:p>
            <w:pPr>
              <w:spacing w:after="0"/>
              <w:rPr>
                <w:sz w:val="19"/>
                <w:szCs w:val="19"/>
                <w:color w:val="auto"/>
              </w:rPr>
            </w:pPr>
          </w:p>
        </w:tc>
        <w:tc>
          <w:tcPr>
            <w:tcW w:w="2020" w:type="dxa"/>
            <w:vAlign w:val="bottom"/>
            <w:gridSpan w:val="3"/>
          </w:tcPr>
          <w:p>
            <w:pPr>
              <w:jc w:val="center"/>
              <w:ind w:right="620"/>
              <w:spacing w:after="0"/>
              <w:rPr>
                <w:sz w:val="20"/>
                <w:szCs w:val="20"/>
                <w:color w:val="auto"/>
              </w:rPr>
            </w:pPr>
            <w:r>
              <w:rPr>
                <w:rFonts w:ascii="Arial" w:cs="Arial" w:eastAsia="Arial" w:hAnsi="Arial"/>
                <w:sz w:val="16"/>
                <w:szCs w:val="16"/>
                <w:color w:val="auto"/>
                <w:w w:val="92"/>
              </w:rPr>
              <w:t>options</w:t>
            </w:r>
          </w:p>
        </w:tc>
        <w:tc>
          <w:tcPr>
            <w:tcW w:w="1020" w:type="dxa"/>
            <w:vAlign w:val="bottom"/>
          </w:tcPr>
          <w:p>
            <w:pPr>
              <w:jc w:val="center"/>
              <w:ind w:right="259"/>
              <w:spacing w:after="0"/>
              <w:rPr>
                <w:sz w:val="20"/>
                <w:szCs w:val="20"/>
                <w:color w:val="auto"/>
              </w:rPr>
            </w:pPr>
            <w:r>
              <w:rPr>
                <w:rFonts w:ascii="Arial" w:cs="Arial" w:eastAsia="Arial" w:hAnsi="Arial"/>
                <w:sz w:val="16"/>
                <w:szCs w:val="16"/>
                <w:color w:val="auto"/>
                <w:w w:val="92"/>
              </w:rPr>
              <w:t>price</w:t>
            </w:r>
          </w:p>
        </w:tc>
        <w:tc>
          <w:tcPr>
            <w:tcW w:w="2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RSUs</w:t>
            </w:r>
          </w:p>
        </w:tc>
      </w:tr>
      <w:tr>
        <w:trPr>
          <w:trHeight w:val="220"/>
        </w:trPr>
        <w:tc>
          <w:tcPr>
            <w:tcW w:w="648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259"/>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January 1, 2023</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795,694</w:t>
            </w:r>
          </w:p>
        </w:tc>
        <w:tc>
          <w:tcPr>
            <w:tcW w:w="100" w:type="dxa"/>
            <w:vAlign w:val="bottom"/>
            <w:shd w:val="clear" w:color="auto" w:fill="CFF0FC"/>
          </w:tcPr>
          <w:p>
            <w:pPr>
              <w:spacing w:after="0"/>
              <w:rPr>
                <w:sz w:val="20"/>
                <w:szCs w:val="20"/>
                <w:color w:val="auto"/>
              </w:rPr>
            </w:pPr>
          </w:p>
        </w:tc>
      </w:tr>
      <w:tr>
        <w:trPr>
          <w:trHeight w:val="220"/>
        </w:trPr>
        <w:tc>
          <w:tcPr>
            <w:tcW w:w="64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spacing w:after="0"/>
              <w:rPr>
                <w:sz w:val="20"/>
                <w:szCs w:val="20"/>
                <w:color w:val="auto"/>
              </w:rPr>
            </w:pPr>
            <w:r>
              <w:rPr>
                <w:rFonts w:ascii="Arial" w:cs="Arial" w:eastAsia="Arial" w:hAnsi="Arial"/>
                <w:sz w:val="16"/>
                <w:szCs w:val="16"/>
                <w:color w:val="auto"/>
              </w:rPr>
              <w:t>846,000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8.05</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500,930</w:t>
            </w:r>
          </w:p>
        </w:tc>
        <w:tc>
          <w:tcPr>
            <w:tcW w:w="100" w:type="dxa"/>
            <w:vAlign w:val="bottom"/>
          </w:tcPr>
          <w:p>
            <w:pPr>
              <w:spacing w:after="0"/>
              <w:rPr>
                <w:sz w:val="19"/>
                <w:szCs w:val="19"/>
                <w:color w:val="auto"/>
              </w:rPr>
            </w:pPr>
          </w:p>
        </w:tc>
      </w:tr>
      <w:tr>
        <w:trPr>
          <w:trHeight w:val="23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(129,114 )</w:t>
            </w:r>
          </w:p>
        </w:tc>
        <w:tc>
          <w:tcPr>
            <w:tcW w:w="3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w:t>
            </w:r>
          </w:p>
        </w:tc>
        <w:tc>
          <w:tcPr>
            <w:tcW w:w="17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(112,338 )</w:t>
            </w:r>
          </w:p>
        </w:tc>
      </w:tr>
      <w:tr>
        <w:trPr>
          <w:trHeight w:val="223"/>
        </w:trPr>
        <w:tc>
          <w:tcPr>
            <w:tcW w:w="64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(62,315 )</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11.45</w:t>
            </w:r>
          </w:p>
        </w:tc>
        <w:tc>
          <w:tcPr>
            <w:tcW w:w="1720" w:type="dxa"/>
            <w:vAlign w:val="bottom"/>
            <w:gridSpan w:val="3"/>
          </w:tcPr>
          <w:p>
            <w:pPr>
              <w:jc w:val="right"/>
              <w:ind w:right="40"/>
              <w:spacing w:after="0"/>
              <w:rPr>
                <w:sz w:val="20"/>
                <w:szCs w:val="20"/>
                <w:color w:val="auto"/>
              </w:rPr>
            </w:pPr>
            <w:r>
              <w:rPr>
                <w:rFonts w:ascii="Arial" w:cs="Arial" w:eastAsia="Arial" w:hAnsi="Arial"/>
                <w:sz w:val="16"/>
                <w:szCs w:val="16"/>
                <w:color w:val="auto"/>
              </w:rPr>
              <w:t>(69,318 )</w:t>
            </w:r>
          </w:p>
        </w:tc>
      </w:tr>
      <w:tr>
        <w:trPr>
          <w:trHeight w:val="263"/>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September 30, 2023</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3,836,109</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10.58</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1,114,968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On April 6, 2023, a total of 846,000 stock options were granted to members of the Board of Directors and Key management with an exercise price of $8.05 per share with a final exercise date of April 5, 2033, unless forfeited or exercised on an earlier date. 25% of the aggregate number of share options shall vest on April 5,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As of September 30, 2023, a total number of 2,116,819 stock options are exercisable (September 30, 2022: 1,453,439).</w:t>
      </w:r>
    </w:p>
    <w:p>
      <w:pPr>
        <w:spacing w:after="0" w:line="11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During the nine months ended September 30, 2023 a total of 500,930 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spacing w:after="0" w:line="76"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and share closing price were February 1, 2023 ($9.50), March 1, 2023 ($8.29), April 1, 2023 ($7.82), April 6, 2023 ($8.05), May 1, 2023 ($9.25), July 1, 2023 ($14.84), July 14, 2023 ($15.61), August 1, 2023 ($17.05) and September 1, 2023 ($21.32), respectively.</w:t>
      </w:r>
    </w:p>
    <w:p>
      <w:pPr>
        <w:spacing w:after="0" w:line="78"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For the nine months ended September 30, 2023, the Group recognized €8,185,156 of share-based payment expense in the unaudited condensed consolidated statement of income or loss and other comprehensive income (nine months ended September 30, 2022: €8,133,588). For the three months ended September 30, 2023, the Group recognized €2,885,342 of share-based payment expense in the unaudited condensed consolidated statement of income or loss and other comprehensive income (three months ended September 30, 2022: €3,043,811).</w:t>
      </w:r>
    </w:p>
    <w:p>
      <w:pPr>
        <w:spacing w:after="0" w:line="7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inputs and outputs used in the measurement of the fair value per option at each grant/ measurement date using the Black-Scholes formula (including the related number of options and the fair value of the options)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80" w:type="dxa"/>
            <w:vAlign w:val="bottom"/>
            <w:gridSpan w:val="3"/>
          </w:tcPr>
          <w:p>
            <w:pPr>
              <w:jc w:val="right"/>
              <w:ind w:right="1200"/>
              <w:spacing w:after="0"/>
              <w:rPr>
                <w:sz w:val="20"/>
                <w:szCs w:val="20"/>
                <w:color w:val="auto"/>
              </w:rPr>
            </w:pPr>
            <w:r>
              <w:rPr>
                <w:rFonts w:ascii="Arial" w:cs="Arial" w:eastAsia="Arial" w:hAnsi="Arial"/>
                <w:sz w:val="16"/>
                <w:szCs w:val="16"/>
                <w:color w:val="auto"/>
              </w:rPr>
              <w:t>April 6,</w:t>
            </w:r>
          </w:p>
        </w:tc>
      </w:tr>
      <w:tr>
        <w:trPr>
          <w:trHeight w:val="219"/>
        </w:trPr>
        <w:tc>
          <w:tcPr>
            <w:tcW w:w="85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8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options</w:t>
            </w:r>
          </w:p>
        </w:tc>
        <w:tc>
          <w:tcPr>
            <w:tcW w:w="58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846,000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8520" w:type="dxa"/>
            <w:vAlign w:val="bottom"/>
          </w:tcPr>
          <w:p>
            <w:pPr>
              <w:ind w:left="20"/>
              <w:spacing w:after="0"/>
              <w:rPr>
                <w:sz w:val="20"/>
                <w:szCs w:val="20"/>
                <w:color w:val="auto"/>
              </w:rPr>
            </w:pPr>
            <w:r>
              <w:rPr>
                <w:rFonts w:ascii="Arial" w:cs="Arial" w:eastAsia="Arial" w:hAnsi="Arial"/>
                <w:sz w:val="16"/>
                <w:szCs w:val="16"/>
                <w:color w:val="auto"/>
              </w:rPr>
              <w:t>Fair value of the options</w:t>
            </w:r>
          </w:p>
        </w:tc>
        <w:tc>
          <w:tcPr>
            <w:tcW w:w="580" w:type="dxa"/>
            <w:vAlign w:val="bottom"/>
          </w:tcPr>
          <w:p>
            <w:pPr>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8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the ordinary shares</w:t>
            </w:r>
          </w:p>
        </w:tc>
        <w:tc>
          <w:tcPr>
            <w:tcW w:w="5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8520" w:type="dxa"/>
            <w:vAlign w:val="bottom"/>
          </w:tcPr>
          <w:p>
            <w:pPr>
              <w:ind w:left="20"/>
              <w:spacing w:after="0"/>
              <w:rPr>
                <w:sz w:val="20"/>
                <w:szCs w:val="20"/>
                <w:color w:val="auto"/>
              </w:rPr>
            </w:pPr>
            <w:r>
              <w:rPr>
                <w:rFonts w:ascii="Arial" w:cs="Arial" w:eastAsia="Arial" w:hAnsi="Arial"/>
                <w:sz w:val="16"/>
                <w:szCs w:val="16"/>
                <w:color w:val="auto"/>
              </w:rPr>
              <w:t>Exercise price</w:t>
            </w:r>
          </w:p>
        </w:tc>
        <w:tc>
          <w:tcPr>
            <w:tcW w:w="580" w:type="dxa"/>
            <w:vAlign w:val="bottom"/>
          </w:tcPr>
          <w:p>
            <w:pPr>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Expected volatility (%)</w:t>
            </w:r>
          </w:p>
        </w:tc>
        <w:tc>
          <w:tcPr>
            <w:tcW w:w="580" w:type="dxa"/>
            <w:vAlign w:val="bottom"/>
          </w:tcPr>
          <w:p>
            <w:pPr>
              <w:spacing w:after="0"/>
              <w:rPr>
                <w:sz w:val="19"/>
                <w:szCs w:val="19"/>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5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Risk-free interest rate (%)</w:t>
            </w:r>
          </w:p>
        </w:tc>
        <w:tc>
          <w:tcPr>
            <w:tcW w:w="580" w:type="dxa"/>
            <w:vAlign w:val="bottom"/>
          </w:tcPr>
          <w:p>
            <w:pPr>
              <w:spacing w:after="0"/>
              <w:rPr>
                <w:sz w:val="19"/>
                <w:szCs w:val="19"/>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color w:val="auto"/>
              </w:rPr>
              <w:t>3.4 %</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580" w:type="dxa"/>
            <w:vAlign w:val="bottom"/>
          </w:tcPr>
          <w:p>
            <w:pPr>
              <w:spacing w:after="0"/>
              <w:rPr>
                <w:sz w:val="19"/>
                <w:szCs w:val="19"/>
                <w:color w:val="auto"/>
              </w:rPr>
            </w:pPr>
          </w:p>
        </w:tc>
        <w:tc>
          <w:tcPr>
            <w:tcW w:w="21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-568960</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1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and nine months ended September 30, 2023 and 2022.</w:t>
      </w:r>
    </w:p>
    <w:p>
      <w:pPr>
        <w:spacing w:after="0" w:line="6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5060" w:type="dxa"/>
            <w:vAlign w:val="bottom"/>
          </w:tcPr>
          <w:p>
            <w:pPr>
              <w:spacing w:after="0"/>
              <w:rPr>
                <w:sz w:val="17"/>
                <w:szCs w:val="17"/>
                <w:color w:val="auto"/>
              </w:rPr>
            </w:pPr>
          </w:p>
        </w:tc>
        <w:tc>
          <w:tcPr>
            <w:tcW w:w="3380" w:type="dxa"/>
            <w:vAlign w:val="bottom"/>
            <w:gridSpan w:val="4"/>
          </w:tcPr>
          <w:p>
            <w:pPr>
              <w:jc w:val="right"/>
              <w:ind w:right="380"/>
              <w:spacing w:after="0"/>
              <w:rPr>
                <w:sz w:val="20"/>
                <w:szCs w:val="20"/>
                <w:color w:val="auto"/>
              </w:rPr>
            </w:pPr>
            <w:r>
              <w:rPr>
                <w:rFonts w:ascii="Arial" w:cs="Arial" w:eastAsia="Arial" w:hAnsi="Arial"/>
                <w:sz w:val="16"/>
                <w:szCs w:val="16"/>
                <w:color w:val="auto"/>
                <w:w w:val="97"/>
              </w:rPr>
              <w:t>For the three months ended September 30,</w:t>
            </w:r>
          </w:p>
        </w:tc>
        <w:tc>
          <w:tcPr>
            <w:tcW w:w="2660" w:type="dxa"/>
            <w:vAlign w:val="bottom"/>
            <w:gridSpan w:val="5"/>
          </w:tcPr>
          <w:p>
            <w:pPr>
              <w:jc w:val="center"/>
              <w:ind w:right="160"/>
              <w:spacing w:after="0"/>
              <w:rPr>
                <w:sz w:val="20"/>
                <w:szCs w:val="20"/>
                <w:color w:val="auto"/>
              </w:rPr>
            </w:pPr>
            <w:r>
              <w:rPr>
                <w:rFonts w:ascii="Arial" w:cs="Arial" w:eastAsia="Arial" w:hAnsi="Arial"/>
                <w:sz w:val="16"/>
                <w:szCs w:val="16"/>
                <w:color w:val="auto"/>
                <w:w w:val="89"/>
              </w:rPr>
              <w:t>For the nine months ended September</w:t>
            </w:r>
          </w:p>
        </w:tc>
      </w:tr>
      <w:tr>
        <w:trPr>
          <w:trHeight w:val="219"/>
        </w:trPr>
        <w:tc>
          <w:tcPr>
            <w:tcW w:w="506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5060" w:type="dxa"/>
            <w:vAlign w:val="bottom"/>
          </w:tcPr>
          <w:p>
            <w:pPr>
              <w:spacing w:after="0"/>
              <w:rPr>
                <w:sz w:val="19"/>
                <w:szCs w:val="19"/>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jc w:val="center"/>
              <w:ind w:right="36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w:t>
            </w:r>
          </w:p>
        </w:tc>
      </w:tr>
      <w:tr>
        <w:trPr>
          <w:trHeight w:val="239"/>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(23,598,596 )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(8,487,804 )</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(68,127,418 )</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(37,135,902 )</w:t>
            </w:r>
          </w:p>
        </w:tc>
      </w:tr>
      <w:tr>
        <w:trPr>
          <w:trHeight w:val="220"/>
        </w:trPr>
        <w:tc>
          <w:tcPr>
            <w:tcW w:w="5060" w:type="dxa"/>
            <w:vAlign w:val="bottom"/>
          </w:tcPr>
          <w:p>
            <w:pPr>
              <w:spacing w:after="0"/>
              <w:rPr>
                <w:sz w:val="20"/>
                <w:szCs w:val="20"/>
                <w:color w:val="auto"/>
              </w:rPr>
            </w:pPr>
            <w:r>
              <w:rPr>
                <w:rFonts w:ascii="Arial" w:cs="Arial" w:eastAsia="Arial" w:hAnsi="Arial"/>
                <w:sz w:val="16"/>
                <w:szCs w:val="16"/>
                <w:color w:val="auto"/>
              </w:rPr>
              <w:t>Weighted average number of ordinary shares outstanding</w:t>
            </w:r>
          </w:p>
        </w:tc>
        <w:tc>
          <w:tcPr>
            <w:tcW w:w="1600" w:type="dxa"/>
            <w:vAlign w:val="bottom"/>
          </w:tcPr>
          <w:p>
            <w:pPr>
              <w:jc w:val="right"/>
              <w:spacing w:after="0"/>
              <w:rPr>
                <w:sz w:val="20"/>
                <w:szCs w:val="20"/>
                <w:color w:val="auto"/>
              </w:rPr>
            </w:pPr>
            <w:r>
              <w:rPr>
                <w:rFonts w:ascii="Arial" w:cs="Arial" w:eastAsia="Arial" w:hAnsi="Arial"/>
                <w:sz w:val="16"/>
                <w:szCs w:val="16"/>
                <w:color w:val="auto"/>
              </w:rPr>
              <w:t>40,909,957</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33,785,026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36,455,922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33,508,682</w:t>
            </w:r>
          </w:p>
        </w:tc>
        <w:tc>
          <w:tcPr>
            <w:tcW w:w="100" w:type="dxa"/>
            <w:vAlign w:val="bottom"/>
          </w:tcPr>
          <w:p>
            <w:pPr>
              <w:spacing w:after="0"/>
              <w:rPr>
                <w:sz w:val="19"/>
                <w:szCs w:val="19"/>
                <w:color w:val="auto"/>
              </w:rPr>
            </w:pPr>
          </w:p>
        </w:tc>
      </w:tr>
      <w:tr>
        <w:trPr>
          <w:trHeight w:val="239"/>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share</w:t>
            </w:r>
          </w:p>
        </w:tc>
        <w:tc>
          <w:tcPr>
            <w:tcW w:w="1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(0.58 )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(0.25 )</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(1.87 )</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21"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The Group’s contractual obligations and commitments as of September 30, 2023 amounted to €42.0 million, (December 31, 2022: €28 million) primarily related to research and development commitments.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September 30, 2023 and 2022.</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74"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21. Related parties</w:t>
      </w:r>
    </w:p>
    <w:p>
      <w:pPr>
        <w:spacing w:after="0" w:line="116"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600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Arial" w:cs="Arial" w:eastAsia="Arial" w:hAnsi="Arial"/>
                <w:sz w:val="16"/>
                <w:szCs w:val="16"/>
                <w:color w:val="auto"/>
                <w:w w:val="89"/>
              </w:rPr>
              <w:t>For the three months ended September</w:t>
            </w:r>
          </w:p>
        </w:tc>
        <w:tc>
          <w:tcPr>
            <w:tcW w:w="100" w:type="dxa"/>
            <w:vAlign w:val="bottom"/>
          </w:tcPr>
          <w:p>
            <w:pPr>
              <w:spacing w:after="0"/>
              <w:rPr>
                <w:sz w:val="17"/>
                <w:szCs w:val="17"/>
                <w:color w:val="auto"/>
              </w:rPr>
            </w:pPr>
          </w:p>
        </w:tc>
        <w:tc>
          <w:tcPr>
            <w:tcW w:w="2280" w:type="dxa"/>
            <w:vAlign w:val="bottom"/>
            <w:gridSpan w:val="3"/>
          </w:tcPr>
          <w:p>
            <w:pPr>
              <w:jc w:val="right"/>
              <w:ind w:right="219"/>
              <w:spacing w:after="0"/>
              <w:rPr>
                <w:sz w:val="20"/>
                <w:szCs w:val="20"/>
                <w:color w:val="auto"/>
              </w:rPr>
            </w:pPr>
            <w:r>
              <w:rPr>
                <w:rFonts w:ascii="Arial" w:cs="Arial" w:eastAsia="Arial" w:hAnsi="Arial"/>
                <w:sz w:val="16"/>
                <w:szCs w:val="16"/>
                <w:color w:val="auto"/>
              </w:rPr>
              <w:t>For the nine months ended</w:t>
            </w:r>
          </w:p>
        </w:tc>
        <w:tc>
          <w:tcPr>
            <w:tcW w:w="100" w:type="dxa"/>
            <w:vAlign w:val="bottom"/>
          </w:tcPr>
          <w:p>
            <w:pPr>
              <w:spacing w:after="0"/>
              <w:rPr>
                <w:sz w:val="17"/>
                <w:szCs w:val="17"/>
                <w:color w:val="auto"/>
              </w:rPr>
            </w:pPr>
          </w:p>
        </w:tc>
      </w:tr>
      <w:tr>
        <w:trPr>
          <w:trHeight w:val="219"/>
        </w:trPr>
        <w:tc>
          <w:tcPr>
            <w:tcW w:w="600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9"/>
                <w:szCs w:val="19"/>
                <w:color w:val="auto"/>
              </w:rPr>
            </w:pPr>
          </w:p>
        </w:tc>
      </w:tr>
      <w:tr>
        <w:trPr>
          <w:trHeight w:val="223"/>
        </w:trPr>
        <w:tc>
          <w:tcPr>
            <w:tcW w:w="6000" w:type="dxa"/>
            <w:vAlign w:val="bottom"/>
          </w:tcPr>
          <w:p>
            <w:pPr>
              <w:spacing w:after="0"/>
              <w:rPr>
                <w:sz w:val="19"/>
                <w:szCs w:val="19"/>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r>
      <w:tr>
        <w:trPr>
          <w:trHeight w:val="220"/>
        </w:trPr>
        <w:tc>
          <w:tcPr>
            <w:tcW w:w="60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r>
      <w:tr>
        <w:trPr>
          <w:trHeight w:val="23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Short term employee benefits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1,111,573</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829,616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3,287,755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2,350,022</w:t>
            </w:r>
          </w:p>
        </w:tc>
        <w:tc>
          <w:tcPr>
            <w:tcW w:w="100" w:type="dxa"/>
            <w:vAlign w:val="bottom"/>
            <w:shd w:val="clear" w:color="auto" w:fill="CFF0FC"/>
          </w:tcPr>
          <w:p>
            <w:pPr>
              <w:spacing w:after="0"/>
              <w:rPr>
                <w:sz w:val="20"/>
                <w:szCs w:val="20"/>
                <w:color w:val="auto"/>
              </w:rPr>
            </w:pPr>
          </w:p>
        </w:tc>
      </w:tr>
      <w:tr>
        <w:trPr>
          <w:trHeight w:val="220"/>
        </w:trPr>
        <w:tc>
          <w:tcPr>
            <w:tcW w:w="6000" w:type="dxa"/>
            <w:vAlign w:val="bottom"/>
          </w:tcPr>
          <w:p>
            <w:pPr>
              <w:spacing w:after="0"/>
              <w:rPr>
                <w:sz w:val="20"/>
                <w:szCs w:val="20"/>
                <w:color w:val="auto"/>
              </w:rPr>
            </w:pPr>
            <w:r>
              <w:rPr>
                <w:rFonts w:ascii="Arial" w:cs="Arial" w:eastAsia="Arial" w:hAnsi="Arial"/>
                <w:sz w:val="16"/>
                <w:szCs w:val="16"/>
                <w:color w:val="auto"/>
              </w:rPr>
              <w:t>Post employee benefits</w:t>
            </w:r>
          </w:p>
        </w:tc>
        <w:tc>
          <w:tcPr>
            <w:tcW w:w="1380" w:type="dxa"/>
            <w:vAlign w:val="bottom"/>
          </w:tcPr>
          <w:p>
            <w:pPr>
              <w:jc w:val="right"/>
              <w:spacing w:after="0"/>
              <w:rPr>
                <w:sz w:val="20"/>
                <w:szCs w:val="20"/>
                <w:color w:val="auto"/>
              </w:rPr>
            </w:pPr>
            <w:r>
              <w:rPr>
                <w:rFonts w:ascii="Arial" w:cs="Arial" w:eastAsia="Arial" w:hAnsi="Arial"/>
                <w:sz w:val="16"/>
                <w:szCs w:val="16"/>
                <w:color w:val="auto"/>
              </w:rPr>
              <w:t>49,582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30,228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143,103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108,787</w:t>
            </w:r>
          </w:p>
        </w:tc>
        <w:tc>
          <w:tcPr>
            <w:tcW w:w="100" w:type="dxa"/>
            <w:vAlign w:val="bottom"/>
          </w:tcPr>
          <w:p>
            <w:pPr>
              <w:spacing w:after="0"/>
              <w:rPr>
                <w:sz w:val="19"/>
                <w:szCs w:val="19"/>
                <w:color w:val="auto"/>
              </w:rPr>
            </w:pPr>
          </w:p>
        </w:tc>
      </w:tr>
      <w:tr>
        <w:trPr>
          <w:trHeight w:val="23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Share-based payments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1,379,966</w:t>
            </w:r>
          </w:p>
        </w:tc>
        <w:tc>
          <w:tcPr>
            <w:tcW w:w="120" w:type="dxa"/>
            <w:vAlign w:val="bottom"/>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1,780,394</w:t>
            </w:r>
          </w:p>
        </w:tc>
        <w:tc>
          <w:tcPr>
            <w:tcW w:w="10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4,604,754</w:t>
            </w:r>
          </w:p>
        </w:tc>
        <w:tc>
          <w:tcPr>
            <w:tcW w:w="1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3,955,492</w:t>
            </w:r>
          </w:p>
        </w:tc>
        <w:tc>
          <w:tcPr>
            <w:tcW w:w="100" w:type="dxa"/>
            <w:vAlign w:val="bottom"/>
            <w:shd w:val="clear" w:color="auto" w:fill="CFF0FC"/>
          </w:tcPr>
          <w:p>
            <w:pPr>
              <w:spacing w:after="0"/>
              <w:rPr>
                <w:sz w:val="20"/>
                <w:szCs w:val="20"/>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Total</w:t>
            </w:r>
          </w:p>
        </w:tc>
        <w:tc>
          <w:tcPr>
            <w:tcW w:w="1380" w:type="dxa"/>
            <w:vAlign w:val="bottom"/>
          </w:tcPr>
          <w:p>
            <w:pPr>
              <w:jc w:val="right"/>
              <w:spacing w:after="0"/>
              <w:rPr>
                <w:sz w:val="20"/>
                <w:szCs w:val="20"/>
                <w:color w:val="auto"/>
              </w:rPr>
            </w:pPr>
            <w:r>
              <w:rPr>
                <w:rFonts w:ascii="Arial" w:cs="Arial" w:eastAsia="Arial" w:hAnsi="Arial"/>
                <w:sz w:val="16"/>
                <w:szCs w:val="16"/>
                <w:color w:val="auto"/>
              </w:rPr>
              <w:t>2,541,121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2,640,238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8,035,612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6,414,301</w:t>
            </w:r>
          </w:p>
        </w:tc>
        <w:tc>
          <w:tcPr>
            <w:tcW w:w="10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4"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A total number of 846,000 stock options and 15,000 RSUs are granted to key management during the nine months ended September 30, 2023. Refer to Note 18 for disclosures on the share-based payments.</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Group engages several management entities for the purpose of providing key management services to the Group. The aggregate value of transactions related to key management personnel, or entities which they control were €225,699 and €295,941 in the three months ended September 30, 2023 and 2022, respectively. The aggregate value of transactions related to key management personnel, or entities which they control were €769,565 and €834,685 in the nine months ended September 30, 2023 and 2022, respectively.</w:t>
      </w:r>
    </w:p>
    <w:p>
      <w:pPr>
        <w:spacing w:after="0" w:line="7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outstanding balances payable to key management personnel, or entities which they control, as per September 30, 2023 and December 31, 2022 were €1,040,445 and €1,162,963,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has evaluated subsequent events through November 2, 2023, which is the date the condensed consolidated interim financial statements were authorized for issuance, and did not identify any significant event after reporting period that needs to be disclosed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35" w:name="page36"/>
    <w:bookmarkEnd w:id="35"/>
    <w:p>
      <w:pPr>
        <w:ind w:right="3119"/>
        <w:spacing w:after="0" w:line="443"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November 2,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B.A.E. Modig</w:t>
      </w:r>
      <w:r>
        <w:rPr>
          <w:sz w:val="20"/>
          <w:szCs w:val="20"/>
          <w:color w:val="auto"/>
        </w:rPr>
        <w:tab/>
      </w:r>
      <w:r>
        <w:rPr>
          <w:rFonts w:ascii="Arial" w:cs="Arial" w:eastAsia="Arial" w:hAnsi="Arial"/>
          <w:sz w:val="17"/>
          <w:szCs w:val="17"/>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E. Björk</w:t>
      </w:r>
      <w:r>
        <w:rPr>
          <w:sz w:val="20"/>
          <w:szCs w:val="20"/>
          <w:color w:val="auto"/>
        </w:rPr>
        <w:tab/>
      </w:r>
      <w:r>
        <w:rPr>
          <w:rFonts w:ascii="Arial" w:cs="Arial" w:eastAsia="Arial" w:hAnsi="Arial"/>
          <w:sz w:val="17"/>
          <w:szCs w:val="17"/>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D.P. Meeker</w:t>
      </w:r>
      <w:r>
        <w:rPr>
          <w:sz w:val="20"/>
          <w:szCs w:val="20"/>
          <w:color w:val="auto"/>
        </w:rPr>
        <w:tab/>
      </w:r>
      <w:r>
        <w:rPr>
          <w:rFonts w:ascii="Arial" w:cs="Arial" w:eastAsia="Arial" w:hAnsi="Arial"/>
          <w:sz w:val="17"/>
          <w:szCs w:val="17"/>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2" w:right="1440"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2023-11-02T05:55:46Z</dcterms:created>
  <dcterms:modified xsi:type="dcterms:W3CDTF">2023-11-02T05:55:46Z</dcterms:modified>
</cp:coreProperties>
</file>