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0001973705</w:t>
            </w: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0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Pharvaris 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0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001-40010</w:t>
            </w: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0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Pharvaris N.V.</w:t>
            </w:r>
          </w:p>
        </w:tc>
      </w:tr>
      <w:tr>
        <w:trPr>
          <w:trHeight w:val="243"/>
        </w:trPr>
        <w:tc>
          <w:tcPr>
            <w:tcW w:w="30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0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J.H. Oortweg 21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0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Leiden</w:t>
            </w:r>
          </w:p>
        </w:tc>
      </w:tr>
      <w:tr>
        <w:trPr>
          <w:trHeight w:val="243"/>
        </w:trPr>
        <w:tc>
          <w:tcPr>
            <w:tcW w:w="30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04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w w:val="96"/>
              </w:rPr>
              <w:t>NETHERLANDS</w:t>
            </w: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2333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0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31712036410</w:t>
            </w: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Lesage Anne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ectPr>
          <w:pgSz w:w="11900" w:h="16838" w:orient="portrait"/>
          <w:cols w:equalWidth="0" w:num="1">
            <w:col w:w="11240"/>
          </w:cols>
          <w:pgMar w:left="320" w:top="261" w:right="339" w:bottom="0" w:gutter="0" w:footer="0" w:header="0"/>
        </w:sect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63" w:lineRule="exact"/>
        <w:rPr>
          <w:sz w:val="24"/>
          <w:szCs w:val="24"/>
          <w:color w:val="auto"/>
        </w:rPr>
      </w:pPr>
    </w:p>
    <w:p>
      <w:pPr>
        <w:ind w:left="4940"/>
        <w:spacing w:after="0"/>
        <w:tabs>
          <w:tab w:leader="none" w:pos="7480" w:val="left"/>
        </w:tabs>
        <w:rPr>
          <w:sz w:val="20"/>
          <w:szCs w:val="20"/>
          <w:color w:val="auto"/>
        </w:rPr>
      </w:pPr>
      <w:r>
        <w:rPr>
          <w:rFonts w:ascii="Times New Roman" w:cs="Times New Roman" w:eastAsia="Times New Roman" w:hAnsi="Times New Roman"/>
          <w:sz w:val="22"/>
          <w:szCs w:val="22"/>
          <w:b w:val="1"/>
          <w:bCs w:val="1"/>
          <w:color w:val="auto"/>
        </w:rPr>
        <w:t>Number of</w:t>
      </w:r>
      <w:r>
        <w:rPr>
          <w:sz w:val="20"/>
          <w:szCs w:val="20"/>
          <w:color w:val="auto"/>
        </w:rPr>
        <w:tab/>
      </w:r>
      <w:r>
        <w:rPr>
          <w:rFonts w:ascii="Times New Roman" w:cs="Times New Roman" w:eastAsia="Times New Roman" w:hAnsi="Times New Roman"/>
          <w:sz w:val="21"/>
          <w:szCs w:val="21"/>
          <w:b w:val="1"/>
          <w:bCs w:val="1"/>
          <w:color w:val="auto"/>
        </w:rPr>
        <w:t>Number of</w:t>
      </w:r>
    </w:p>
    <w:p>
      <w:pPr>
        <w:spacing w:after="0" w:line="8" w:lineRule="exact"/>
        <w:rPr>
          <w:sz w:val="24"/>
          <w:szCs w:val="24"/>
          <w:color w:val="auto"/>
        </w:rPr>
      </w:pPr>
    </w:p>
    <w:p>
      <w:pPr>
        <w:ind w:left="360"/>
        <w:spacing w:after="0"/>
        <w:tabs>
          <w:tab w:leader="none" w:pos="2640" w:val="left"/>
          <w:tab w:leader="none" w:pos="4980" w:val="left"/>
          <w:tab w:leader="none" w:pos="6240" w:val="left"/>
          <w:tab w:leader="none" w:pos="7540" w:val="left"/>
          <w:tab w:leader="none" w:pos="8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2"/>
          <w:szCs w:val="22"/>
          <w:b w:val="1"/>
          <w:bCs w:val="1"/>
          <w:color w:val="auto"/>
        </w:rPr>
        <w:t>Name and Address of</w:t>
        <w:tab/>
        <w:t>Shares or</w:t>
      </w:r>
      <w:r>
        <w:rPr>
          <w:sz w:val="20"/>
          <w:szCs w:val="20"/>
          <w:color w:val="auto"/>
        </w:rPr>
        <w:tab/>
      </w:r>
      <w:r>
        <w:rPr>
          <w:rFonts w:ascii="Times New Roman" w:cs="Times New Roman" w:eastAsia="Times New Roman" w:hAnsi="Times New Roman"/>
          <w:sz w:val="22"/>
          <w:szCs w:val="22"/>
          <w:b w:val="1"/>
          <w:bCs w:val="1"/>
          <w:color w:val="auto"/>
        </w:rPr>
        <w:t>Aggregate</w:t>
        <w:tab/>
        <w:t>Shares or</w:t>
      </w:r>
      <w:r>
        <w:rPr>
          <w:sz w:val="20"/>
          <w:szCs w:val="20"/>
          <w:color w:val="auto"/>
        </w:rPr>
        <w:tab/>
      </w:r>
      <w:r>
        <w:rPr>
          <w:rFonts w:ascii="Times New Roman" w:cs="Times New Roman" w:eastAsia="Times New Roman" w:hAnsi="Times New Roman"/>
          <w:sz w:val="21"/>
          <w:szCs w:val="21"/>
          <w:b w:val="1"/>
          <w:bCs w:val="1"/>
          <w:color w:val="auto"/>
        </w:rPr>
        <w:t>Approximate</w:t>
      </w:r>
    </w:p>
    <w:p>
      <w:pPr>
        <w:ind w:left="280"/>
        <w:spacing w:after="0" w:line="230" w:lineRule="auto"/>
        <w:tabs>
          <w:tab w:leader="none" w:pos="3140" w:val="left"/>
          <w:tab w:leader="none" w:pos="488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2"/>
          <w:szCs w:val="22"/>
          <w:b w:val="1"/>
          <w:bCs w:val="1"/>
          <w:color w:val="auto"/>
        </w:rPr>
        <w:t>the Broker</w:t>
      </w:r>
      <w:r>
        <w:rPr>
          <w:sz w:val="20"/>
          <w:szCs w:val="20"/>
          <w:color w:val="auto"/>
        </w:rPr>
        <w:tab/>
      </w:r>
      <w:r>
        <w:rPr>
          <w:rFonts w:ascii="Times New Roman" w:cs="Times New Roman" w:eastAsia="Times New Roman" w:hAnsi="Times New Roman"/>
          <w:sz w:val="22"/>
          <w:szCs w:val="22"/>
          <w:b w:val="1"/>
          <w:bCs w:val="1"/>
          <w:color w:val="auto"/>
        </w:rPr>
        <w:t>Other Units Market Value Other Units  Date of Sale</w:t>
      </w:r>
    </w:p>
    <w:p>
      <w:pPr>
        <w:spacing w:after="0" w:line="1" w:lineRule="exact"/>
        <w:rPr>
          <w:sz w:val="24"/>
          <w:szCs w:val="24"/>
          <w:color w:val="auto"/>
        </w:rPr>
      </w:pPr>
    </w:p>
    <w:p>
      <w:pPr>
        <w:ind w:left="4960"/>
        <w:spacing w:after="0"/>
        <w:tabs>
          <w:tab w:leader="none" w:pos="7420" w:val="left"/>
        </w:tabs>
        <w:rPr>
          <w:sz w:val="20"/>
          <w:szCs w:val="20"/>
          <w:color w:val="auto"/>
        </w:rPr>
      </w:pPr>
      <w:r>
        <w:rPr>
          <w:rFonts w:ascii="Times New Roman" w:cs="Times New Roman" w:eastAsia="Times New Roman" w:hAnsi="Times New Roman"/>
          <w:sz w:val="22"/>
          <w:szCs w:val="22"/>
          <w:b w:val="1"/>
          <w:bCs w:val="1"/>
          <w:color w:val="auto"/>
        </w:rPr>
        <w:t>To Be Sold</w:t>
      </w:r>
      <w:r>
        <w:rPr>
          <w:sz w:val="20"/>
          <w:szCs w:val="20"/>
          <w:color w:val="auto"/>
        </w:rPr>
        <w:tab/>
      </w:r>
      <w:r>
        <w:rPr>
          <w:rFonts w:ascii="Times New Roman" w:cs="Times New Roman" w:eastAsia="Times New Roman" w:hAnsi="Times New Roman"/>
          <w:sz w:val="21"/>
          <w:szCs w:val="21"/>
          <w:b w:val="1"/>
          <w:bCs w:val="1"/>
          <w:color w:val="auto"/>
        </w:rPr>
        <w:t>Outstanding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the</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Securities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Exchange</w:t>
      </w:r>
    </w:p>
    <w:p>
      <w:pPr>
        <w:spacing w:after="0" w:line="142" w:lineRule="exact"/>
        <w:rPr>
          <w:sz w:val="24"/>
          <w:szCs w:val="24"/>
          <w:color w:val="auto"/>
        </w:rPr>
      </w:pPr>
    </w:p>
    <w:p>
      <w:pPr>
        <w:sectPr>
          <w:pgSz w:w="11900" w:h="16838" w:orient="portrait"/>
          <w:cols w:equalWidth="0" w:num="2">
            <w:col w:w="9880" w:space="240"/>
            <w:col w:w="1120"/>
          </w:cols>
          <w:pgMar w:left="320" w:top="261" w:right="339" w:bottom="0" w:gutter="0" w:footer="0" w:header="0"/>
          <w:type w:val="continuous"/>
        </w:sectPr>
      </w:pPr>
    </w:p>
    <w:tbl>
      <w:tblPr>
        <w:tblLayout w:type="fixed"/>
        <w:tblInd w:w="40" w:type="dxa"/>
        <w:tblCellMar>
          <w:top w:w="0" w:type="dxa"/>
          <w:left w:w="0" w:type="dxa"/>
          <w:bottom w:w="0" w:type="dxa"/>
          <w:right w:w="0" w:type="dxa"/>
        </w:tblCellMar>
      </w:tblPr>
      <w:tr>
        <w:trPr>
          <w:trHeight w:val="253"/>
        </w:trPr>
        <w:tc>
          <w:tcPr>
            <w:tcW w:w="1940" w:type="dxa"/>
            <w:vAlign w:val="bottom"/>
          </w:tcPr>
          <w:p>
            <w:pPr>
              <w:spacing w:after="0"/>
              <w:rPr>
                <w:sz w:val="21"/>
                <w:szCs w:val="21"/>
                <w:color w:val="auto"/>
              </w:rPr>
            </w:pPr>
          </w:p>
        </w:tc>
        <w:tc>
          <w:tcPr>
            <w:tcW w:w="284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8"/>
              </w:rPr>
              <w:t>Tourmaline Partners, LLC</w:t>
            </w:r>
          </w:p>
        </w:tc>
        <w:tc>
          <w:tcPr>
            <w:tcW w:w="9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840" w:type="dxa"/>
            <w:vAlign w:val="bottom"/>
            <w:gridSpan w:val="2"/>
          </w:tcPr>
          <w:p>
            <w:pPr>
              <w:ind w:left="520"/>
              <w:spacing w:after="0" w:line="243" w:lineRule="exact"/>
              <w:rPr>
                <w:sz w:val="20"/>
                <w:szCs w:val="20"/>
                <w:color w:val="auto"/>
              </w:rPr>
            </w:pPr>
            <w:r>
              <w:rPr>
                <w:rFonts w:ascii="Times New Roman" w:cs="Times New Roman" w:eastAsia="Times New Roman" w:hAnsi="Times New Roman"/>
                <w:sz w:val="22"/>
                <w:szCs w:val="22"/>
                <w:color w:val="auto"/>
              </w:rPr>
              <w:t>680 Washington Blvd</w:t>
            </w: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250000</w:t>
            </w:r>
          </w:p>
        </w:tc>
        <w:tc>
          <w:tcPr>
            <w:tcW w:w="47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5750000.00   1188100000  04/12/2024   Nasdaq</w:t>
            </w:r>
          </w:p>
        </w:tc>
        <w:tc>
          <w:tcPr>
            <w:tcW w:w="0" w:type="dxa"/>
            <w:vAlign w:val="bottom"/>
          </w:tcPr>
          <w:p>
            <w:pPr>
              <w:spacing w:after="0"/>
              <w:rPr>
                <w:sz w:val="1"/>
                <w:szCs w:val="1"/>
                <w:color w:val="auto"/>
              </w:rPr>
            </w:pPr>
          </w:p>
        </w:tc>
      </w:tr>
      <w:tr>
        <w:trPr>
          <w:trHeight w:val="161"/>
        </w:trPr>
        <w:tc>
          <w:tcPr>
            <w:tcW w:w="1940" w:type="dxa"/>
            <w:vAlign w:val="bottom"/>
            <w:vMerge w:val="continue"/>
          </w:tcPr>
          <w:p>
            <w:pPr>
              <w:spacing w:after="0"/>
              <w:rPr>
                <w:sz w:val="13"/>
                <w:szCs w:val="13"/>
                <w:color w:val="auto"/>
              </w:rPr>
            </w:pPr>
          </w:p>
        </w:tc>
        <w:tc>
          <w:tcPr>
            <w:tcW w:w="140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color w:val="auto"/>
              </w:rPr>
              <w:t>10th flr</w:t>
            </w:r>
          </w:p>
        </w:tc>
        <w:tc>
          <w:tcPr>
            <w:tcW w:w="14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4"/>
                <w:szCs w:val="24"/>
                <w:color w:val="auto"/>
              </w:rPr>
            </w:pPr>
          </w:p>
        </w:tc>
        <w:tc>
          <w:tcPr>
            <w:tcW w:w="14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Stamford</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  06901</w:t>
            </w:r>
          </w:p>
        </w:tc>
        <w:tc>
          <w:tcPr>
            <w:tcW w:w="9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Anne Lesage</w:t>
            </w:r>
          </w:p>
        </w:tc>
        <w:tc>
          <w:tcPr>
            <w:tcW w:w="27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Ordinary Shares 12/29/2015</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Foundation of</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representing</w:t>
            </w:r>
          </w:p>
        </w:tc>
        <w:tc>
          <w:tcPr>
            <w:tcW w:w="274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250000</w:t>
            </w:r>
          </w:p>
        </w:tc>
        <w:tc>
          <w:tcPr>
            <w:tcW w:w="2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12/18/2015 Wire Transfer</w:t>
            </w:r>
          </w:p>
        </w:tc>
        <w:tc>
          <w:tcPr>
            <w:tcW w:w="0" w:type="dxa"/>
            <w:vAlign w:val="bottom"/>
          </w:tcPr>
          <w:p>
            <w:pPr>
              <w:spacing w:after="0"/>
              <w:rPr>
                <w:sz w:val="1"/>
                <w:szCs w:val="1"/>
                <w:color w:val="auto"/>
              </w:rPr>
            </w:pPr>
          </w:p>
        </w:tc>
      </w:tr>
      <w:tr>
        <w:trPr>
          <w:trHeight w:val="243"/>
        </w:trPr>
        <w:tc>
          <w:tcPr>
            <w:tcW w:w="2500" w:type="dxa"/>
            <w:vAlign w:val="bottom"/>
            <w:vMerge w:val="continue"/>
          </w:tcPr>
          <w:p>
            <w:pPr>
              <w:spacing w:after="0"/>
              <w:rPr>
                <w:sz w:val="21"/>
                <w:szCs w:val="21"/>
                <w:color w:val="auto"/>
              </w:rPr>
            </w:pP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Pharvaris BV</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GrayMatters</w:t>
            </w:r>
          </w:p>
        </w:tc>
        <w:tc>
          <w:tcPr>
            <w:tcW w:w="2740" w:type="dxa"/>
            <w:vAlign w:val="bottom"/>
            <w:vMerge w:val="continue"/>
          </w:tcPr>
          <w:p>
            <w:pPr>
              <w:spacing w:after="0"/>
              <w:rPr>
                <w:sz w:val="21"/>
                <w:szCs w:val="21"/>
                <w:color w:val="auto"/>
              </w:rPr>
            </w:pPr>
          </w:p>
        </w:tc>
        <w:tc>
          <w:tcPr>
            <w:tcW w:w="2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Consulting BV</w:t>
            </w:r>
          </w:p>
        </w:tc>
        <w:tc>
          <w:tcPr>
            <w:tcW w:w="2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04/10/2024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12/21/2023</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Anne Lesage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2024-04-10T11:00:48Z</dcterms:created>
  <dcterms:modified xsi:type="dcterms:W3CDTF">2024-04-10T11:00:48Z</dcterms:modified>
</cp:coreProperties>
</file>