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13D</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Pharvaris N.V.</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(Name of Issuer)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Ordinary shares, par value €0.12 per share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(Title of Class of Securities)</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N69605108</w:t>
      </w:r>
      <w:r>
        <w:rPr>
          <w:rFonts w:ascii="Arial" w:cs="Arial" w:eastAsia="Arial" w:hAnsi="Arial"/>
          <w:sz w:val="22"/>
          <w:szCs w:val="22"/>
          <w:color w:val="auto"/>
        </w:rPr>
        <w: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(CUSIP Number)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David Pezeshki</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venBio Partners, LLC</w:t>
      </w:r>
    </w:p>
    <w:p>
      <w:pPr>
        <w:jc w:val="center"/>
        <w:spacing w:after="0" w:line="230" w:lineRule="auto"/>
        <w:rPr>
          <w:sz w:val="20"/>
          <w:szCs w:val="20"/>
          <w:color w:val="auto"/>
        </w:rPr>
      </w:pPr>
      <w:r>
        <w:rPr>
          <w:rFonts w:ascii="Arial" w:cs="Arial" w:eastAsia="Arial" w:hAnsi="Arial"/>
          <w:sz w:val="22"/>
          <w:szCs w:val="22"/>
          <w:b w:val="1"/>
          <w:bCs w:val="1"/>
          <w:color w:val="auto"/>
        </w:rPr>
        <w:t>1700 Owens Street, Suite 595, San Francisco, CA 94158</w:t>
      </w:r>
    </w:p>
    <w:p>
      <w:pPr>
        <w:jc w:val="center"/>
        <w:spacing w:after="0" w:line="231" w:lineRule="auto"/>
        <w:rPr>
          <w:sz w:val="20"/>
          <w:szCs w:val="20"/>
          <w:color w:val="auto"/>
        </w:rPr>
      </w:pPr>
      <w:r>
        <w:rPr>
          <w:rFonts w:ascii="Arial" w:cs="Arial" w:eastAsia="Arial" w:hAnsi="Arial"/>
          <w:sz w:val="22"/>
          <w:szCs w:val="22"/>
          <w:b w:val="1"/>
          <w:bCs w:val="1"/>
          <w:u w:val="single" w:color="auto"/>
          <w:color w:val="auto"/>
        </w:rPr>
        <w:t>(415) 800-0800</w:t>
      </w:r>
    </w:p>
    <w:p>
      <w:pPr>
        <w:jc w:val="center"/>
        <w:spacing w:after="0"/>
        <w:rPr>
          <w:sz w:val="20"/>
          <w:szCs w:val="20"/>
          <w:color w:val="auto"/>
        </w:rPr>
      </w:pPr>
      <w:r>
        <w:rPr>
          <w:rFonts w:ascii="Arial" w:cs="Arial" w:eastAsia="Arial" w:hAnsi="Arial"/>
          <w:sz w:val="22"/>
          <w:szCs w:val="22"/>
          <w:b w:val="1"/>
          <w:bCs w:val="1"/>
          <w:color w:val="auto"/>
        </w:rPr>
        <w:t>(Name, Address and Telephone Number of Person Authorized to Receive Notices and Communications)</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February 9, 2021</w:t>
      </w:r>
      <w:r>
        <w:rPr>
          <w:rFonts w:ascii="Arial" w:cs="Arial" w:eastAsia="Arial" w:hAnsi="Arial"/>
          <w:sz w:val="22"/>
          <w:szCs w:val="22"/>
          <w:color w:val="auto"/>
        </w:rPr>
        <w: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215" w:lineRule="exact"/>
        <w:rPr>
          <w:sz w:val="24"/>
          <w:szCs w:val="24"/>
          <w:color w:val="auto"/>
        </w:rPr>
      </w:pPr>
    </w:p>
    <w:p>
      <w:pPr>
        <w:ind w:right="160"/>
        <w:spacing w:after="0" w:line="277" w:lineRule="exact"/>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9"/>
          <w:szCs w:val="19"/>
          <w:color w:val="auto"/>
        </w:rPr>
        <w:t>☐</w:t>
      </w:r>
    </w:p>
    <w:p>
      <w:pPr>
        <w:spacing w:after="0" w:line="183" w:lineRule="exact"/>
        <w:rPr>
          <w:sz w:val="24"/>
          <w:szCs w:val="24"/>
          <w:color w:val="auto"/>
        </w:rPr>
      </w:pPr>
    </w:p>
    <w:p>
      <w:pPr>
        <w:ind w:right="260"/>
        <w:spacing w:after="0" w:line="256" w:lineRule="auto"/>
        <w:rPr>
          <w:sz w:val="20"/>
          <w:szCs w:val="20"/>
          <w:color w:val="auto"/>
        </w:rPr>
      </w:pPr>
      <w:r>
        <w:rPr>
          <w:rFonts w:ascii="Arial" w:cs="Arial" w:eastAsia="Arial" w:hAnsi="Arial"/>
          <w:sz w:val="22"/>
          <w:szCs w:val="22"/>
          <w:b w:val="1"/>
          <w:bCs w:val="1"/>
          <w:color w:val="auto"/>
        </w:rPr>
        <w:t>Note</w:t>
      </w:r>
      <w:r>
        <w:rPr>
          <w:rFonts w:ascii="Arial" w:cs="Arial" w:eastAsia="Arial" w:hAnsi="Arial"/>
          <w:sz w:val="22"/>
          <w:szCs w:val="22"/>
          <w:color w:val="auto"/>
        </w:rPr>
        <w:t>: Schedules filed in paper format shall include a signed original and five copies of the schedule, including all exhibits. See</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240.13d-7 for other parties to whom copies are to be sent.</w:t>
      </w:r>
    </w:p>
    <w:p>
      <w:pPr>
        <w:spacing w:after="0" w:line="202" w:lineRule="exact"/>
        <w:rPr>
          <w:sz w:val="24"/>
          <w:szCs w:val="24"/>
          <w:color w:val="auto"/>
        </w:rPr>
      </w:pPr>
    </w:p>
    <w:p>
      <w:pPr>
        <w:ind w:left="340" w:right="8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0" w:lineRule="exact"/>
        <w:rPr>
          <w:sz w:val="24"/>
          <w:szCs w:val="24"/>
          <w:color w:val="auto"/>
        </w:rPr>
      </w:pPr>
    </w:p>
    <w:p>
      <w:pPr>
        <w:ind w:right="60"/>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see the Notes).</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**Reflects the CINS number for the Company’s Ordinary Shares.</w:t>
      </w:r>
    </w:p>
    <w:p>
      <w:pPr>
        <w:spacing w:after="0" w:line="233" w:lineRule="exact"/>
        <w:rPr>
          <w:sz w:val="24"/>
          <w:szCs w:val="24"/>
          <w:color w:val="auto"/>
        </w:rPr>
      </w:pPr>
    </w:p>
    <w:p>
      <w:pPr>
        <w:ind w:firstLine="8"/>
        <w:spacing w:after="0" w:line="250" w:lineRule="auto"/>
        <w:tabs>
          <w:tab w:leader="none" w:pos="38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Amendment No. 1 is being filed solely to remove Aaron Royston as a Reporting Person, because Mr. Royston does not beneficially own any of the Common Shares reported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450215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Arial" w:cs="Arial" w:eastAsia="Arial" w:hAnsi="Arial"/>
                <w:sz w:val="18"/>
                <w:szCs w:val="18"/>
                <w:color w:val="auto"/>
              </w:rPr>
              <w:t>CUSIP No. N69605108</w:t>
            </w:r>
          </w:p>
        </w:tc>
        <w:tc>
          <w:tcPr>
            <w:tcW w:w="540" w:type="dxa"/>
            <w:vAlign w:val="bottom"/>
          </w:tcPr>
          <w:p>
            <w:pPr>
              <w:spacing w:after="0"/>
              <w:rPr>
                <w:sz w:val="20"/>
                <w:szCs w:val="20"/>
                <w:color w:val="auto"/>
              </w:rPr>
            </w:pPr>
          </w:p>
        </w:tc>
        <w:tc>
          <w:tcPr>
            <w:tcW w:w="8520" w:type="dxa"/>
            <w:vAlign w:val="bottom"/>
            <w:gridSpan w:val="3"/>
          </w:tcPr>
          <w:p>
            <w:pPr>
              <w:ind w:left="7240"/>
              <w:spacing w:after="0"/>
              <w:rPr>
                <w:sz w:val="20"/>
                <w:szCs w:val="20"/>
                <w:color w:val="auto"/>
              </w:rPr>
            </w:pPr>
            <w:r>
              <w:rPr>
                <w:rFonts w:ascii="Arial" w:cs="Arial" w:eastAsia="Arial" w:hAnsi="Arial"/>
                <w:sz w:val="18"/>
                <w:szCs w:val="18"/>
                <w:color w:val="auto"/>
                <w:w w:val="83"/>
              </w:rPr>
              <w:t xml:space="preserve">Page </w:t>
            </w:r>
            <w:r>
              <w:rPr>
                <w:rFonts w:ascii="Arial" w:cs="Arial" w:eastAsia="Arial" w:hAnsi="Arial"/>
                <w:sz w:val="18"/>
                <w:szCs w:val="18"/>
                <w:b w:val="1"/>
                <w:bCs w:val="1"/>
                <w:color w:val="auto"/>
                <w:w w:val="83"/>
              </w:rPr>
              <w:t>2</w:t>
            </w:r>
            <w:r>
              <w:rPr>
                <w:rFonts w:ascii="Arial" w:cs="Arial" w:eastAsia="Arial" w:hAnsi="Arial"/>
                <w:sz w:val="18"/>
                <w:szCs w:val="18"/>
                <w:color w:val="auto"/>
                <w:w w:val="83"/>
              </w:rPr>
              <w:t xml:space="preserve"> of </w:t>
            </w:r>
            <w:r>
              <w:rPr>
                <w:rFonts w:ascii="Arial" w:cs="Arial" w:eastAsia="Arial" w:hAnsi="Arial"/>
                <w:sz w:val="18"/>
                <w:szCs w:val="18"/>
                <w:b w:val="1"/>
                <w:bCs w:val="1"/>
                <w:color w:val="auto"/>
                <w:w w:val="83"/>
              </w:rPr>
              <w:t>8</w:t>
            </w:r>
            <w:r>
              <w:rPr>
                <w:rFonts w:ascii="Arial" w:cs="Arial" w:eastAsia="Arial" w:hAnsi="Arial"/>
                <w:sz w:val="18"/>
                <w:szCs w:val="18"/>
                <w:color w:val="auto"/>
                <w:w w:val="83"/>
              </w:rPr>
              <w:t xml:space="preserve">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320" w:type="dxa"/>
            <w:vAlign w:val="bottom"/>
            <w:tcBorders>
              <w:bottom w:val="single" w:sz="8" w:color="auto"/>
            </w:tcBorders>
            <w:gridSpan w:val="4"/>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color w:val="auto"/>
              </w:rPr>
              <w:t>venBio Global Strategic Fund III, 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WC</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w w:val="97"/>
              </w:rPr>
              <w:t>Cayman Islands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color w:val="auto"/>
              </w:rPr>
              <w:t>2,301,451</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2,301,451</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2"/>
              </w:rPr>
              <w:t>2,301,451</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8"/>
                <w:szCs w:val="18"/>
                <w:color w:val="auto"/>
              </w:rPr>
              <w:t>PN</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400" w:type="dxa"/>
            <w:vAlign w:val="bottom"/>
            <w:tcBorders>
              <w:left w:val="single" w:sz="8" w:color="auto"/>
              <w:right w:val="single" w:sz="8" w:color="auto"/>
            </w:tcBorders>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8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33"/>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Arial" w:cs="Arial" w:eastAsia="Arial" w:hAnsi="Arial"/>
                <w:sz w:val="18"/>
                <w:szCs w:val="18"/>
                <w:color w:val="auto"/>
              </w:rPr>
              <w:t>CUSIP No. N69605108</w:t>
            </w:r>
          </w:p>
        </w:tc>
        <w:tc>
          <w:tcPr>
            <w:tcW w:w="540" w:type="dxa"/>
            <w:vAlign w:val="bottom"/>
          </w:tcPr>
          <w:p>
            <w:pPr>
              <w:spacing w:after="0"/>
              <w:rPr>
                <w:sz w:val="20"/>
                <w:szCs w:val="20"/>
                <w:color w:val="auto"/>
              </w:rPr>
            </w:pPr>
          </w:p>
        </w:tc>
        <w:tc>
          <w:tcPr>
            <w:tcW w:w="8520" w:type="dxa"/>
            <w:vAlign w:val="bottom"/>
            <w:gridSpan w:val="3"/>
          </w:tcPr>
          <w:p>
            <w:pPr>
              <w:ind w:left="7240"/>
              <w:spacing w:after="0"/>
              <w:rPr>
                <w:sz w:val="20"/>
                <w:szCs w:val="20"/>
                <w:color w:val="auto"/>
              </w:rPr>
            </w:pPr>
            <w:r>
              <w:rPr>
                <w:rFonts w:ascii="Arial" w:cs="Arial" w:eastAsia="Arial" w:hAnsi="Arial"/>
                <w:sz w:val="18"/>
                <w:szCs w:val="18"/>
                <w:color w:val="auto"/>
                <w:w w:val="83"/>
              </w:rPr>
              <w:t xml:space="preserve">Page </w:t>
            </w:r>
            <w:r>
              <w:rPr>
                <w:rFonts w:ascii="Arial" w:cs="Arial" w:eastAsia="Arial" w:hAnsi="Arial"/>
                <w:sz w:val="18"/>
                <w:szCs w:val="18"/>
                <w:b w:val="1"/>
                <w:bCs w:val="1"/>
                <w:color w:val="auto"/>
                <w:w w:val="83"/>
              </w:rPr>
              <w:t>3</w:t>
            </w:r>
            <w:r>
              <w:rPr>
                <w:rFonts w:ascii="Arial" w:cs="Arial" w:eastAsia="Arial" w:hAnsi="Arial"/>
                <w:sz w:val="18"/>
                <w:szCs w:val="18"/>
                <w:color w:val="auto"/>
                <w:w w:val="83"/>
              </w:rPr>
              <w:t xml:space="preserve"> of </w:t>
            </w:r>
            <w:r>
              <w:rPr>
                <w:rFonts w:ascii="Arial" w:cs="Arial" w:eastAsia="Arial" w:hAnsi="Arial"/>
                <w:sz w:val="18"/>
                <w:szCs w:val="18"/>
                <w:b w:val="1"/>
                <w:bCs w:val="1"/>
                <w:color w:val="auto"/>
                <w:w w:val="83"/>
              </w:rPr>
              <w:t>8</w:t>
            </w:r>
            <w:r>
              <w:rPr>
                <w:rFonts w:ascii="Arial" w:cs="Arial" w:eastAsia="Arial" w:hAnsi="Arial"/>
                <w:sz w:val="18"/>
                <w:szCs w:val="18"/>
                <w:color w:val="auto"/>
                <w:w w:val="83"/>
              </w:rPr>
              <w:t xml:space="preserve">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320" w:type="dxa"/>
            <w:vAlign w:val="bottom"/>
            <w:tcBorders>
              <w:bottom w:val="single" w:sz="8" w:color="auto"/>
            </w:tcBorders>
            <w:gridSpan w:val="4"/>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color w:val="auto"/>
              </w:rPr>
              <w:t>venBio Global Strategic GP III, 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AF</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w w:val="97"/>
              </w:rPr>
              <w:t>Cayman Islands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color w:val="auto"/>
              </w:rPr>
              <w:t>2,301,451</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2,301,451</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2"/>
              </w:rPr>
              <w:t>2,301,451</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PN</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Arial" w:cs="Arial" w:eastAsia="Arial" w:hAnsi="Arial"/>
                <w:sz w:val="18"/>
                <w:szCs w:val="18"/>
                <w:color w:val="auto"/>
              </w:rPr>
              <w:t>CUSIP No. N69605108</w:t>
            </w:r>
          </w:p>
        </w:tc>
        <w:tc>
          <w:tcPr>
            <w:tcW w:w="540" w:type="dxa"/>
            <w:vAlign w:val="bottom"/>
          </w:tcPr>
          <w:p>
            <w:pPr>
              <w:spacing w:after="0"/>
              <w:rPr>
                <w:sz w:val="20"/>
                <w:szCs w:val="20"/>
                <w:color w:val="auto"/>
              </w:rPr>
            </w:pPr>
          </w:p>
        </w:tc>
        <w:tc>
          <w:tcPr>
            <w:tcW w:w="8520" w:type="dxa"/>
            <w:vAlign w:val="bottom"/>
            <w:gridSpan w:val="3"/>
          </w:tcPr>
          <w:p>
            <w:pPr>
              <w:ind w:left="7240"/>
              <w:spacing w:after="0"/>
              <w:rPr>
                <w:sz w:val="20"/>
                <w:szCs w:val="20"/>
                <w:color w:val="auto"/>
              </w:rPr>
            </w:pPr>
            <w:r>
              <w:rPr>
                <w:rFonts w:ascii="Arial" w:cs="Arial" w:eastAsia="Arial" w:hAnsi="Arial"/>
                <w:sz w:val="18"/>
                <w:szCs w:val="18"/>
                <w:color w:val="auto"/>
                <w:w w:val="83"/>
              </w:rPr>
              <w:t xml:space="preserve">Page </w:t>
            </w:r>
            <w:r>
              <w:rPr>
                <w:rFonts w:ascii="Arial" w:cs="Arial" w:eastAsia="Arial" w:hAnsi="Arial"/>
                <w:sz w:val="18"/>
                <w:szCs w:val="18"/>
                <w:b w:val="1"/>
                <w:bCs w:val="1"/>
                <w:color w:val="auto"/>
                <w:w w:val="83"/>
              </w:rPr>
              <w:t>4</w:t>
            </w:r>
            <w:r>
              <w:rPr>
                <w:rFonts w:ascii="Arial" w:cs="Arial" w:eastAsia="Arial" w:hAnsi="Arial"/>
                <w:sz w:val="18"/>
                <w:szCs w:val="18"/>
                <w:color w:val="auto"/>
                <w:w w:val="83"/>
              </w:rPr>
              <w:t xml:space="preserve"> of </w:t>
            </w:r>
            <w:r>
              <w:rPr>
                <w:rFonts w:ascii="Arial" w:cs="Arial" w:eastAsia="Arial" w:hAnsi="Arial"/>
                <w:sz w:val="18"/>
                <w:szCs w:val="18"/>
                <w:b w:val="1"/>
                <w:bCs w:val="1"/>
                <w:color w:val="auto"/>
                <w:w w:val="83"/>
              </w:rPr>
              <w:t>8</w:t>
            </w:r>
            <w:r>
              <w:rPr>
                <w:rFonts w:ascii="Arial" w:cs="Arial" w:eastAsia="Arial" w:hAnsi="Arial"/>
                <w:sz w:val="18"/>
                <w:szCs w:val="18"/>
                <w:color w:val="auto"/>
                <w:w w:val="83"/>
              </w:rPr>
              <w:t xml:space="preserve">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320" w:type="dxa"/>
            <w:vAlign w:val="bottom"/>
            <w:tcBorders>
              <w:bottom w:val="single" w:sz="8" w:color="auto"/>
            </w:tcBorders>
            <w:gridSpan w:val="4"/>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color w:val="auto"/>
              </w:rPr>
              <w:t>venBio Global Strategic GP III, Ltd.</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AF</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w w:val="97"/>
              </w:rPr>
              <w:t>Cayman Islands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color w:val="auto"/>
              </w:rPr>
              <w:t>2,301,451</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2,301,451</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2"/>
              </w:rPr>
              <w:t>2,301,451</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CO</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Arial" w:cs="Arial" w:eastAsia="Arial" w:hAnsi="Arial"/>
                <w:sz w:val="18"/>
                <w:szCs w:val="18"/>
                <w:color w:val="auto"/>
              </w:rPr>
              <w:t>CUSIP No. N69605108</w:t>
            </w:r>
          </w:p>
        </w:tc>
        <w:tc>
          <w:tcPr>
            <w:tcW w:w="540" w:type="dxa"/>
            <w:vAlign w:val="bottom"/>
          </w:tcPr>
          <w:p>
            <w:pPr>
              <w:spacing w:after="0"/>
              <w:rPr>
                <w:sz w:val="20"/>
                <w:szCs w:val="20"/>
                <w:color w:val="auto"/>
              </w:rPr>
            </w:pPr>
          </w:p>
        </w:tc>
        <w:tc>
          <w:tcPr>
            <w:tcW w:w="8520" w:type="dxa"/>
            <w:vAlign w:val="bottom"/>
            <w:gridSpan w:val="3"/>
          </w:tcPr>
          <w:p>
            <w:pPr>
              <w:ind w:left="7240"/>
              <w:spacing w:after="0"/>
              <w:rPr>
                <w:sz w:val="20"/>
                <w:szCs w:val="20"/>
                <w:color w:val="auto"/>
              </w:rPr>
            </w:pPr>
            <w:r>
              <w:rPr>
                <w:rFonts w:ascii="Arial" w:cs="Arial" w:eastAsia="Arial" w:hAnsi="Arial"/>
                <w:sz w:val="18"/>
                <w:szCs w:val="18"/>
                <w:color w:val="auto"/>
                <w:w w:val="83"/>
              </w:rPr>
              <w:t xml:space="preserve">Page </w:t>
            </w:r>
            <w:r>
              <w:rPr>
                <w:rFonts w:ascii="Arial" w:cs="Arial" w:eastAsia="Arial" w:hAnsi="Arial"/>
                <w:sz w:val="18"/>
                <w:szCs w:val="18"/>
                <w:b w:val="1"/>
                <w:bCs w:val="1"/>
                <w:color w:val="auto"/>
                <w:w w:val="83"/>
              </w:rPr>
              <w:t>5</w:t>
            </w:r>
            <w:r>
              <w:rPr>
                <w:rFonts w:ascii="Arial" w:cs="Arial" w:eastAsia="Arial" w:hAnsi="Arial"/>
                <w:sz w:val="18"/>
                <w:szCs w:val="18"/>
                <w:color w:val="auto"/>
                <w:w w:val="83"/>
              </w:rPr>
              <w:t xml:space="preserve"> of </w:t>
            </w:r>
            <w:r>
              <w:rPr>
                <w:rFonts w:ascii="Arial" w:cs="Arial" w:eastAsia="Arial" w:hAnsi="Arial"/>
                <w:sz w:val="18"/>
                <w:szCs w:val="18"/>
                <w:b w:val="1"/>
                <w:bCs w:val="1"/>
                <w:color w:val="auto"/>
                <w:w w:val="83"/>
              </w:rPr>
              <w:t>8</w:t>
            </w:r>
            <w:r>
              <w:rPr>
                <w:rFonts w:ascii="Arial" w:cs="Arial" w:eastAsia="Arial" w:hAnsi="Arial"/>
                <w:sz w:val="18"/>
                <w:szCs w:val="18"/>
                <w:color w:val="auto"/>
                <w:w w:val="83"/>
              </w:rPr>
              <w:t xml:space="preserve">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320" w:type="dxa"/>
            <w:vAlign w:val="bottom"/>
            <w:tcBorders>
              <w:bottom w:val="single" w:sz="8" w:color="auto"/>
            </w:tcBorders>
            <w:gridSpan w:val="4"/>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w w:val="95"/>
              </w:rPr>
              <w:t>Corey Goodman</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AF</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color w:val="auto"/>
              </w:rPr>
              <w:t>United States of America</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color w:val="auto"/>
              </w:rPr>
              <w:t>2,301,451</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2,301,451</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2"/>
              </w:rPr>
              <w:t>2,301,451</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IN</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Arial" w:cs="Arial" w:eastAsia="Arial" w:hAnsi="Arial"/>
                <w:sz w:val="18"/>
                <w:szCs w:val="18"/>
                <w:color w:val="auto"/>
              </w:rPr>
              <w:t>CUSIP No. N69605108</w:t>
            </w:r>
          </w:p>
        </w:tc>
        <w:tc>
          <w:tcPr>
            <w:tcW w:w="540" w:type="dxa"/>
            <w:vAlign w:val="bottom"/>
          </w:tcPr>
          <w:p>
            <w:pPr>
              <w:spacing w:after="0"/>
              <w:rPr>
                <w:sz w:val="20"/>
                <w:szCs w:val="20"/>
                <w:color w:val="auto"/>
              </w:rPr>
            </w:pPr>
          </w:p>
        </w:tc>
        <w:tc>
          <w:tcPr>
            <w:tcW w:w="8520" w:type="dxa"/>
            <w:vAlign w:val="bottom"/>
            <w:gridSpan w:val="3"/>
          </w:tcPr>
          <w:p>
            <w:pPr>
              <w:ind w:left="7240"/>
              <w:spacing w:after="0"/>
              <w:rPr>
                <w:sz w:val="20"/>
                <w:szCs w:val="20"/>
                <w:color w:val="auto"/>
              </w:rPr>
            </w:pPr>
            <w:r>
              <w:rPr>
                <w:rFonts w:ascii="Arial" w:cs="Arial" w:eastAsia="Arial" w:hAnsi="Arial"/>
                <w:sz w:val="18"/>
                <w:szCs w:val="18"/>
                <w:color w:val="auto"/>
                <w:w w:val="83"/>
              </w:rPr>
              <w:t xml:space="preserve">Page </w:t>
            </w:r>
            <w:r>
              <w:rPr>
                <w:rFonts w:ascii="Arial" w:cs="Arial" w:eastAsia="Arial" w:hAnsi="Arial"/>
                <w:sz w:val="18"/>
                <w:szCs w:val="18"/>
                <w:b w:val="1"/>
                <w:bCs w:val="1"/>
                <w:color w:val="auto"/>
                <w:w w:val="83"/>
              </w:rPr>
              <w:t>6</w:t>
            </w:r>
            <w:r>
              <w:rPr>
                <w:rFonts w:ascii="Arial" w:cs="Arial" w:eastAsia="Arial" w:hAnsi="Arial"/>
                <w:sz w:val="18"/>
                <w:szCs w:val="18"/>
                <w:color w:val="auto"/>
                <w:w w:val="83"/>
              </w:rPr>
              <w:t xml:space="preserve"> of </w:t>
            </w:r>
            <w:r>
              <w:rPr>
                <w:rFonts w:ascii="Arial" w:cs="Arial" w:eastAsia="Arial" w:hAnsi="Arial"/>
                <w:sz w:val="18"/>
                <w:szCs w:val="18"/>
                <w:b w:val="1"/>
                <w:bCs w:val="1"/>
                <w:color w:val="auto"/>
                <w:w w:val="83"/>
              </w:rPr>
              <w:t>8</w:t>
            </w:r>
            <w:r>
              <w:rPr>
                <w:rFonts w:ascii="Arial" w:cs="Arial" w:eastAsia="Arial" w:hAnsi="Arial"/>
                <w:sz w:val="18"/>
                <w:szCs w:val="18"/>
                <w:color w:val="auto"/>
                <w:w w:val="83"/>
              </w:rPr>
              <w:t xml:space="preserve">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320" w:type="dxa"/>
            <w:vAlign w:val="bottom"/>
            <w:tcBorders>
              <w:bottom w:val="single" w:sz="8" w:color="auto"/>
            </w:tcBorders>
            <w:gridSpan w:val="4"/>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w w:val="96"/>
              </w:rPr>
              <w:t>Robert Adelman</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AF</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color w:val="auto"/>
              </w:rPr>
              <w:t>United States of America</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color w:val="auto"/>
              </w:rPr>
              <w:t>2,301,451</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2"/>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2,301,451</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2"/>
              </w:rPr>
              <w:t>2,301,451</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IN</w:t>
            </w:r>
          </w:p>
        </w:tc>
        <w:tc>
          <w:tcPr>
            <w:tcW w:w="5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6" w:name="page7"/>
    <w:bookmarkEnd w:id="6"/>
    <w:p>
      <w:pPr>
        <w:spacing w:after="0"/>
        <w:tabs>
          <w:tab w:leader="none" w:pos="9940" w:val="left"/>
        </w:tabs>
        <w:rPr>
          <w:sz w:val="20"/>
          <w:szCs w:val="20"/>
          <w:color w:val="auto"/>
        </w:rPr>
      </w:pPr>
      <w:r>
        <w:rPr>
          <w:rFonts w:ascii="Arial" w:cs="Arial" w:eastAsia="Arial" w:hAnsi="Arial"/>
          <w:sz w:val="18"/>
          <w:szCs w:val="18"/>
          <w:color w:val="auto"/>
        </w:rPr>
        <w:t>CUSIP No. N69605108</w:t>
      </w:r>
      <w:r>
        <w:rPr>
          <w:sz w:val="20"/>
          <w:szCs w:val="20"/>
          <w:color w:val="auto"/>
        </w:rPr>
        <w:tab/>
      </w:r>
      <w:r>
        <w:rPr>
          <w:rFonts w:ascii="Arial" w:cs="Arial" w:eastAsia="Arial" w:hAnsi="Arial"/>
          <w:sz w:val="15"/>
          <w:szCs w:val="15"/>
          <w:color w:val="auto"/>
        </w:rPr>
        <w:t xml:space="preserve">Page </w:t>
      </w:r>
      <w:r>
        <w:rPr>
          <w:rFonts w:ascii="Arial" w:cs="Arial" w:eastAsia="Arial" w:hAnsi="Arial"/>
          <w:sz w:val="15"/>
          <w:szCs w:val="15"/>
          <w:b w:val="1"/>
          <w:bCs w:val="1"/>
          <w:color w:val="auto"/>
        </w:rPr>
        <w:t>7</w:t>
      </w:r>
      <w:r>
        <w:rPr>
          <w:rFonts w:ascii="Arial" w:cs="Arial" w:eastAsia="Arial" w:hAnsi="Arial"/>
          <w:sz w:val="15"/>
          <w:szCs w:val="15"/>
          <w:color w:val="auto"/>
        </w:rPr>
        <w:t xml:space="preserve"> of </w:t>
      </w:r>
      <w:r>
        <w:rPr>
          <w:rFonts w:ascii="Arial" w:cs="Arial" w:eastAsia="Arial" w:hAnsi="Arial"/>
          <w:sz w:val="15"/>
          <w:szCs w:val="15"/>
          <w:b w:val="1"/>
          <w:bCs w:val="1"/>
          <w:color w:val="auto"/>
        </w:rPr>
        <w:t>8</w:t>
      </w:r>
      <w:r>
        <w:rPr>
          <w:rFonts w:ascii="Arial" w:cs="Arial" w:eastAsia="Arial" w:hAnsi="Arial"/>
          <w:sz w:val="15"/>
          <w:szCs w:val="15"/>
          <w:color w:val="auto"/>
        </w:rPr>
        <w:t xml:space="preserve"> Pages</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Item 1 of the Schedule 13D is hereby amended and supplemented as follows: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This Amendment No. 1 to Schedule 13D (“</w:t>
      </w:r>
      <w:r>
        <w:rPr>
          <w:rFonts w:ascii="Arial" w:cs="Arial" w:eastAsia="Arial" w:hAnsi="Arial"/>
          <w:sz w:val="21"/>
          <w:szCs w:val="21"/>
          <w:u w:val="single" w:color="auto"/>
          <w:color w:val="auto"/>
        </w:rPr>
        <w:t>Amendment No. 1</w:t>
      </w:r>
      <w:r>
        <w:rPr>
          <w:rFonts w:ascii="Arial" w:cs="Arial" w:eastAsia="Arial" w:hAnsi="Arial"/>
          <w:sz w:val="21"/>
          <w:szCs w:val="21"/>
          <w:color w:val="auto"/>
        </w:rPr>
        <w:t>”) relates to the Ordinary shares, par value €0.12 per share (the “</w:t>
      </w:r>
      <w:r>
        <w:rPr>
          <w:rFonts w:ascii="Arial" w:cs="Arial" w:eastAsia="Arial" w:hAnsi="Arial"/>
          <w:sz w:val="21"/>
          <w:szCs w:val="21"/>
          <w:u w:val="single" w:color="auto"/>
          <w:color w:val="auto"/>
        </w:rPr>
        <w:t>Common Shares</w:t>
      </w:r>
      <w:r>
        <w:rPr>
          <w:rFonts w:ascii="Arial" w:cs="Arial" w:eastAsia="Arial" w:hAnsi="Arial"/>
          <w:sz w:val="21"/>
          <w:szCs w:val="21"/>
          <w:color w:val="auto"/>
        </w:rPr>
        <w:t>”), of Pharvaris N.V. (the “</w:t>
      </w:r>
      <w:r>
        <w:rPr>
          <w:rFonts w:ascii="Arial" w:cs="Arial" w:eastAsia="Arial" w:hAnsi="Arial"/>
          <w:sz w:val="21"/>
          <w:szCs w:val="21"/>
          <w:u w:val="single" w:color="auto"/>
          <w:color w:val="auto"/>
        </w:rPr>
        <w:t>Issuer</w:t>
      </w:r>
      <w:r>
        <w:rPr>
          <w:rFonts w:ascii="Arial" w:cs="Arial" w:eastAsia="Arial" w:hAnsi="Arial"/>
          <w:sz w:val="21"/>
          <w:szCs w:val="21"/>
          <w:color w:val="auto"/>
        </w:rPr>
        <w:t>”), whose principal executive offices are located at J.H. Oortweg 21, 2333 CH Leiden, The Netherlands. This Amendment No. 1 amends and supplements the original statement on Schedule 13D filed by the Reporting Persons and Aaron Royston with the Securities and Exchange Commission (the “</w:t>
      </w:r>
      <w:r>
        <w:rPr>
          <w:rFonts w:ascii="Arial" w:cs="Arial" w:eastAsia="Arial" w:hAnsi="Arial"/>
          <w:sz w:val="21"/>
          <w:szCs w:val="21"/>
          <w:u w:val="single" w:color="auto"/>
          <w:color w:val="auto"/>
        </w:rPr>
        <w:t>SEC</w:t>
      </w:r>
      <w:r>
        <w:rPr>
          <w:rFonts w:ascii="Arial" w:cs="Arial" w:eastAsia="Arial" w:hAnsi="Arial"/>
          <w:sz w:val="21"/>
          <w:szCs w:val="21"/>
          <w:color w:val="auto"/>
        </w:rPr>
        <w:t>”) on February 19, 2021 (together with this Amendment No. 1, the “</w:t>
      </w:r>
      <w:r>
        <w:rPr>
          <w:rFonts w:ascii="Arial" w:cs="Arial" w:eastAsia="Arial" w:hAnsi="Arial"/>
          <w:sz w:val="21"/>
          <w:szCs w:val="21"/>
          <w:u w:val="single" w:color="auto"/>
          <w:color w:val="auto"/>
        </w:rPr>
        <w:t>Schedule 13D</w:t>
      </w:r>
      <w:r>
        <w:rPr>
          <w:rFonts w:ascii="Arial" w:cs="Arial" w:eastAsia="Arial" w:hAnsi="Arial"/>
          <w:sz w:val="21"/>
          <w:szCs w:val="21"/>
          <w:color w:val="auto"/>
        </w:rPr>
        <w:t>”). All capitalized terms not otherwise defined herein have the meanings ascribed to such terms in the original Schedule 13D.</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This Amendment No. 1 is being filed solely to remove Aaron Royston as a Reporting Person, because Mr. Royston does not beneficially own any of the Common Shares reported herein. Mr. Royston was inadvertently included as a Reporting Person in the Schedule 13D originally filed with the SEC on February 19, 2021. Except as specifically provided herein, this Amendment No. 1 does not modify any of the previous information reported in the original Schedule 13D.</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Item 2 of the Schedule 13D is hereby amended and restated in its entirety as follows: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This Schedule 13D is being filed by the following persons (each a “</w:t>
      </w:r>
      <w:r>
        <w:rPr>
          <w:rFonts w:ascii="Arial" w:cs="Arial" w:eastAsia="Arial" w:hAnsi="Arial"/>
          <w:sz w:val="19"/>
          <w:szCs w:val="19"/>
          <w:u w:val="single" w:color="auto"/>
          <w:color w:val="auto"/>
        </w:rPr>
        <w:t>Reporting Person</w:t>
      </w:r>
      <w:r>
        <w:rPr>
          <w:rFonts w:ascii="Arial" w:cs="Arial" w:eastAsia="Arial" w:hAnsi="Arial"/>
          <w:sz w:val="19"/>
          <w:szCs w:val="19"/>
          <w:color w:val="auto"/>
        </w:rPr>
        <w:t>” and together the “</w:t>
      </w:r>
      <w:r>
        <w:rPr>
          <w:rFonts w:ascii="Arial" w:cs="Arial" w:eastAsia="Arial" w:hAnsi="Arial"/>
          <w:sz w:val="19"/>
          <w:szCs w:val="19"/>
          <w:u w:val="single" w:color="auto"/>
          <w:color w:val="auto"/>
        </w:rPr>
        <w:t>Reporting Persons</w:t>
      </w:r>
      <w:r>
        <w:rPr>
          <w:rFonts w:ascii="Arial" w:cs="Arial" w:eastAsia="Arial" w:hAnsi="Arial"/>
          <w:sz w:val="19"/>
          <w:szCs w:val="19"/>
          <w:color w:val="auto"/>
        </w:rPr>
        <w:t>”):</w:t>
      </w:r>
    </w:p>
    <w:p>
      <w:pPr>
        <w:spacing w:after="0" w:line="275"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venBio Global Strategic Fund III, L.P., a Cayman Islands partnership (the “</w:t>
      </w:r>
      <w:r>
        <w:rPr>
          <w:rFonts w:ascii="Arial" w:cs="Arial" w:eastAsia="Arial" w:hAnsi="Arial"/>
          <w:sz w:val="18"/>
          <w:szCs w:val="18"/>
          <w:u w:val="single" w:color="auto"/>
          <w:color w:val="auto"/>
        </w:rPr>
        <w:t>Fund III</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venBio Global Strategic GP III, L.P., a Cayman Islands partnership (the “</w:t>
      </w:r>
      <w:r>
        <w:rPr>
          <w:rFonts w:ascii="Arial" w:cs="Arial" w:eastAsia="Arial" w:hAnsi="Arial"/>
          <w:sz w:val="17"/>
          <w:szCs w:val="17"/>
          <w:u w:val="single" w:color="auto"/>
          <w:color w:val="auto"/>
        </w:rPr>
        <w:t>General Partner III</w:t>
      </w:r>
      <w:r>
        <w:rPr>
          <w:rFonts w:ascii="Arial" w:cs="Arial" w:eastAsia="Arial" w:hAnsi="Arial"/>
          <w:sz w:val="17"/>
          <w:szCs w:val="17"/>
          <w:color w:val="auto"/>
        </w:rPr>
        <w:t>”), which is the sole general partner of Fund III;</w:t>
      </w:r>
    </w:p>
    <w:p>
      <w:pPr>
        <w:spacing w:after="0" w:line="263" w:lineRule="exact"/>
        <w:rPr>
          <w:rFonts w:ascii="Arial" w:cs="Arial" w:eastAsia="Arial" w:hAnsi="Arial"/>
          <w:sz w:val="17"/>
          <w:szCs w:val="17"/>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venBio Global Strategic GP III, Ltd., a Cayman Islands company (the “</w:t>
      </w:r>
      <w:r>
        <w:rPr>
          <w:rFonts w:ascii="Arial" w:cs="Arial" w:eastAsia="Arial" w:hAnsi="Arial"/>
          <w:sz w:val="16"/>
          <w:szCs w:val="16"/>
          <w:u w:val="single" w:color="auto"/>
          <w:color w:val="auto"/>
        </w:rPr>
        <w:t>GP Ltd. III</w:t>
      </w:r>
      <w:r>
        <w:rPr>
          <w:rFonts w:ascii="Arial" w:cs="Arial" w:eastAsia="Arial" w:hAnsi="Arial"/>
          <w:sz w:val="16"/>
          <w:szCs w:val="16"/>
          <w:color w:val="auto"/>
        </w:rPr>
        <w:t>”), which is the sole general partner of the General Partner III;</w:t>
      </w:r>
    </w:p>
    <w:p>
      <w:pPr>
        <w:spacing w:after="0" w:line="275"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Robert Adelman, a citizen of the United States of America and a director of the GP Ltd. III; and</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Corey Goodman (together with Robert Adelman, the “</w:t>
      </w:r>
      <w:r>
        <w:rPr>
          <w:rFonts w:ascii="Arial" w:cs="Arial" w:eastAsia="Arial" w:hAnsi="Arial"/>
          <w:sz w:val="17"/>
          <w:szCs w:val="17"/>
          <w:u w:val="single" w:color="auto"/>
          <w:color w:val="auto"/>
        </w:rPr>
        <w:t>Directors</w:t>
      </w:r>
      <w:r>
        <w:rPr>
          <w:rFonts w:ascii="Arial" w:cs="Arial" w:eastAsia="Arial" w:hAnsi="Arial"/>
          <w:sz w:val="17"/>
          <w:szCs w:val="17"/>
          <w:color w:val="auto"/>
        </w:rPr>
        <w:t>”), a citizen of the United States of America and a director of the GP Ltd. III.</w:t>
      </w:r>
    </w:p>
    <w:p>
      <w:pPr>
        <w:spacing w:after="0" w:line="25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principal business address of each Reporting Person is c/o venBio Partners, LLC, 1700 Owens Street, Suite 595, San Francisco, CA 94158. The principal business of Fund III is to make strategic equity and equity-related investments principally in entities operating in the life sciences industry and/or assets relating thereto. The principal business of the General Partner III is to act as the sole general partner of the Fund III. The principal business of the GP Ltd. III is to act as the sole general partner of the General Partner III. The principal business of each of the Directors is to manage the General Partner III and the GP Ltd. III.</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During the last five years, none of the Reporting Persons has been convicted in a criminal proceeding (excluding traffic violations or similar misdemeanors).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During the last five years, none of the Reporting Persons has been party to a civil proceeding of a judicial or administrative body of competent jurisdiction and as a result of such proceeding were or are subject to a judgment, decree or final order enjoining future violations of, or prohibiting or mandating activities subject to, federal or state securities laws or finding any violation with respect to such laws.</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Item 5(a)-(b) of the Schedule 13D is hereby amended and supplemented as follows: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(a)-(b) The information set forth in rows 7 through 13 of the cover pages to this Schedule 13D is incorporated by reference. The percentage set forth in row 13 is based on 33,582,171 Common Shares outstanding, as reported in the Issuer’s current report on Form 6-K, filed with the SEC on September 12, 2022.</w:t>
      </w: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As of February 9, 2021 (the date of the original Schedule 13D), the Reporting Persons beneficially owned 2,303,310 Common Shares, which amount represented approximately 7.0% of the 33,080,351 Common Shares then outstanding. These figures were reported in the original Schedule 13D filed with the SEC on February 19, 2021.</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Fund III directly holds all of the Common Shares reported herein and in the original Schedule 13D. As the sole general partner of Fund III, the General Partner III may be deemed to beneficially own the shares held by Fund III and as the sole general partner of the General Partner III, the GP Ltd. III may be deemed to beneficially own the shares held by Fund III. As directors of the GP Ltd. III, each of the Directors may be deemed to beneficially own the shares held by Fund III.</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99.3</w:t>
      </w:r>
      <w:r>
        <w:rPr>
          <w:rFonts w:ascii="Arial" w:cs="Arial" w:eastAsia="Arial" w:hAnsi="Arial"/>
          <w:sz w:val="18"/>
          <w:szCs w:val="18"/>
          <w:color w:val="0000EE"/>
        </w:rPr>
        <w:t xml:space="preserve"> </w:t>
      </w:r>
      <w:r>
        <w:rPr>
          <w:rFonts w:ascii="Arial" w:cs="Arial" w:eastAsia="Arial" w:hAnsi="Arial"/>
          <w:sz w:val="18"/>
          <w:szCs w:val="18"/>
          <w:color w:val="000000"/>
        </w:rPr>
        <w:t>Agreement regarding filing of joint Schedule 13D.</w:t>
      </w:r>
    </w:p>
    <w:p>
      <w:pPr>
        <w:sectPr>
          <w:pgSz w:w="11900" w:h="16838" w:orient="portrait"/>
          <w:cols w:equalWidth="0" w:num="1">
            <w:col w:w="11240"/>
          </w:cols>
          <w:pgMar w:left="320" w:top="121" w:right="339" w:bottom="0"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9940" w:val="left"/>
        </w:tabs>
        <w:rPr>
          <w:sz w:val="20"/>
          <w:szCs w:val="20"/>
          <w:color w:val="auto"/>
        </w:rPr>
      </w:pPr>
      <w:r>
        <w:rPr>
          <w:rFonts w:ascii="Arial" w:cs="Arial" w:eastAsia="Arial" w:hAnsi="Arial"/>
          <w:sz w:val="18"/>
          <w:szCs w:val="18"/>
          <w:color w:val="auto"/>
        </w:rPr>
        <w:t>CUSIP No. N69605108</w:t>
      </w:r>
      <w:r>
        <w:rPr>
          <w:sz w:val="20"/>
          <w:szCs w:val="20"/>
          <w:color w:val="auto"/>
        </w:rPr>
        <w:tab/>
      </w:r>
      <w:r>
        <w:rPr>
          <w:rFonts w:ascii="Arial" w:cs="Arial" w:eastAsia="Arial" w:hAnsi="Arial"/>
          <w:sz w:val="15"/>
          <w:szCs w:val="15"/>
          <w:color w:val="auto"/>
        </w:rPr>
        <w:t xml:space="preserve">Page </w:t>
      </w:r>
      <w:r>
        <w:rPr>
          <w:rFonts w:ascii="Arial" w:cs="Arial" w:eastAsia="Arial" w:hAnsi="Arial"/>
          <w:sz w:val="15"/>
          <w:szCs w:val="15"/>
          <w:b w:val="1"/>
          <w:bCs w:val="1"/>
          <w:color w:val="auto"/>
        </w:rPr>
        <w:t>8</w:t>
      </w:r>
      <w:r>
        <w:rPr>
          <w:rFonts w:ascii="Arial" w:cs="Arial" w:eastAsia="Arial" w:hAnsi="Arial"/>
          <w:sz w:val="15"/>
          <w:szCs w:val="15"/>
          <w:color w:val="auto"/>
        </w:rPr>
        <w:t xml:space="preserve"> of </w:t>
      </w:r>
      <w:r>
        <w:rPr>
          <w:rFonts w:ascii="Arial" w:cs="Arial" w:eastAsia="Arial" w:hAnsi="Arial"/>
          <w:sz w:val="15"/>
          <w:szCs w:val="15"/>
          <w:b w:val="1"/>
          <w:bCs w:val="1"/>
          <w:color w:val="auto"/>
        </w:rPr>
        <w:t>8</w:t>
      </w:r>
      <w:r>
        <w:rPr>
          <w:rFonts w:ascii="Arial" w:cs="Arial" w:eastAsia="Arial" w:hAnsi="Arial"/>
          <w:sz w:val="15"/>
          <w:szCs w:val="15"/>
          <w:color w:val="auto"/>
        </w:rPr>
        <w:t xml:space="preserve"> Pages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26, 2022</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VENBIO GLOBAL STRATEGIC FUND III, L.P.</w:t>
      </w:r>
    </w:p>
    <w:p>
      <w:pPr>
        <w:spacing w:after="0" w:line="211"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VENBIO GLOBAL STRATEGIC GP III, L.P.</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VENBIO GLOBAL STRATEGIC GP III, LTD.</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5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5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230"/>
        </w:trPr>
        <w:tc>
          <w:tcPr>
            <w:tcW w:w="56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VENBIO GLOBAL STRATEGIC GP III, L.P.</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VENBIO GLOBAL STRATEGIC GP III, LTD.</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5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5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5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230"/>
        </w:trPr>
        <w:tc>
          <w:tcPr>
            <w:tcW w:w="56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VENBIO GLOBAL STRATEGIC GP III, LTD.</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5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5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5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230"/>
        </w:trPr>
        <w:tc>
          <w:tcPr>
            <w:tcW w:w="56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Director</w:t>
            </w:r>
          </w:p>
        </w:tc>
      </w:tr>
      <w:tr>
        <w:trPr>
          <w:trHeight w:val="438"/>
        </w:trPr>
        <w:tc>
          <w:tcPr>
            <w:tcW w:w="560" w:type="dxa"/>
            <w:vAlign w:val="bottom"/>
          </w:tcPr>
          <w:p>
            <w:pPr>
              <w:spacing w:after="0"/>
              <w:rPr>
                <w:sz w:val="24"/>
                <w:szCs w:val="24"/>
                <w:color w:val="auto"/>
              </w:rPr>
            </w:pPr>
          </w:p>
        </w:tc>
        <w:tc>
          <w:tcPr>
            <w:tcW w:w="39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202"/>
        </w:trPr>
        <w:tc>
          <w:tcPr>
            <w:tcW w:w="56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Corey Goodman</w:t>
            </w:r>
          </w:p>
        </w:tc>
      </w:tr>
      <w:tr>
        <w:trPr>
          <w:trHeight w:val="251"/>
        </w:trPr>
        <w:tc>
          <w:tcPr>
            <w:tcW w:w="560" w:type="dxa"/>
            <w:vAlign w:val="bottom"/>
          </w:tcPr>
          <w:p>
            <w:pPr>
              <w:spacing w:after="0"/>
              <w:rPr>
                <w:sz w:val="21"/>
                <w:szCs w:val="21"/>
                <w:color w:val="auto"/>
              </w:rPr>
            </w:pPr>
          </w:p>
        </w:tc>
        <w:tc>
          <w:tcPr>
            <w:tcW w:w="39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Robert Adelman</w:t>
            </w:r>
          </w:p>
        </w:tc>
      </w:tr>
      <w:tr>
        <w:trPr>
          <w:trHeight w:val="43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Pezeshki</w:t>
            </w:r>
          </w:p>
        </w:tc>
      </w:tr>
      <w:tr>
        <w:trPr>
          <w:trHeight w:val="202"/>
        </w:trPr>
        <w:tc>
          <w:tcPr>
            <w:tcW w:w="56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David Pezeshki</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As attorney-in-fact</w:t>
            </w:r>
          </w:p>
        </w:tc>
      </w:tr>
    </w:tbl>
    <w:p>
      <w:pPr>
        <w:spacing w:after="0" w:line="222"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This Schedule 13D was executed by David Pezeshki on behalf of the individuals listed above pursuant to a Power of Attorney, a copy of which is attached as 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persons below hereby agree that the Schedule 13D to which this agreement is attached as an exhibit, as well as all future amendments to such Schedule 13D, shall be filed jointly on behalf of each of them. This agreement is intended to satisfy the requirements of Rule 13d-1(k)(1)(iii) under the Securities Exchange Act of 1934.</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26,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VENBIO GLOBAL STRATEGIC FUND III, L.P.</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VENBIO GLOBAL STRATEGIC GP III, L.P.</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VENBIO GLOBAL STRATEGIC GP III, LTD.</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5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5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230"/>
        </w:trPr>
        <w:tc>
          <w:tcPr>
            <w:tcW w:w="56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VENBIO GLOBAL STRATEGIC GP III, L.P.</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VENBIO GLOBAL STRATEGIC GP III, LTD.</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5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5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5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230"/>
        </w:trPr>
        <w:tc>
          <w:tcPr>
            <w:tcW w:w="56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VENBIO GLOBAL STRATEGIC GP III, LTD.</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5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5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Director</w:t>
            </w:r>
          </w:p>
        </w:tc>
      </w:tr>
      <w:tr>
        <w:trPr>
          <w:trHeight w:val="25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230"/>
        </w:trPr>
        <w:tc>
          <w:tcPr>
            <w:tcW w:w="56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Director</w:t>
            </w:r>
          </w:p>
        </w:tc>
      </w:tr>
      <w:tr>
        <w:trPr>
          <w:trHeight w:val="438"/>
        </w:trPr>
        <w:tc>
          <w:tcPr>
            <w:tcW w:w="560" w:type="dxa"/>
            <w:vAlign w:val="bottom"/>
          </w:tcPr>
          <w:p>
            <w:pPr>
              <w:spacing w:after="0"/>
              <w:rPr>
                <w:sz w:val="24"/>
                <w:szCs w:val="24"/>
                <w:color w:val="auto"/>
              </w:rPr>
            </w:pPr>
          </w:p>
        </w:tc>
        <w:tc>
          <w:tcPr>
            <w:tcW w:w="39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Corey Goodman</w:t>
            </w:r>
          </w:p>
        </w:tc>
      </w:tr>
      <w:tr>
        <w:trPr>
          <w:trHeight w:val="438"/>
        </w:trPr>
        <w:tc>
          <w:tcPr>
            <w:tcW w:w="560" w:type="dxa"/>
            <w:vAlign w:val="bottom"/>
          </w:tcPr>
          <w:p>
            <w:pPr>
              <w:spacing w:after="0"/>
              <w:rPr>
                <w:sz w:val="24"/>
                <w:szCs w:val="24"/>
                <w:color w:val="auto"/>
              </w:rPr>
            </w:pPr>
          </w:p>
        </w:tc>
        <w:tc>
          <w:tcPr>
            <w:tcW w:w="392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Robert Adelman</w:t>
            </w:r>
          </w:p>
        </w:tc>
      </w:tr>
      <w:tr>
        <w:trPr>
          <w:trHeight w:val="438"/>
        </w:trPr>
        <w:tc>
          <w:tcPr>
            <w:tcW w:w="560" w:type="dxa"/>
            <w:vAlign w:val="bottom"/>
          </w:tcPr>
          <w:p>
            <w:pPr>
              <w:ind w:left="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Pezeshki</w:t>
            </w:r>
          </w:p>
        </w:tc>
      </w:tr>
      <w:tr>
        <w:trPr>
          <w:trHeight w:val="202"/>
        </w:trPr>
        <w:tc>
          <w:tcPr>
            <w:tcW w:w="56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David Pezeshki</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As attorney-in-fact</w:t>
            </w:r>
          </w:p>
        </w:tc>
      </w:tr>
    </w:tbl>
    <w:p>
      <w:pPr>
        <w:spacing w:after="0" w:line="200" w:lineRule="exact"/>
        <w:rPr>
          <w:sz w:val="20"/>
          <w:szCs w:val="20"/>
          <w:color w:val="auto"/>
        </w:rPr>
      </w:pPr>
    </w:p>
    <w:p>
      <w:pPr>
        <w:sectPr>
          <w:pgSz w:w="11900" w:h="16838" w:orient="portrait"/>
          <w:cols w:equalWidth="0" w:num="1">
            <w:col w:w="11240"/>
          </w:cols>
          <w:pgMar w:left="320" w:top="274" w:right="339" w:bottom="1440" w:gutter="0" w:footer="0" w:header="0"/>
        </w:sectPr>
      </w:pPr>
    </w:p>
    <w:p>
      <w:pPr>
        <w:spacing w:after="0" w:line="22"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This Schedule 13D was executed by David Pezeshki on behalf of the individuals listed above pursuant to a Power of Attorney, a copy of which is attached as Exhibit 99.2 of the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2022-09-26T15:37:57Z</dcterms:created>
  <dcterms:modified xsi:type="dcterms:W3CDTF">2022-09-26T15:37:57Z</dcterms:modified>
</cp:coreProperties>
</file>