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PURSUANT TO RULE 13A-16 OR 15D-16 UNDER</w:t>
      </w: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38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month of February 2024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001-40010</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43"/>
          <w:szCs w:val="43"/>
          <w:color w:val="auto"/>
        </w:rPr>
        <w:t>Pharvaris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Emmy Noetherweg 2</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2333 BK Leiden</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The Netherlands</w:t>
      </w:r>
    </w:p>
    <w:p>
      <w:pPr>
        <w:spacing w:after="0" w:line="9" w:lineRule="exact"/>
        <w:rPr>
          <w:sz w:val="24"/>
          <w:szCs w:val="24"/>
          <w:color w:val="auto"/>
        </w:rPr>
      </w:pPr>
    </w:p>
    <w:p>
      <w:pPr>
        <w:ind w:left="4140"/>
        <w:spacing w:after="0"/>
        <w:rPr>
          <w:sz w:val="20"/>
          <w:szCs w:val="20"/>
          <w:color w:val="auto"/>
        </w:rPr>
      </w:pPr>
      <w:r>
        <w:rPr>
          <w:rFonts w:ascii="Arial" w:cs="Arial" w:eastAsia="Arial" w:hAnsi="Arial"/>
          <w:sz w:val="18"/>
          <w:szCs w:val="18"/>
          <w:color w:val="auto"/>
        </w:rPr>
        <w:t>(Address of principal executive office)</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9" w:lineRule="exact"/>
        <w:rPr>
          <w:sz w:val="24"/>
          <w:szCs w:val="24"/>
          <w:color w:val="auto"/>
        </w:rPr>
      </w:pPr>
    </w:p>
    <w:p>
      <w:pPr>
        <w:spacing w:after="0" w:line="207" w:lineRule="exact"/>
        <w:tabs>
          <w:tab w:leader="none" w:pos="16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14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38" w:lineRule="exact"/>
        <w:rPr>
          <w:sz w:val="24"/>
          <w:szCs w:val="24"/>
          <w:color w:val="auto"/>
        </w:rPr>
      </w:pPr>
    </w:p>
    <w:p>
      <w:pPr>
        <w:ind w:right="300"/>
        <w:spacing w:after="0" w:line="271" w:lineRule="auto"/>
        <w:rPr>
          <w:sz w:val="20"/>
          <w:szCs w:val="20"/>
          <w:color w:val="auto"/>
        </w:rPr>
      </w:pPr>
      <w:r>
        <w:rPr>
          <w:rFonts w:ascii="Arial" w:cs="Arial" w:eastAsia="Arial" w:hAnsi="Arial"/>
          <w:sz w:val="18"/>
          <w:szCs w:val="18"/>
          <w:color w:val="auto"/>
        </w:rPr>
        <w:t>Note: Regulation S-T Rule 101(b)(1) only permits the submission in paper of a Form 6-K if submitted solely to provide an attached annual report to security holders.</w:t>
      </w:r>
    </w:p>
    <w:p>
      <w:pPr>
        <w:spacing w:after="0" w:line="10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38" w:lineRule="exact"/>
        <w:rPr>
          <w:sz w:val="24"/>
          <w:szCs w:val="24"/>
          <w:color w:val="auto"/>
        </w:rPr>
      </w:pPr>
    </w:p>
    <w:p>
      <w:pPr>
        <w:spacing w:after="0" w:line="242" w:lineRule="auto"/>
        <w:rPr>
          <w:sz w:val="20"/>
          <w:szCs w:val="20"/>
          <w:color w:val="auto"/>
        </w:rPr>
      </w:pPr>
      <w:r>
        <w:rPr>
          <w:rFonts w:ascii="Arial" w:cs="Arial" w:eastAsia="Arial" w:hAnsi="Arial"/>
          <w:sz w:val="18"/>
          <w:szCs w:val="18"/>
          <w:color w:val="auto"/>
        </w:rPr>
        <w:t>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181610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0" w:right="3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PHARVARIS N.V.</w:t>
      </w:r>
    </w:p>
    <w:p>
      <w:pPr>
        <w:spacing w:after="0" w:line="197"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On February 5, 2024, Pharvaris N.V. (the “Company”) entered into a registration rights agreement (the “Registration Rights Agreement”) with General Atlantic PH B.V. (the “Investor”) relating to the exercised pre-funded warrants (the “Pre-Funded Warrants”) to purchase up to 1,375,000 ordinary shares of the Company, par value €0.12 per share (the “Ordinary Shares”), which Pre-Funded Warrants were acquired by the Investor in an underwritten offering that closed on December 8, 2023.</w:t>
      </w:r>
    </w:p>
    <w:p>
      <w:pPr>
        <w:spacing w:after="0" w:line="160"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 Registration Rights Agreement contains customary registration rights, including demand registration rights, with respect to the Ordinary Shares, as well as customary indemnification provisions. The foregoing is a summary description of the Registration Rights Agreement and is qualified in its entirety by the text of the Registration Rights Agreement filed as Exhibit 99.1 to this Current Report on Form 6-K and incorporated herein by reference.</w:t>
      </w:r>
    </w:p>
    <w:p>
      <w:pPr>
        <w:spacing w:after="0" w:line="160" w:lineRule="exact"/>
        <w:rPr>
          <w:sz w:val="20"/>
          <w:szCs w:val="20"/>
          <w:color w:val="auto"/>
        </w:rPr>
      </w:pPr>
    </w:p>
    <w:p>
      <w:pPr>
        <w:ind w:right="840"/>
        <w:spacing w:after="0" w:line="287" w:lineRule="auto"/>
        <w:rPr>
          <w:sz w:val="20"/>
          <w:szCs w:val="20"/>
          <w:color w:val="auto"/>
        </w:rPr>
      </w:pPr>
      <w:r>
        <w:rPr>
          <w:rFonts w:ascii="Arial" w:cs="Arial" w:eastAsia="Arial" w:hAnsi="Arial"/>
          <w:sz w:val="18"/>
          <w:szCs w:val="18"/>
          <w:color w:val="auto"/>
        </w:rPr>
        <w:t>This Report on Form 6-K shall be deemed to be incorporated by reference into the Company’s registration statements on Form F-3 (Registration Numbers 333-263198 and 333-273757) and Form S-8 (Registration Number 333-252897).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9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3740" w:type="dxa"/>
            <w:vAlign w:val="bottom"/>
          </w:tcPr>
          <w:p>
            <w:pPr>
              <w:spacing w:after="0"/>
              <w:rPr>
                <w:sz w:val="21"/>
                <w:szCs w:val="21"/>
                <w:color w:val="auto"/>
              </w:rPr>
            </w:pPr>
          </w:p>
        </w:tc>
        <w:tc>
          <w:tcPr>
            <w:tcW w:w="7480" w:type="dxa"/>
            <w:vAlign w:val="bottom"/>
            <w:gridSpan w:val="2"/>
          </w:tcPr>
          <w:p>
            <w:pPr>
              <w:ind w:left="1900"/>
              <w:spacing w:after="0"/>
              <w:rPr>
                <w:sz w:val="20"/>
                <w:szCs w:val="20"/>
                <w:color w:val="auto"/>
              </w:rPr>
            </w:pPr>
            <w:r>
              <w:rPr>
                <w:rFonts w:ascii="Arial" w:cs="Arial" w:eastAsia="Arial" w:hAnsi="Arial"/>
                <w:sz w:val="18"/>
                <w:szCs w:val="18"/>
                <w:b w:val="1"/>
                <w:bCs w:val="1"/>
                <w:color w:val="auto"/>
              </w:rPr>
              <w:t>PHARVARIS N.V.</w:t>
            </w:r>
          </w:p>
        </w:tc>
      </w:tr>
      <w:tr>
        <w:trPr>
          <w:trHeight w:val="481"/>
        </w:trPr>
        <w:tc>
          <w:tcPr>
            <w:tcW w:w="3740" w:type="dxa"/>
            <w:vAlign w:val="bottom"/>
          </w:tcPr>
          <w:p>
            <w:pPr>
              <w:spacing w:after="0"/>
              <w:rPr>
                <w:sz w:val="20"/>
                <w:szCs w:val="20"/>
                <w:color w:val="auto"/>
              </w:rPr>
            </w:pPr>
            <w:r>
              <w:rPr>
                <w:rFonts w:ascii="Arial" w:cs="Arial" w:eastAsia="Arial" w:hAnsi="Arial"/>
                <w:sz w:val="18"/>
                <w:szCs w:val="18"/>
                <w:color w:val="auto"/>
              </w:rPr>
              <w:t>Date: February 7, 2024</w:t>
            </w:r>
          </w:p>
        </w:tc>
        <w:tc>
          <w:tcPr>
            <w:tcW w:w="2800" w:type="dxa"/>
            <w:vAlign w:val="bottom"/>
          </w:tcPr>
          <w:p>
            <w:pPr>
              <w:ind w:left="190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Berndt Modig</w:t>
            </w:r>
          </w:p>
        </w:tc>
      </w:tr>
      <w:tr>
        <w:trPr>
          <w:trHeight w:val="238"/>
        </w:trPr>
        <w:tc>
          <w:tcPr>
            <w:tcW w:w="3740" w:type="dxa"/>
            <w:vAlign w:val="bottom"/>
          </w:tcPr>
          <w:p>
            <w:pPr>
              <w:spacing w:after="0"/>
              <w:rPr>
                <w:sz w:val="20"/>
                <w:szCs w:val="20"/>
                <w:color w:val="auto"/>
              </w:rPr>
            </w:pPr>
          </w:p>
        </w:tc>
        <w:tc>
          <w:tcPr>
            <w:tcW w:w="2800" w:type="dxa"/>
            <w:vAlign w:val="bottom"/>
          </w:tcPr>
          <w:p>
            <w:pPr>
              <w:ind w:left="1900"/>
              <w:spacing w:after="0"/>
              <w:rPr>
                <w:sz w:val="20"/>
                <w:szCs w:val="20"/>
                <w:color w:val="auto"/>
              </w:rPr>
            </w:pPr>
            <w:r>
              <w:rPr>
                <w:rFonts w:ascii="Arial" w:cs="Arial" w:eastAsia="Arial" w:hAnsi="Arial"/>
                <w:sz w:val="18"/>
                <w:szCs w:val="18"/>
                <w:color w:val="auto"/>
              </w:rPr>
              <w:t>Name:</w:t>
            </w:r>
          </w:p>
        </w:tc>
        <w:tc>
          <w:tcPr>
            <w:tcW w:w="4680" w:type="dxa"/>
            <w:vAlign w:val="bottom"/>
          </w:tcPr>
          <w:p>
            <w:pPr>
              <w:spacing w:after="0"/>
              <w:rPr>
                <w:sz w:val="20"/>
                <w:szCs w:val="20"/>
                <w:color w:val="auto"/>
              </w:rPr>
            </w:pPr>
            <w:r>
              <w:rPr>
                <w:rFonts w:ascii="Arial" w:cs="Arial" w:eastAsia="Arial" w:hAnsi="Arial"/>
                <w:sz w:val="18"/>
                <w:szCs w:val="18"/>
                <w:color w:val="auto"/>
              </w:rPr>
              <w:t>Berndt Modig</w:t>
            </w:r>
          </w:p>
        </w:tc>
      </w:tr>
      <w:tr>
        <w:trPr>
          <w:trHeight w:val="239"/>
        </w:trPr>
        <w:tc>
          <w:tcPr>
            <w:tcW w:w="3740" w:type="dxa"/>
            <w:vAlign w:val="bottom"/>
          </w:tcPr>
          <w:p>
            <w:pPr>
              <w:spacing w:after="0"/>
              <w:rPr>
                <w:sz w:val="20"/>
                <w:szCs w:val="20"/>
                <w:color w:val="auto"/>
              </w:rPr>
            </w:pPr>
          </w:p>
        </w:tc>
        <w:tc>
          <w:tcPr>
            <w:tcW w:w="2800" w:type="dxa"/>
            <w:vAlign w:val="bottom"/>
          </w:tcPr>
          <w:p>
            <w:pPr>
              <w:ind w:left="1900"/>
              <w:spacing w:after="0"/>
              <w:rPr>
                <w:sz w:val="20"/>
                <w:szCs w:val="20"/>
                <w:color w:val="auto"/>
              </w:rPr>
            </w:pPr>
            <w:r>
              <w:rPr>
                <w:rFonts w:ascii="Arial" w:cs="Arial" w:eastAsia="Arial" w:hAnsi="Arial"/>
                <w:sz w:val="18"/>
                <w:szCs w:val="18"/>
                <w:color w:val="auto"/>
              </w:rPr>
              <w:t>Title:</w:t>
            </w:r>
          </w:p>
        </w:tc>
        <w:tc>
          <w:tcPr>
            <w:tcW w:w="46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gridSpan w:val="2"/>
          </w:tcPr>
          <w:p>
            <w:pPr>
              <w:ind w:left="37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3"/>
        </w:trPr>
        <w:tc>
          <w:tcPr>
            <w:tcW w:w="1020" w:type="dxa"/>
            <w:vAlign w:val="bottom"/>
            <w:gridSpan w:val="3"/>
          </w:tcPr>
          <w:p>
            <w:pPr>
              <w:ind w:left="20"/>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6060" w:type="dxa"/>
            <w:vAlign w:val="bottom"/>
          </w:tcPr>
          <w:p>
            <w:pPr>
              <w:spacing w:after="0"/>
              <w:rPr>
                <w:sz w:val="24"/>
                <w:szCs w:val="24"/>
                <w:color w:val="auto"/>
              </w:rPr>
            </w:pPr>
          </w:p>
        </w:tc>
      </w:tr>
      <w:tr>
        <w:trPr>
          <w:trHeight w:val="242"/>
        </w:trPr>
        <w:tc>
          <w:tcPr>
            <w:tcW w:w="10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No.</w:t>
            </w:r>
          </w:p>
        </w:tc>
        <w:tc>
          <w:tcPr>
            <w:tcW w:w="120" w:type="dxa"/>
            <w:vAlign w:val="bottom"/>
          </w:tcPr>
          <w:p>
            <w:pPr>
              <w:spacing w:after="0"/>
              <w:rPr>
                <w:sz w:val="21"/>
                <w:szCs w:val="21"/>
                <w:color w:val="auto"/>
              </w:rPr>
            </w:pPr>
          </w:p>
        </w:tc>
        <w:tc>
          <w:tcPr>
            <w:tcW w:w="101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175"/>
        </w:trPr>
        <w:tc>
          <w:tcPr>
            <w:tcW w:w="1020" w:type="dxa"/>
            <w:vAlign w:val="bottom"/>
            <w:gridSpan w:val="3"/>
          </w:tcPr>
          <w:p>
            <w:pPr>
              <w:ind w:left="20"/>
              <w:spacing w:after="0" w:line="175" w:lineRule="exact"/>
              <w:rPr>
                <w:sz w:val="20"/>
                <w:szCs w:val="20"/>
                <w:color w:val="auto"/>
              </w:rPr>
            </w:pPr>
            <w:r>
              <w:rPr>
                <w:rFonts w:ascii="Arial" w:cs="Arial" w:eastAsia="Arial" w:hAnsi="Arial"/>
                <w:sz w:val="16"/>
                <w:szCs w:val="16"/>
                <w:color w:val="0000FF"/>
              </w:rPr>
              <w:t>99.</w:t>
            </w:r>
            <w:r>
              <w:rPr>
                <w:rFonts w:ascii="Arial" w:cs="Arial" w:eastAsia="Arial" w:hAnsi="Arial"/>
                <w:sz w:val="16"/>
                <w:szCs w:val="16"/>
                <w:u w:val="single" w:color="auto"/>
                <w:color w:val="0000FF"/>
              </w:rPr>
              <w:t>1</w:t>
            </w:r>
          </w:p>
        </w:tc>
        <w:tc>
          <w:tcPr>
            <w:tcW w:w="120" w:type="dxa"/>
            <w:vAlign w:val="bottom"/>
          </w:tcPr>
          <w:p>
            <w:pPr>
              <w:spacing w:after="0"/>
              <w:rPr>
                <w:sz w:val="15"/>
                <w:szCs w:val="15"/>
                <w:color w:val="auto"/>
              </w:rPr>
            </w:pPr>
          </w:p>
        </w:tc>
        <w:tc>
          <w:tcPr>
            <w:tcW w:w="10100" w:type="dxa"/>
            <w:vAlign w:val="bottom"/>
            <w:gridSpan w:val="3"/>
          </w:tcPr>
          <w:p>
            <w:pPr>
              <w:ind w:left="20"/>
              <w:spacing w:after="0" w:line="175" w:lineRule="exact"/>
              <w:rPr>
                <w:sz w:val="20"/>
                <w:szCs w:val="20"/>
                <w:color w:val="auto"/>
              </w:rPr>
            </w:pPr>
            <w:r>
              <w:rPr>
                <w:rFonts w:ascii="Arial" w:cs="Arial" w:eastAsia="Arial" w:hAnsi="Arial"/>
                <w:sz w:val="16"/>
                <w:szCs w:val="16"/>
                <w:color w:val="0000FF"/>
              </w:rPr>
              <w:t>Registration Rights Agreement, dated February 5, 2024.</w:t>
            </w:r>
          </w:p>
        </w:tc>
      </w:tr>
      <w:tr>
        <w:trPr>
          <w:trHeight w:val="351"/>
        </w:trPr>
        <w:tc>
          <w:tcPr>
            <w:tcW w:w="2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20" w:type="dxa"/>
            <w:vAlign w:val="bottom"/>
            <w:tcBorders>
              <w:top w:val="single" w:sz="8" w:color="0000FF"/>
              <w:bottom w:val="single" w:sz="8" w:color="9A9A9A"/>
            </w:tcBorders>
          </w:tcPr>
          <w:p>
            <w:pPr>
              <w:spacing w:after="0"/>
              <w:rPr>
                <w:sz w:val="24"/>
                <w:szCs w:val="24"/>
                <w:color w:val="auto"/>
              </w:rPr>
            </w:pPr>
          </w:p>
        </w:tc>
        <w:tc>
          <w:tcPr>
            <w:tcW w:w="6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Exhibit 99.1</w:t>
      </w:r>
    </w:p>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Execution Version</w:t>
      </w:r>
    </w:p>
    <w:p>
      <w:pPr>
        <w:jc w:val="center"/>
        <w:spacing w:after="0"/>
        <w:rPr>
          <w:sz w:val="20"/>
          <w:szCs w:val="20"/>
          <w:color w:val="auto"/>
        </w:rPr>
      </w:pPr>
      <w:r>
        <w:rPr>
          <w:rFonts w:ascii="Times New Roman" w:cs="Times New Roman" w:eastAsia="Times New Roman" w:hAnsi="Times New Roman"/>
          <w:sz w:val="20"/>
          <w:szCs w:val="20"/>
          <w:b w:val="1"/>
          <w:bCs w:val="1"/>
          <w:color w:val="auto"/>
        </w:rPr>
        <w:t>PHARVARIS N.V.</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REGISTRATION RIGHTS AGREEMENT</w:t>
      </w:r>
    </w:p>
    <w:p>
      <w:pPr>
        <w:spacing w:after="0" w:line="220"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0"/>
          <w:szCs w:val="20"/>
          <w:color w:val="auto"/>
        </w:rPr>
        <w:t>THIS REGISTRATION RIGHTS AGREEMENT (this “</w:t>
      </w:r>
      <w:r>
        <w:rPr>
          <w:rFonts w:ascii="Times New Roman" w:cs="Times New Roman" w:eastAsia="Times New Roman" w:hAnsi="Times New Roman"/>
          <w:sz w:val="20"/>
          <w:szCs w:val="20"/>
          <w:u w:val="single" w:color="auto"/>
          <w:color w:val="auto"/>
        </w:rPr>
        <w:t>Agreemen</w:t>
      </w:r>
      <w:r>
        <w:rPr>
          <w:rFonts w:ascii="Times New Roman" w:cs="Times New Roman" w:eastAsia="Times New Roman" w:hAnsi="Times New Roman"/>
          <w:sz w:val="20"/>
          <w:szCs w:val="20"/>
          <w:color w:val="auto"/>
        </w:rPr>
        <w:t>t”) is made as of February 5, 2024 between Pharvaris N.V., a public company with limited liability (</w:t>
      </w:r>
      <w:r>
        <w:rPr>
          <w:rFonts w:ascii="Times New Roman" w:cs="Times New Roman" w:eastAsia="Times New Roman" w:hAnsi="Times New Roman"/>
          <w:sz w:val="20"/>
          <w:szCs w:val="20"/>
          <w:i w:val="1"/>
          <w:iCs w:val="1"/>
          <w:color w:val="auto"/>
        </w:rPr>
        <w:t>naamloze vennootschap</w:t>
      </w:r>
      <w:r>
        <w:rPr>
          <w:rFonts w:ascii="Times New Roman" w:cs="Times New Roman" w:eastAsia="Times New Roman" w:hAnsi="Times New Roman"/>
          <w:sz w:val="20"/>
          <w:szCs w:val="20"/>
          <w:color w:val="auto"/>
        </w:rPr>
        <w:t>) incorporated and existing under the laws of the Netherlands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General Atlantic PH B.V. (the “</w:t>
      </w:r>
      <w:r>
        <w:rPr>
          <w:rFonts w:ascii="Times New Roman" w:cs="Times New Roman" w:eastAsia="Times New Roman" w:hAnsi="Times New Roman"/>
          <w:sz w:val="20"/>
          <w:szCs w:val="20"/>
          <w:u w:val="single" w:color="auto"/>
          <w:color w:val="auto"/>
        </w:rPr>
        <w:t>Investor</w:t>
      </w:r>
      <w:r>
        <w:rPr>
          <w:rFonts w:ascii="Times New Roman" w:cs="Times New Roman" w:eastAsia="Times New Roman" w:hAnsi="Times New Roman"/>
          <w:sz w:val="20"/>
          <w:szCs w:val="20"/>
          <w:color w:val="auto"/>
        </w:rPr>
        <w:t xml:space="preserve">”). Except as otherwise specified herein, all capitalized terms used in this Agreement are defined in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attached hereto.</w:t>
      </w:r>
    </w:p>
    <w:p>
      <w:pPr>
        <w:spacing w:after="0" w:line="180"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In consideration of the mutual covenants contained herein and other good and valuable consideration, the receipt and sufficiency of which are hereby acknowledged, the parties to this Agreement hereby agree as follows:</w:t>
      </w:r>
    </w:p>
    <w:p>
      <w:pPr>
        <w:spacing w:after="0" w:line="1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Section 1</w:t>
      </w:r>
      <w:r>
        <w:rPr>
          <w:rFonts w:ascii="Times New Roman" w:cs="Times New Roman" w:eastAsia="Times New Roman" w:hAnsi="Times New Roman"/>
          <w:sz w:val="20"/>
          <w:szCs w:val="20"/>
          <w:u w:val="single" w:color="auto"/>
          <w:color w:val="auto"/>
        </w:rPr>
        <w:t>Demand Registrations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505"/>
        <w:spacing w:after="0" w:line="242" w:lineRule="auto"/>
        <w:tabs>
          <w:tab w:leader="none" w:pos="2036" w:val="left"/>
        </w:tabs>
        <w:numPr>
          <w:ilvl w:val="0"/>
          <w:numId w:val="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Shelf Registration Statement</w:t>
      </w:r>
      <w:r>
        <w:rPr>
          <w:rFonts w:ascii="Times New Roman" w:cs="Times New Roman" w:eastAsia="Times New Roman" w:hAnsi="Times New Roman"/>
          <w:sz w:val="20"/>
          <w:szCs w:val="20"/>
          <w:color w:val="auto"/>
        </w:rPr>
        <w:t>. The Company shall use its reasonable best efforts to file with the Securities and Exchange Commission (the “</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within 30 calendar days after the date hereof and use its reasonable best efforts to have declared effective as soon as practicable after the filing thereof a registration statement on Form F-3 or any comparable or successor form or forms or any similar short-form registration constituting a “shelf” registration statement providing for the registration of, and the sale by the Investor on a continuous or delayed basis of, all of the Registrable Securities, pursuant to Rule 415 or otherwise (a “</w:t>
      </w:r>
      <w:r>
        <w:rPr>
          <w:rFonts w:ascii="Times New Roman" w:cs="Times New Roman" w:eastAsia="Times New Roman" w:hAnsi="Times New Roman"/>
          <w:sz w:val="20"/>
          <w:szCs w:val="20"/>
          <w:u w:val="single" w:color="auto"/>
          <w:color w:val="auto"/>
        </w:rPr>
        <w:t>Shelf Registration Statement</w:t>
      </w:r>
      <w:r>
        <w:rPr>
          <w:rFonts w:ascii="Times New Roman" w:cs="Times New Roman" w:eastAsia="Times New Roman" w:hAnsi="Times New Roman"/>
          <w:sz w:val="20"/>
          <w:szCs w:val="20"/>
          <w:color w:val="auto"/>
        </w:rPr>
        <w:t>”). The Company shall keep current the Shelf Registration Statement (or, if the Company is not eligible to file a registration statement on Form F-3, a successor effective registration statement on Form F-1 providing for the registration of, and the sale by the Investor on a continuous or delayed basis of, all of the Registrable Securities, pursuant to Rule 415 or otherwise) for three years following the effective date of the initial Shelf Registration Statement (or such earlier time as the Investor no longer holds any Registrable Securities). Any such successor registration statement shall be considered a “Shelf Registration Statement” for the purposes of this Agreement. In the event the Company files a Shelf Registration Statement on Form F-1, the Company shall use its reasonable best efforts to convert it to a Shelf Registration Statement on Form F-1 to a registration statement on Form F-3 as soon as practicable after the Company is eligible to use Form F-3.</w:t>
      </w:r>
    </w:p>
    <w:p>
      <w:pPr>
        <w:spacing w:after="0" w:line="187" w:lineRule="exact"/>
        <w:rPr>
          <w:rFonts w:ascii="Times New Roman" w:cs="Times New Roman" w:eastAsia="Times New Roman" w:hAnsi="Times New Roman"/>
          <w:sz w:val="20"/>
          <w:szCs w:val="20"/>
          <w:color w:val="010000"/>
        </w:rPr>
      </w:pPr>
    </w:p>
    <w:p>
      <w:pPr>
        <w:ind w:left="2040" w:hanging="535"/>
        <w:spacing w:after="0"/>
        <w:tabs>
          <w:tab w:leader="none" w:pos="2040" w:val="left"/>
        </w:tabs>
        <w:numPr>
          <w:ilvl w:val="0"/>
          <w:numId w:val="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Shelf Registrations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010000"/>
        </w:rPr>
      </w:pPr>
    </w:p>
    <w:p>
      <w:pPr>
        <w:jc w:val="both"/>
        <w:ind w:left="760" w:firstLine="1494"/>
        <w:spacing w:after="0" w:line="242" w:lineRule="auto"/>
        <w:tabs>
          <w:tab w:leader="none" w:pos="2557" w:val="left"/>
        </w:tabs>
        <w:numPr>
          <w:ilvl w:val="1"/>
          <w:numId w:val="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For so long as a Shelf Registration Statement is and remains effective, the Investor will have the right at any time or from time to time to elect to sell pursuant to an offering (including an Underwritten Offering) Registrable Securities pursuant to such registration statement (“</w:t>
      </w:r>
      <w:r>
        <w:rPr>
          <w:rFonts w:ascii="Times New Roman" w:cs="Times New Roman" w:eastAsia="Times New Roman" w:hAnsi="Times New Roman"/>
          <w:sz w:val="20"/>
          <w:szCs w:val="20"/>
          <w:u w:val="single" w:color="auto"/>
          <w:color w:val="auto"/>
        </w:rPr>
        <w:t>Shelf Registrable Securities</w:t>
      </w:r>
      <w:r>
        <w:rPr>
          <w:rFonts w:ascii="Times New Roman" w:cs="Times New Roman" w:eastAsia="Times New Roman" w:hAnsi="Times New Roman"/>
          <w:sz w:val="20"/>
          <w:szCs w:val="20"/>
          <w:color w:val="auto"/>
        </w:rPr>
        <w:t>”). If the Investor desires to sell Registrable Securities pursuant to an Underwritten Offering, then the Investor may deliver to the Company a written notice (a “</w:t>
      </w:r>
      <w:r>
        <w:rPr>
          <w:rFonts w:ascii="Times New Roman" w:cs="Times New Roman" w:eastAsia="Times New Roman" w:hAnsi="Times New Roman"/>
          <w:sz w:val="20"/>
          <w:szCs w:val="20"/>
          <w:u w:val="single" w:color="auto"/>
          <w:color w:val="auto"/>
        </w:rPr>
        <w:t>Shelf Offering Notice</w:t>
      </w:r>
      <w:r>
        <w:rPr>
          <w:rFonts w:ascii="Times New Roman" w:cs="Times New Roman" w:eastAsia="Times New Roman" w:hAnsi="Times New Roman"/>
          <w:sz w:val="20"/>
          <w:szCs w:val="20"/>
          <w:color w:val="auto"/>
        </w:rPr>
        <w:t>”) specifying the number of Registrable Securities that the Investor desires to sell pursuant to such Underwritten Offering (the “</w:t>
      </w:r>
      <w:r>
        <w:rPr>
          <w:rFonts w:ascii="Times New Roman" w:cs="Times New Roman" w:eastAsia="Times New Roman" w:hAnsi="Times New Roman"/>
          <w:sz w:val="20"/>
          <w:szCs w:val="20"/>
          <w:u w:val="single" w:color="auto"/>
          <w:color w:val="auto"/>
        </w:rPr>
        <w:t>Shelf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Offering</w:t>
      </w:r>
      <w:r>
        <w:rPr>
          <w:rFonts w:ascii="Times New Roman" w:cs="Times New Roman" w:eastAsia="Times New Roman" w:hAnsi="Times New Roman"/>
          <w:sz w:val="20"/>
          <w:szCs w:val="20"/>
          <w:color w:val="auto"/>
        </w:rPr>
        <w:t xml:space="preserve">”). The number of Shelf Offerings that the Investor may effect pursuant to this </w:t>
      </w:r>
      <w:r>
        <w:rPr>
          <w:rFonts w:ascii="Times New Roman" w:cs="Times New Roman" w:eastAsia="Times New Roman" w:hAnsi="Times New Roman"/>
          <w:sz w:val="20"/>
          <w:szCs w:val="20"/>
          <w:u w:val="single" w:color="auto"/>
          <w:color w:val="auto"/>
        </w:rPr>
        <w:t>Section 1(b)</w:t>
      </w:r>
      <w:r>
        <w:rPr>
          <w:rFonts w:ascii="Times New Roman" w:cs="Times New Roman" w:eastAsia="Times New Roman" w:hAnsi="Times New Roman"/>
          <w:sz w:val="20"/>
          <w:szCs w:val="20"/>
          <w:color w:val="auto"/>
        </w:rPr>
        <w:t xml:space="preserve"> shall not be limited, provided that the number of Underwritten Offerings shall be limited to a total of two (2) in any calendar year, it being understood, for the avoidance of doubt, any Underwritten Block Trade (as defined below) effected pursuant to a Shelf Offering shall be considered an Underwritten Offering for the purposes hereof. The Company, subject to </w:t>
      </w:r>
      <w:r>
        <w:rPr>
          <w:rFonts w:ascii="Times New Roman" w:cs="Times New Roman" w:eastAsia="Times New Roman" w:hAnsi="Times New Roman"/>
          <w:sz w:val="20"/>
          <w:szCs w:val="20"/>
          <w:u w:val="single" w:color="auto"/>
          <w:color w:val="auto"/>
        </w:rPr>
        <w:t>Section 1(c)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will include in such Shelf Offering all Registrable Securities with respect to which the Company has received timely written requests for inclusion. The Company will, as expeditiously as possible (and in any event within fourteen (14) days after the receipt of a Shelf Offering Notice), but subject to </w:t>
      </w:r>
      <w:r>
        <w:rPr>
          <w:rFonts w:ascii="Times New Roman" w:cs="Times New Roman" w:eastAsia="Times New Roman" w:hAnsi="Times New Roman"/>
          <w:sz w:val="20"/>
          <w:szCs w:val="20"/>
          <w:u w:val="single" w:color="auto"/>
          <w:color w:val="auto"/>
        </w:rPr>
        <w:t>Section 1(c)</w:t>
      </w:r>
      <w:r>
        <w:rPr>
          <w:rFonts w:ascii="Times New Roman" w:cs="Times New Roman" w:eastAsia="Times New Roman" w:hAnsi="Times New Roman"/>
          <w:sz w:val="20"/>
          <w:szCs w:val="20"/>
          <w:color w:val="auto"/>
        </w:rPr>
        <w:t>, use its reasonable best efforts to consummate such Shelf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686435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 w:name="page4"/>
    <w:bookmarkEnd w:id="3"/>
    <w:p>
      <w:pPr>
        <w:jc w:val="both"/>
        <w:ind w:left="760" w:firstLine="1494"/>
        <w:spacing w:after="0" w:line="246" w:lineRule="auto"/>
        <w:tabs>
          <w:tab w:leader="none" w:pos="2557" w:val="left"/>
        </w:tabs>
        <w:numPr>
          <w:ilvl w:val="0"/>
          <w:numId w:val="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the Investor desires to engage in an underwritten block trade or bought deal pursuant to a Shelf Registration Statement (each, an “</w:t>
      </w:r>
      <w:r>
        <w:rPr>
          <w:rFonts w:ascii="Times New Roman" w:cs="Times New Roman" w:eastAsia="Times New Roman" w:hAnsi="Times New Roman"/>
          <w:sz w:val="20"/>
          <w:szCs w:val="20"/>
          <w:u w:val="single" w:color="auto"/>
          <w:color w:val="auto"/>
        </w:rPr>
        <w:t>Underwritten Block Trade</w:t>
      </w:r>
      <w:r>
        <w:rPr>
          <w:rFonts w:ascii="Times New Roman" w:cs="Times New Roman" w:eastAsia="Times New Roman" w:hAnsi="Times New Roman"/>
          <w:sz w:val="20"/>
          <w:szCs w:val="20"/>
          <w:color w:val="auto"/>
        </w:rPr>
        <w:t xml:space="preserve">”), then notwithstanding the time periods set forth in </w:t>
      </w:r>
      <w:r>
        <w:rPr>
          <w:rFonts w:ascii="Times New Roman" w:cs="Times New Roman" w:eastAsia="Times New Roman" w:hAnsi="Times New Roman"/>
          <w:sz w:val="20"/>
          <w:szCs w:val="20"/>
          <w:u w:val="single" w:color="auto"/>
          <w:color w:val="auto"/>
        </w:rPr>
        <w:t>Section 1(b)(i)</w:t>
      </w:r>
      <w:r>
        <w:rPr>
          <w:rFonts w:ascii="Times New Roman" w:cs="Times New Roman" w:eastAsia="Times New Roman" w:hAnsi="Times New Roman"/>
          <w:sz w:val="20"/>
          <w:szCs w:val="20"/>
          <w:color w:val="auto"/>
        </w:rPr>
        <w:t>, the Investor may notify the Company of the Underwritten Block Trade not less than two (2) Business Days prior to the day such offering is first anticipated to commence, and the Company will as expeditiously as possible use its reasonable best efforts to facilitate such Underwritten Block Trade (which may close as early as two (2) Business Days after the date it commences).</w:t>
      </w:r>
    </w:p>
    <w:p>
      <w:pPr>
        <w:spacing w:after="0" w:line="185" w:lineRule="exact"/>
        <w:rPr>
          <w:sz w:val="20"/>
          <w:szCs w:val="20"/>
          <w:color w:val="auto"/>
        </w:rPr>
      </w:pPr>
    </w:p>
    <w:p>
      <w:pPr>
        <w:jc w:val="both"/>
        <w:ind w:left="760" w:firstLine="1497"/>
        <w:spacing w:after="0" w:line="274" w:lineRule="auto"/>
        <w:rPr>
          <w:sz w:val="20"/>
          <w:szCs w:val="20"/>
          <w:color w:val="auto"/>
        </w:rPr>
      </w:pPr>
      <w:r>
        <w:rPr>
          <w:rFonts w:ascii="Times New Roman" w:cs="Times New Roman" w:eastAsia="Times New Roman" w:hAnsi="Times New Roman"/>
          <w:sz w:val="19"/>
          <w:szCs w:val="19"/>
          <w:color w:val="010000"/>
        </w:rPr>
        <w:t>(iii)</w:t>
      </w:r>
      <w:r>
        <w:rPr>
          <w:rFonts w:ascii="Times New Roman" w:cs="Times New Roman" w:eastAsia="Times New Roman" w:hAnsi="Times New Roman"/>
          <w:sz w:val="19"/>
          <w:szCs w:val="19"/>
          <w:color w:val="000000"/>
        </w:rPr>
        <w:t>All determinations as to whether to complete any Shelf Offering and as to the timing, manner, price and other</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 xml:space="preserve">terms of any Shelf Offering contemplated by this </w:t>
      </w:r>
      <w:r>
        <w:rPr>
          <w:rFonts w:ascii="Times New Roman" w:cs="Times New Roman" w:eastAsia="Times New Roman" w:hAnsi="Times New Roman"/>
          <w:sz w:val="19"/>
          <w:szCs w:val="19"/>
          <w:u w:val="single" w:color="auto"/>
          <w:color w:val="000000"/>
        </w:rPr>
        <w:t>Section 1(b)</w:t>
      </w:r>
      <w:r>
        <w:rPr>
          <w:rFonts w:ascii="Times New Roman" w:cs="Times New Roman" w:eastAsia="Times New Roman" w:hAnsi="Times New Roman"/>
          <w:sz w:val="19"/>
          <w:szCs w:val="19"/>
          <w:color w:val="000000"/>
        </w:rPr>
        <w:t xml:space="preserve"> shall be determined by the Investor, and the Company shall use its reasonable best efforts to cause any Shelf Offering to occur in accordance with such determinations as promptly as practicable.</w:t>
      </w:r>
    </w:p>
    <w:p>
      <w:pPr>
        <w:spacing w:after="0" w:line="156" w:lineRule="exact"/>
        <w:rPr>
          <w:sz w:val="20"/>
          <w:szCs w:val="20"/>
          <w:color w:val="auto"/>
        </w:rPr>
      </w:pPr>
    </w:p>
    <w:p>
      <w:pPr>
        <w:jc w:val="both"/>
        <w:ind w:firstLine="1505"/>
        <w:spacing w:after="0" w:line="244" w:lineRule="auto"/>
        <w:tabs>
          <w:tab w:leader="none" w:pos="2036" w:val="left"/>
        </w:tabs>
        <w:numPr>
          <w:ilvl w:val="0"/>
          <w:numId w:val="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Priority on Demand Registrations and Shelf Offerings</w:t>
      </w:r>
      <w:r>
        <w:rPr>
          <w:rFonts w:ascii="Times New Roman" w:cs="Times New Roman" w:eastAsia="Times New Roman" w:hAnsi="Times New Roman"/>
          <w:sz w:val="20"/>
          <w:szCs w:val="20"/>
          <w:color w:val="auto"/>
        </w:rPr>
        <w:t>. The Company may include in any Shelf Offering securities which are not Registrable Securities. If a Shelf Offering is an Underwritten Offering and the managing underwriters advise the Company in writing that in their opinion the number of Registrable Securities and other securities (if any) requested to be included in such offering exceeds the number of Registrable Securities and other securities (if any), which can be sold therein without adversely affecting the marketability, proposed offering price, timing or method of distribution of the offering, then the Company will include in such offering (prior to the inclusion of any securities which are not Registrable Securities) the number of Registrable Securities requested to be included by the Investor which, in the opinion of such underwriters, can be sold, without any such adverse effect.</w:t>
      </w:r>
    </w:p>
    <w:p>
      <w:pPr>
        <w:spacing w:after="0" w:line="185" w:lineRule="exact"/>
        <w:rPr>
          <w:rFonts w:ascii="Times New Roman" w:cs="Times New Roman" w:eastAsia="Times New Roman" w:hAnsi="Times New Roman"/>
          <w:sz w:val="20"/>
          <w:szCs w:val="20"/>
          <w:color w:val="010000"/>
        </w:rPr>
      </w:pPr>
    </w:p>
    <w:p>
      <w:pPr>
        <w:ind w:left="2040" w:hanging="535"/>
        <w:spacing w:after="0"/>
        <w:tabs>
          <w:tab w:leader="none" w:pos="2040" w:val="left"/>
        </w:tabs>
        <w:numPr>
          <w:ilvl w:val="0"/>
          <w:numId w:val="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Restrictions on Shelf Offerings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010000"/>
        </w:rPr>
      </w:pPr>
    </w:p>
    <w:p>
      <w:pPr>
        <w:jc w:val="both"/>
        <w:ind w:left="760" w:firstLine="1494"/>
        <w:spacing w:after="0" w:line="241" w:lineRule="auto"/>
        <w:tabs>
          <w:tab w:leader="none" w:pos="2557" w:val="left"/>
        </w:tabs>
        <w:numPr>
          <w:ilvl w:val="1"/>
          <w:numId w:val="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may postpone, for up to 60 days (or with the consent of the Investor, a longer period) from the date of the request (the “</w:t>
      </w:r>
      <w:r>
        <w:rPr>
          <w:rFonts w:ascii="Times New Roman" w:cs="Times New Roman" w:eastAsia="Times New Roman" w:hAnsi="Times New Roman"/>
          <w:sz w:val="20"/>
          <w:szCs w:val="20"/>
          <w:u w:val="single" w:color="auto"/>
          <w:color w:val="auto"/>
        </w:rPr>
        <w:t>Suspension Period</w:t>
      </w:r>
      <w:r>
        <w:rPr>
          <w:rFonts w:ascii="Times New Roman" w:cs="Times New Roman" w:eastAsia="Times New Roman" w:hAnsi="Times New Roman"/>
          <w:sz w:val="20"/>
          <w:szCs w:val="20"/>
          <w:color w:val="auto"/>
        </w:rPr>
        <w:t xml:space="preserve">”), the filing or the effectiveness of a Shelf Registration Statement or suspend the use of a prospectus that is part of a Shelf Registration Statement (and therefore suspend sales of the Registrable Securities) by providing written notice to the Investor if the following conditions are met: (A) the Company determines that the offer or sale of Registrable Securities would reasonably be expected to have a material adverse effect on any proposal or plan by the Company or any Subsidiary to engage in any material acquisition of assets or shares (other than in the ordinary course of business) or any material merger, consolidation, tender offer, recapitalization, reorganization, financing or other transaction involving the Company and (B) upon advice of counsel, the sale of Registrable Securities pursuant to the registration statement would require disclosure of material non-public information not otherwise required to be disclosed under applicable law, and either (x) the Company has a bona fide business purpose for preserving the confidentiality of such transaction, (y) disclosure would have a material adverse effect on the Company or the Company’s ability to consummate such transaction, or (z) such transaction renders the Company unable to comply with SEC requirements, in each case under circumstances that would make it impractical or inadvisable to cause the registration statement (or such filings) to become effective or to promptly amend or supplement the registration statement on a post effective basis, as applicable. The Company may delay or suspend the effectiveness of a Shelf Registration Statement pursuant to this </w:t>
      </w:r>
      <w:r>
        <w:rPr>
          <w:rFonts w:ascii="Times New Roman" w:cs="Times New Roman" w:eastAsia="Times New Roman" w:hAnsi="Times New Roman"/>
          <w:sz w:val="20"/>
          <w:szCs w:val="20"/>
          <w:u w:val="single" w:color="auto"/>
          <w:color w:val="auto"/>
        </w:rPr>
        <w:t>Section 1(d)(i)</w:t>
      </w:r>
      <w:r>
        <w:rPr>
          <w:rFonts w:ascii="Times New Roman" w:cs="Times New Roman" w:eastAsia="Times New Roman" w:hAnsi="Times New Roman"/>
          <w:sz w:val="20"/>
          <w:szCs w:val="20"/>
          <w:color w:val="auto"/>
        </w:rPr>
        <w:t xml:space="preserve"> only once in any twelve (12)-month period (for avoidance of doubt, in addition to the Company’s rights and obligations under </w:t>
      </w:r>
      <w:r>
        <w:rPr>
          <w:rFonts w:ascii="Times New Roman" w:cs="Times New Roman" w:eastAsia="Times New Roman" w:hAnsi="Times New Roman"/>
          <w:sz w:val="20"/>
          <w:szCs w:val="20"/>
          <w:u w:val="single" w:color="auto"/>
          <w:color w:val="auto"/>
        </w:rPr>
        <w:t>Section 2(a)(vi)</w:t>
      </w:r>
      <w:r>
        <w:rPr>
          <w:rFonts w:ascii="Times New Roman" w:cs="Times New Roman" w:eastAsia="Times New Roman" w:hAnsi="Times New Roman"/>
          <w:sz w:val="20"/>
          <w:szCs w:val="20"/>
          <w:color w:val="auto"/>
        </w:rPr>
        <w:t>) unless additional delays or suspensions are approved by the Investor.</w:t>
      </w:r>
    </w:p>
    <w:p>
      <w:pPr>
        <w:spacing w:after="0" w:line="193" w:lineRule="exact"/>
        <w:rPr>
          <w:rFonts w:ascii="Times New Roman" w:cs="Times New Roman" w:eastAsia="Times New Roman" w:hAnsi="Times New Roman"/>
          <w:sz w:val="20"/>
          <w:szCs w:val="20"/>
          <w:color w:val="010000"/>
        </w:rPr>
      </w:pPr>
    </w:p>
    <w:p>
      <w:pPr>
        <w:jc w:val="both"/>
        <w:ind w:left="760" w:firstLine="1494"/>
        <w:spacing w:after="0" w:line="254" w:lineRule="auto"/>
        <w:tabs>
          <w:tab w:leader="none" w:pos="2557" w:val="left"/>
        </w:tabs>
        <w:numPr>
          <w:ilvl w:val="1"/>
          <w:numId w:val="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In the case of an event that causes the Company to suspend the use of a Shelf Registration Statement as set forth in </w:t>
      </w:r>
      <w:r>
        <w:rPr>
          <w:rFonts w:ascii="Times New Roman" w:cs="Times New Roman" w:eastAsia="Times New Roman" w:hAnsi="Times New Roman"/>
          <w:sz w:val="20"/>
          <w:szCs w:val="20"/>
          <w:u w:val="single" w:color="auto"/>
          <w:color w:val="auto"/>
        </w:rPr>
        <w:t>Section 1(d)(i)</w:t>
      </w:r>
      <w:r>
        <w:rPr>
          <w:rFonts w:ascii="Times New Roman" w:cs="Times New Roman" w:eastAsia="Times New Roman" w:hAnsi="Times New Roman"/>
          <w:sz w:val="20"/>
          <w:szCs w:val="20"/>
          <w:color w:val="auto"/>
        </w:rPr>
        <w:t xml:space="preserve"> above or pursuant to </w:t>
      </w:r>
      <w:r>
        <w:rPr>
          <w:rFonts w:ascii="Times New Roman" w:cs="Times New Roman" w:eastAsia="Times New Roman" w:hAnsi="Times New Roman"/>
          <w:sz w:val="20"/>
          <w:szCs w:val="20"/>
          <w:u w:val="single" w:color="auto"/>
          <w:color w:val="auto"/>
        </w:rPr>
        <w:t>Section 2(a)(vi)</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0"/>
          <w:szCs w:val="20"/>
          <w:u w:val="single" w:color="auto"/>
          <w:color w:val="auto"/>
        </w:rPr>
        <w:t>Suspension Event</w:t>
      </w:r>
      <w:r>
        <w:rPr>
          <w:rFonts w:ascii="Times New Roman" w:cs="Times New Roman" w:eastAsia="Times New Roman" w:hAnsi="Times New Roman"/>
          <w:sz w:val="20"/>
          <w:szCs w:val="20"/>
          <w:color w:val="auto"/>
        </w:rPr>
        <w:t>”), the Company will give a notice to the Investor (a “</w:t>
      </w:r>
      <w:r>
        <w:rPr>
          <w:rFonts w:ascii="Times New Roman" w:cs="Times New Roman" w:eastAsia="Times New Roman" w:hAnsi="Times New Roman"/>
          <w:sz w:val="20"/>
          <w:szCs w:val="20"/>
          <w:u w:val="single" w:color="auto"/>
          <w:color w:val="auto"/>
        </w:rPr>
        <w:t>Suspension Notice</w:t>
      </w:r>
      <w:r>
        <w:rPr>
          <w:rFonts w:ascii="Times New Roman" w:cs="Times New Roman" w:eastAsia="Times New Roman" w:hAnsi="Times New Roman"/>
          <w:sz w:val="20"/>
          <w:szCs w:val="20"/>
          <w:color w:val="auto"/>
        </w:rPr>
        <w:t>”) to</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jc w:val="both"/>
        <w:ind w:left="760"/>
        <w:spacing w:after="0" w:line="244" w:lineRule="auto"/>
        <w:rPr>
          <w:sz w:val="20"/>
          <w:szCs w:val="20"/>
          <w:color w:val="auto"/>
        </w:rPr>
      </w:pPr>
      <w:r>
        <w:rPr>
          <w:rFonts w:ascii="Times New Roman" w:cs="Times New Roman" w:eastAsia="Times New Roman" w:hAnsi="Times New Roman"/>
          <w:sz w:val="20"/>
          <w:szCs w:val="20"/>
          <w:color w:val="auto"/>
        </w:rPr>
        <w:t>suspend sales of the Registrable Securities and such notice must state generally the basis for the notice and that such suspension will continue only for so long as the Suspension Event or its effect is continuing. The Investor agrees not to effect any sales of its Registrable Securities pursuant to such Shelf Registration Statement (or such filings) at any time after it has received a Suspension Notice from the Company and prior to receipt of an End of Suspension Notice. The Investor may recommence effecting sales of the Registrable Securities pursuant to the Shelf Registration Statement (or such filings) following further written notice to such effect (an “</w:t>
      </w:r>
      <w:r>
        <w:rPr>
          <w:rFonts w:ascii="Times New Roman" w:cs="Times New Roman" w:eastAsia="Times New Roman" w:hAnsi="Times New Roman"/>
          <w:sz w:val="20"/>
          <w:szCs w:val="20"/>
          <w:u w:val="single" w:color="auto"/>
          <w:color w:val="auto"/>
        </w:rPr>
        <w:t>End of Suspension Notice</w:t>
      </w:r>
      <w:r>
        <w:rPr>
          <w:rFonts w:ascii="Times New Roman" w:cs="Times New Roman" w:eastAsia="Times New Roman" w:hAnsi="Times New Roman"/>
          <w:sz w:val="20"/>
          <w:szCs w:val="20"/>
          <w:color w:val="auto"/>
        </w:rPr>
        <w:t>”) from the Company, which End of Suspension Notice will be given by the Company to the Investor promptly following the conclusion of any Suspension Event (and in any event during the permitted Suspension Period).</w:t>
      </w:r>
    </w:p>
    <w:p>
      <w:pPr>
        <w:spacing w:after="0" w:line="186" w:lineRule="exact"/>
        <w:rPr>
          <w:sz w:val="20"/>
          <w:szCs w:val="20"/>
          <w:color w:val="auto"/>
        </w:rPr>
      </w:pPr>
    </w:p>
    <w:p>
      <w:pPr>
        <w:jc w:val="both"/>
        <w:ind w:left="760" w:firstLine="1497"/>
        <w:spacing w:after="0" w:line="242" w:lineRule="auto"/>
        <w:rPr>
          <w:sz w:val="20"/>
          <w:szCs w:val="20"/>
          <w:color w:val="auto"/>
        </w:rPr>
      </w:pPr>
      <w:r>
        <w:rPr>
          <w:rFonts w:ascii="Times New Roman" w:cs="Times New Roman" w:eastAsia="Times New Roman" w:hAnsi="Times New Roman"/>
          <w:sz w:val="20"/>
          <w:szCs w:val="20"/>
          <w:color w:val="010000"/>
        </w:rPr>
        <w:t>(iii)</w:t>
      </w:r>
      <w:r>
        <w:rPr>
          <w:rFonts w:ascii="Times New Roman" w:cs="Times New Roman" w:eastAsia="Times New Roman" w:hAnsi="Times New Roman"/>
          <w:sz w:val="20"/>
          <w:szCs w:val="20"/>
          <w:color w:val="000000"/>
        </w:rPr>
        <w:t>The Investor may deliver written notice (including via email) (an “</w:t>
      </w:r>
      <w:r>
        <w:rPr>
          <w:rFonts w:ascii="Times New Roman" w:cs="Times New Roman" w:eastAsia="Times New Roman" w:hAnsi="Times New Roman"/>
          <w:sz w:val="20"/>
          <w:szCs w:val="20"/>
          <w:u w:val="single" w:color="auto"/>
          <w:color w:val="000000"/>
        </w:rPr>
        <w:t>Opt-Out Notice</w:t>
      </w:r>
      <w:r>
        <w:rPr>
          <w:rFonts w:ascii="Times New Roman" w:cs="Times New Roman" w:eastAsia="Times New Roman" w:hAnsi="Times New Roman"/>
          <w:sz w:val="20"/>
          <w:szCs w:val="20"/>
          <w:color w:val="000000"/>
        </w:rPr>
        <w:t>”) to the Company</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requesting that the Investor not receive notices from the Company otherwise required by this Section 1(d); provided, however, that the Investor may later revoke any such Opt-Out Notice in writing. Following receipt of an Opt-Out Notice from the Investor (unless and until subsequently revoked), (i) the Company shall not deliver any such notices to the Investor and the Investor shall no longer be entitled to the rights associated with any such notice and (ii) each time prior to the Investor's intended use of an effective registration statement, the Investor will notify the Company in writing at least two (2) Business Days in advance of such intended use, and if a notice of a Suspension Event was previously delivered (or would have been delivered but for the provisions of this Section 1(d) and the related Suspension Period remains in effect, the Company will so notify the Investor, within one (1) Business Day of the Investor's notification, by delivering to the Investor a copy of such notice of Suspension Event that would have been provided, and thereafter will provide the Investor with the related notice of the conclusion of such Suspension Event immediately upon its availability, and the Investor shall comply with any restrictions on using such registration statement during such Suspension Event.</w:t>
      </w:r>
    </w:p>
    <w:p>
      <w:pPr>
        <w:spacing w:after="0" w:line="187" w:lineRule="exact"/>
        <w:rPr>
          <w:sz w:val="20"/>
          <w:szCs w:val="20"/>
          <w:color w:val="auto"/>
        </w:rPr>
      </w:pPr>
    </w:p>
    <w:p>
      <w:pPr>
        <w:ind w:right="20" w:firstLine="1505"/>
        <w:spacing w:after="0" w:line="269" w:lineRule="auto"/>
        <w:tabs>
          <w:tab w:leader="none" w:pos="2036" w:val="left"/>
        </w:tabs>
        <w:numPr>
          <w:ilvl w:val="0"/>
          <w:numId w:val="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Selection of Underwriters</w:t>
      </w:r>
      <w:r>
        <w:rPr>
          <w:rFonts w:ascii="Times New Roman" w:cs="Times New Roman" w:eastAsia="Times New Roman" w:hAnsi="Times New Roman"/>
          <w:sz w:val="20"/>
          <w:szCs w:val="20"/>
          <w:color w:val="auto"/>
        </w:rPr>
        <w:t>. The Investor shall select the investment banker(s) and manager(s), subject to consent of the Company which shall not be unreasonably withheld, to administer any Underwritten Offering in connection with any Shelf Offering.</w:t>
      </w:r>
    </w:p>
    <w:p>
      <w:pPr>
        <w:spacing w:after="0" w:line="159" w:lineRule="exact"/>
        <w:rPr>
          <w:rFonts w:ascii="Times New Roman" w:cs="Times New Roman" w:eastAsia="Times New Roman" w:hAnsi="Times New Roman"/>
          <w:sz w:val="20"/>
          <w:szCs w:val="20"/>
          <w:color w:val="010000"/>
        </w:rPr>
      </w:pPr>
    </w:p>
    <w:p>
      <w:pPr>
        <w:ind w:firstLine="1505"/>
        <w:spacing w:after="0" w:line="269" w:lineRule="auto"/>
        <w:tabs>
          <w:tab w:leader="none" w:pos="2036" w:val="left"/>
        </w:tabs>
        <w:numPr>
          <w:ilvl w:val="0"/>
          <w:numId w:val="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Other Registration Rights</w:t>
      </w:r>
      <w:r>
        <w:rPr>
          <w:rFonts w:ascii="Times New Roman" w:cs="Times New Roman" w:eastAsia="Times New Roman" w:hAnsi="Times New Roman"/>
          <w:sz w:val="20"/>
          <w:szCs w:val="20"/>
          <w:color w:val="auto"/>
        </w:rPr>
        <w:t>. The Company shall not hereafter enter into any agreement with respect to its securities, including any other registration rights agreement, which is inconsistent with or violates the rights granted to the Investor in this Agreement.</w:t>
      </w:r>
    </w:p>
    <w:p>
      <w:pPr>
        <w:spacing w:after="0" w:line="159" w:lineRule="exact"/>
        <w:rPr>
          <w:rFonts w:ascii="Times New Roman" w:cs="Times New Roman" w:eastAsia="Times New Roman" w:hAnsi="Times New Roman"/>
          <w:sz w:val="20"/>
          <w:szCs w:val="20"/>
          <w:color w:val="010000"/>
        </w:rPr>
      </w:pPr>
    </w:p>
    <w:p>
      <w:pPr>
        <w:jc w:val="both"/>
        <w:ind w:firstLine="1505"/>
        <w:spacing w:after="0" w:line="249" w:lineRule="auto"/>
        <w:tabs>
          <w:tab w:leader="none" w:pos="2036" w:val="left"/>
        </w:tabs>
        <w:numPr>
          <w:ilvl w:val="0"/>
          <w:numId w:val="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Revocation of Demand Notice or Shelf Offering Notice</w:t>
      </w:r>
      <w:r>
        <w:rPr>
          <w:rFonts w:ascii="Times New Roman" w:cs="Times New Roman" w:eastAsia="Times New Roman" w:hAnsi="Times New Roman"/>
          <w:sz w:val="20"/>
          <w:szCs w:val="20"/>
          <w:color w:val="auto"/>
        </w:rPr>
        <w:t>. At any time prior to the “pricing” of any offering relating to a Shelf Offering Notice, the Investor may revoke or withdraw such notice of a Shelf Offering Notice by providing written notice to the Company. A notice of Shelf Offering Notice that has been revoked or withdrawn shall count as one of the permitted Underwritten Offerings for the calendar year.</w:t>
      </w:r>
    </w:p>
    <w:p>
      <w:pPr>
        <w:spacing w:after="0" w:line="179" w:lineRule="exact"/>
        <w:rPr>
          <w:rFonts w:ascii="Times New Roman" w:cs="Times New Roman" w:eastAsia="Times New Roman" w:hAnsi="Times New Roman"/>
          <w:sz w:val="20"/>
          <w:szCs w:val="20"/>
          <w:color w:val="010000"/>
        </w:rPr>
      </w:pPr>
    </w:p>
    <w:p>
      <w:pPr>
        <w:jc w:val="both"/>
        <w:ind w:firstLine="1505"/>
        <w:spacing w:after="0" w:line="249" w:lineRule="auto"/>
        <w:tabs>
          <w:tab w:leader="none" w:pos="2036" w:val="left"/>
        </w:tabs>
        <w:numPr>
          <w:ilvl w:val="0"/>
          <w:numId w:val="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Confidentiality</w:t>
      </w:r>
      <w:r>
        <w:rPr>
          <w:rFonts w:ascii="Times New Roman" w:cs="Times New Roman" w:eastAsia="Times New Roman" w:hAnsi="Times New Roman"/>
          <w:sz w:val="20"/>
          <w:szCs w:val="20"/>
          <w:color w:val="auto"/>
        </w:rPr>
        <w:t>. The Investor agrees to treat as confidential the receipt of any notice hereunder (including a Suspension Notice) and the information contained therein, and not to disclose or use the information contained in any such notice (or the existence thereof) without the prior written consent of the Company until such time as the information contained therein is or becomes available to the public generally (other than as a result of disclosure by the Investor in breach of the terms of this Agreement).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 w:name="page6"/>
    <w:bookmarkEnd w:id="5"/>
    <w:p>
      <w:pPr>
        <w:ind w:left="1500"/>
        <w:spacing w:after="0"/>
        <w:rPr>
          <w:sz w:val="20"/>
          <w:szCs w:val="20"/>
          <w:color w:val="auto"/>
        </w:rPr>
      </w:pPr>
      <w:r>
        <w:rPr>
          <w:rFonts w:ascii="Times New Roman" w:cs="Times New Roman" w:eastAsia="Times New Roman" w:hAnsi="Times New Roman"/>
          <w:sz w:val="20"/>
          <w:szCs w:val="20"/>
          <w:color w:val="auto"/>
        </w:rPr>
        <w:t>Section 2</w:t>
      </w:r>
      <w:r>
        <w:rPr>
          <w:rFonts w:ascii="Times New Roman" w:cs="Times New Roman" w:eastAsia="Times New Roman" w:hAnsi="Times New Roman"/>
          <w:sz w:val="20"/>
          <w:szCs w:val="20"/>
          <w:u w:val="single" w:color="auto"/>
          <w:color w:val="auto"/>
        </w:rPr>
        <w:t>Registration Procedures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505"/>
        <w:spacing w:after="0" w:line="254" w:lineRule="auto"/>
        <w:tabs>
          <w:tab w:leader="none" w:pos="2036" w:val="left"/>
        </w:tabs>
        <w:numPr>
          <w:ilvl w:val="0"/>
          <w:numId w:val="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Company Obligations</w:t>
      </w:r>
      <w:r>
        <w:rPr>
          <w:rFonts w:ascii="Times New Roman" w:cs="Times New Roman" w:eastAsia="Times New Roman" w:hAnsi="Times New Roman"/>
          <w:sz w:val="20"/>
          <w:szCs w:val="20"/>
          <w:color w:val="auto"/>
        </w:rPr>
        <w:t>. The Company will use its reasonable best efforts to effect the registration and the sale of the Investor’s Registrable Securities in accordance with the intended method of disposition thereof, and pursuant thereto the Company will as expeditiously as possible:</w:t>
      </w:r>
    </w:p>
    <w:p>
      <w:pPr>
        <w:spacing w:after="0" w:line="174" w:lineRule="exact"/>
        <w:rPr>
          <w:rFonts w:ascii="Times New Roman" w:cs="Times New Roman" w:eastAsia="Times New Roman" w:hAnsi="Times New Roman"/>
          <w:sz w:val="20"/>
          <w:szCs w:val="20"/>
          <w:color w:val="010000"/>
        </w:rPr>
      </w:pPr>
    </w:p>
    <w:p>
      <w:pPr>
        <w:jc w:val="both"/>
        <w:ind w:left="760" w:firstLine="1494"/>
        <w:spacing w:after="0" w:line="245" w:lineRule="auto"/>
        <w:tabs>
          <w:tab w:leader="none" w:pos="2557" w:val="left"/>
        </w:tabs>
        <w:numPr>
          <w:ilvl w:val="1"/>
          <w:numId w:val="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prepare and file with the SEC a registration statement, and all amendments and supplements thereto and related prospectuses, with respect to such Registrable Securities and use its reasonable best efforts to cause such registration statement to become effective, all in accordance with the Securities Act and all applicable rules and regulations promulgated thereunder (provided that before filing or confidentially submitting a registration statement or prospectus or any amendments or supplements thereto, the Company will furnish to the counsel selected by the Investor copies of all such documents proposed to be filed or submitted, which documents will be subject to the review and comment of such counsel);</w:t>
      </w:r>
    </w:p>
    <w:p>
      <w:pPr>
        <w:spacing w:after="0" w:line="184" w:lineRule="exact"/>
        <w:rPr>
          <w:rFonts w:ascii="Times New Roman" w:cs="Times New Roman" w:eastAsia="Times New Roman" w:hAnsi="Times New Roman"/>
          <w:sz w:val="20"/>
          <w:szCs w:val="20"/>
          <w:color w:val="010000"/>
        </w:rPr>
      </w:pPr>
    </w:p>
    <w:p>
      <w:pPr>
        <w:jc w:val="both"/>
        <w:ind w:left="760" w:firstLine="1494"/>
        <w:spacing w:after="0" w:line="266" w:lineRule="auto"/>
        <w:tabs>
          <w:tab w:leader="none" w:pos="2557" w:val="left"/>
        </w:tabs>
        <w:numPr>
          <w:ilvl w:val="1"/>
          <w:numId w:val="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notify the Investor of (A) the issuance by the SEC of any stop order suspending the effectiveness of any registration statement or the initiation of any proceedings for that purpose, (B) the receipt by the Company or its counsel of any notification with respect to the suspension of the qualification of the Registrable Securities for sale in any jurisdiction or the initiation or threatening of any proceeding for such purpose, and (C) the effectiveness of each registration statement filed hereunder;</w:t>
      </w:r>
    </w:p>
    <w:p>
      <w:pPr>
        <w:spacing w:after="0" w:line="165" w:lineRule="exact"/>
        <w:rPr>
          <w:sz w:val="20"/>
          <w:szCs w:val="20"/>
          <w:color w:val="auto"/>
        </w:rPr>
      </w:pPr>
    </w:p>
    <w:p>
      <w:pPr>
        <w:jc w:val="both"/>
        <w:ind w:left="760" w:firstLine="1497"/>
        <w:spacing w:after="0" w:line="242" w:lineRule="auto"/>
        <w:rPr>
          <w:sz w:val="20"/>
          <w:szCs w:val="20"/>
          <w:color w:val="auto"/>
        </w:rPr>
      </w:pPr>
      <w:r>
        <w:rPr>
          <w:rFonts w:ascii="Times New Roman" w:cs="Times New Roman" w:eastAsia="Times New Roman" w:hAnsi="Times New Roman"/>
          <w:sz w:val="20"/>
          <w:szCs w:val="20"/>
          <w:color w:val="010000"/>
        </w:rPr>
        <w:t>(iii)</w:t>
      </w:r>
      <w:r>
        <w:rPr>
          <w:rFonts w:ascii="Times New Roman" w:cs="Times New Roman" w:eastAsia="Times New Roman" w:hAnsi="Times New Roman"/>
          <w:sz w:val="20"/>
          <w:szCs w:val="20"/>
          <w:color w:val="000000"/>
        </w:rPr>
        <w:t>prepare and file with the SEC such amendments and supplements to such registration statement and the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prospectus used in connection therewith as may be necessary to keep such registration statement effective until the earlier of (A) the period ending when all of the securities covered by such registration statement have been disposed of in accordance with the intended methods of distribution by the Investor set forth in such registration statement (but not in any event before the expiration of any longer period required under the Securities Act or, if such registration statement relates to an Underwritten Offering, such longer period as in the opinion of counsel for the underwriters a prospectus is required by law to be delivered in connection with sale of Registrable Securities by an underwriter or dealer) and (B) three years from the effective date of the initial Shelf Registration Statement, and comply with the provisions of the Securities Act with respect to the disposition of all securities covered by such registration statement during such period in accordance with the intended methods of disposition by the sellers thereof set forth in such registration statement;</w:t>
      </w:r>
    </w:p>
    <w:p>
      <w:pPr>
        <w:spacing w:after="0" w:line="192" w:lineRule="exact"/>
        <w:rPr>
          <w:sz w:val="20"/>
          <w:szCs w:val="20"/>
          <w:color w:val="auto"/>
        </w:rPr>
      </w:pPr>
    </w:p>
    <w:p>
      <w:pPr>
        <w:jc w:val="both"/>
        <w:ind w:left="760" w:firstLine="1494"/>
        <w:spacing w:after="0" w:line="243" w:lineRule="auto"/>
        <w:tabs>
          <w:tab w:leader="none" w:pos="2557" w:val="left"/>
        </w:tabs>
        <w:numPr>
          <w:ilvl w:val="0"/>
          <w:numId w:val="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furnish, without charge, to each seller of Registrable Securities thereunder and each underwriter, if any, such number of copies of such registration statement, each amendment and supplement thereto, the prospectus included in such registration statement (including each preliminary prospectus) (in each case including all exhibits and documents incorporated by reference therein), each amendment and supplement thereto, each Free Writing Prospectus and such other documents as such seller or underwriter, if any, may reasonably request in order to facilitate the disposition of the Registrable Securities owned by such seller (the Company hereby consenting to the use in accordance with all applicable laws of each such registration statement, each such amendment and supplement thereto, and each such prospectus (or preliminary prospectus or supplement thereto) or Free Writing Prospectus by each such seller of Registrable Securities and the underwriters, if any, in connection with the offering and sale of the Registrable Securities covered by such registration statement or prospectus);</w:t>
      </w:r>
    </w:p>
    <w:p>
      <w:pPr>
        <w:spacing w:after="0" w:line="185" w:lineRule="exact"/>
        <w:rPr>
          <w:rFonts w:ascii="Times New Roman" w:cs="Times New Roman" w:eastAsia="Times New Roman" w:hAnsi="Times New Roman"/>
          <w:sz w:val="20"/>
          <w:szCs w:val="20"/>
          <w:color w:val="010000"/>
        </w:rPr>
      </w:pPr>
    </w:p>
    <w:p>
      <w:pPr>
        <w:ind w:left="760" w:right="20" w:firstLine="1494"/>
        <w:spacing w:after="0" w:line="269" w:lineRule="auto"/>
        <w:tabs>
          <w:tab w:leader="none" w:pos="2557" w:val="left"/>
        </w:tabs>
        <w:numPr>
          <w:ilvl w:val="0"/>
          <w:numId w:val="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use its reasonable best efforts to register or qualify such Registrable Securities under such other securities or blue sky laws of such jurisdictions as any seller reasonably</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 w:name="page7"/>
    <w:bookmarkEnd w:id="6"/>
    <w:p>
      <w:pPr>
        <w:jc w:val="both"/>
        <w:spacing w:after="0" w:line="246" w:lineRule="auto"/>
        <w:rPr>
          <w:sz w:val="20"/>
          <w:szCs w:val="20"/>
          <w:color w:val="auto"/>
        </w:rPr>
      </w:pPr>
      <w:r>
        <w:rPr>
          <w:rFonts w:ascii="Times New Roman" w:cs="Times New Roman" w:eastAsia="Times New Roman" w:hAnsi="Times New Roman"/>
          <w:sz w:val="20"/>
          <w:szCs w:val="20"/>
          <w:color w:val="auto"/>
        </w:rPr>
        <w:t>requests and do any and all other acts and things which may be reasonably necessary or advisable to enable such seller to consummate the disposition in such jurisdictions of the Registrable Securities owned by such seller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Company will not be required to (A) qualify generally to do business in any jurisdiction where it would not otherwise be required to qualify but for this subparagraph or (B) consent to general service of process in any such jurisdiction or (C) subject itself to taxation in any such jurisdiction);</w:t>
      </w:r>
    </w:p>
    <w:p>
      <w:pPr>
        <w:spacing w:after="0" w:line="185" w:lineRule="exact"/>
        <w:rPr>
          <w:sz w:val="20"/>
          <w:szCs w:val="20"/>
          <w:color w:val="auto"/>
        </w:rPr>
      </w:pPr>
    </w:p>
    <w:p>
      <w:pPr>
        <w:jc w:val="both"/>
        <w:ind w:firstLine="1494"/>
        <w:spacing w:after="0" w:line="241" w:lineRule="auto"/>
        <w:tabs>
          <w:tab w:leader="none" w:pos="1797" w:val="left"/>
        </w:tabs>
        <w:numPr>
          <w:ilvl w:val="0"/>
          <w:numId w:val="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notify the Investor in writing (A) promptly after it receives notice thereof, of the date and time when such registration statement and each post-effective amendment thereto has become effective or a prospectus or supplement to any prospectus relating to a registration statement has been filed and when any registration or qualification has become effective under a state securities or blue sky law or any exemption thereunder has been obtained, (B) promptly after receipt thereof, of any request by the SEC for the amendment or supplementing of such registration statement or prospectus or for additional information, and (C) at any time when a prospectus relating thereto is required to be delivered under the Securities Act, of the happening of any event or of any information or circumstances as a result of which the prospectus included in such registration statement contains an untrue statement of a material fact or omits any fact necessary to make the statements therein not misleading, and, subject to </w:t>
      </w:r>
      <w:r>
        <w:rPr>
          <w:rFonts w:ascii="Times New Roman" w:cs="Times New Roman" w:eastAsia="Times New Roman" w:hAnsi="Times New Roman"/>
          <w:sz w:val="20"/>
          <w:szCs w:val="20"/>
          <w:u w:val="single" w:color="auto"/>
          <w:color w:val="auto"/>
        </w:rPr>
        <w:t>Section 1(d)</w:t>
      </w:r>
      <w:r>
        <w:rPr>
          <w:rFonts w:ascii="Times New Roman" w:cs="Times New Roman" w:eastAsia="Times New Roman" w:hAnsi="Times New Roman"/>
          <w:sz w:val="20"/>
          <w:szCs w:val="20"/>
          <w:color w:val="auto"/>
        </w:rPr>
        <w:t>, if required by applicable law, the Company will use its reasonable best efforts to promptly prepare and file a supplement or amendment to such prospectus so that, as thereafter delivered to the purchasers of such Registrable Securities, such prospectus will not contain an untrue statement of a material fact or omit to state any fact necessary to make the statements therein not misleading and (D) if at any time the representations and warranties of the Company in any underwriting agreement, securities sale agreement, or other similar agreement, relating to the offering shall cease to be true and correct;</w:t>
      </w:r>
    </w:p>
    <w:p>
      <w:pPr>
        <w:spacing w:after="0" w:line="197"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0"/>
          <w:szCs w:val="20"/>
          <w:color w:val="010000"/>
        </w:rPr>
        <w:t>(vii)</w:t>
      </w:r>
      <w:r>
        <w:rPr>
          <w:rFonts w:ascii="Times New Roman" w:cs="Times New Roman" w:eastAsia="Times New Roman" w:hAnsi="Times New Roman"/>
          <w:sz w:val="20"/>
          <w:szCs w:val="20"/>
          <w:color w:val="000000"/>
        </w:rPr>
        <w:t>(A) use reasonable best efforts to cause all such Registrable Securities to be listed on each securities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exchange on which similar securities issued by the Company are then listed and, if not so listed, to be listed on a securities exchange and, without limiting the generality of the foregoing, to arrange for at least two market markers to register as such with respect to such Registrable Securities with FINRA, and (B) comply (and continue to comply) with the requirements of any self-regulatory organization applicable to the Company, including without limitation all corporate governance requirements;</w:t>
      </w:r>
    </w:p>
    <w:p>
      <w:pPr>
        <w:spacing w:after="0" w:line="185" w:lineRule="exact"/>
        <w:rPr>
          <w:sz w:val="20"/>
          <w:szCs w:val="20"/>
          <w:color w:val="auto"/>
        </w:rPr>
      </w:pPr>
    </w:p>
    <w:p>
      <w:pPr>
        <w:jc w:val="both"/>
        <w:ind w:right="20" w:firstLine="1497"/>
        <w:spacing w:after="0" w:line="269" w:lineRule="auto"/>
        <w:rPr>
          <w:sz w:val="20"/>
          <w:szCs w:val="20"/>
          <w:color w:val="auto"/>
        </w:rPr>
      </w:pPr>
      <w:r>
        <w:rPr>
          <w:rFonts w:ascii="Times New Roman" w:cs="Times New Roman" w:eastAsia="Times New Roman" w:hAnsi="Times New Roman"/>
          <w:sz w:val="20"/>
          <w:szCs w:val="20"/>
          <w:color w:val="010000"/>
        </w:rPr>
        <w:t>(viii)</w:t>
      </w:r>
      <w:r>
        <w:rPr>
          <w:rFonts w:ascii="Times New Roman" w:cs="Times New Roman" w:eastAsia="Times New Roman" w:hAnsi="Times New Roman"/>
          <w:sz w:val="20"/>
          <w:szCs w:val="20"/>
          <w:color w:val="000000"/>
        </w:rPr>
        <w:t>use reasonable best efforts to provide a transfer agent and registrar for all such Registrable Securities not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later than the effective date of such registration statement;</w:t>
      </w:r>
    </w:p>
    <w:p>
      <w:pPr>
        <w:spacing w:after="0" w:line="159" w:lineRule="exact"/>
        <w:rPr>
          <w:sz w:val="20"/>
          <w:szCs w:val="20"/>
          <w:color w:val="auto"/>
        </w:rPr>
      </w:pPr>
    </w:p>
    <w:p>
      <w:pPr>
        <w:jc w:val="both"/>
        <w:ind w:firstLine="1494"/>
        <w:spacing w:after="0" w:line="246" w:lineRule="auto"/>
        <w:tabs>
          <w:tab w:leader="none" w:pos="1797" w:val="left"/>
        </w:tabs>
        <w:numPr>
          <w:ilvl w:val="0"/>
          <w:numId w:val="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enter into and perform such customary agreements (including, as applicable, underwriting agreements in customary form) and take all such other actions as the underwriters, if any, reasonably request in order to expedite or facilitate the disposition of such Registrable Securities (including, without limitation, making available the executive officers of the Company and participating in “road shows,” investor presentations, marketing events and other selling efforts and effecting a share or unit split or combination, recapitalization or reorganization);</w:t>
      </w:r>
    </w:p>
    <w:p>
      <w:pPr>
        <w:spacing w:after="0" w:line="184" w:lineRule="exact"/>
        <w:rPr>
          <w:rFonts w:ascii="Times New Roman" w:cs="Times New Roman" w:eastAsia="Times New Roman" w:hAnsi="Times New Roman"/>
          <w:sz w:val="20"/>
          <w:szCs w:val="20"/>
          <w:color w:val="010000"/>
        </w:rPr>
      </w:pPr>
    </w:p>
    <w:p>
      <w:pPr>
        <w:jc w:val="both"/>
        <w:ind w:firstLine="1494"/>
        <w:spacing w:after="0" w:line="245" w:lineRule="auto"/>
        <w:tabs>
          <w:tab w:leader="none" w:pos="1797" w:val="left"/>
        </w:tabs>
        <w:numPr>
          <w:ilvl w:val="0"/>
          <w:numId w:val="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make available for inspection by any underwriter participating in any disposition or sale pursuant to such registration statement and any attorney, accountant or other agent retained by any such seller or underwriter, all financial and other records, pertinent corporate and business documents and properties of the Company as will be necessary to enable them to exercise their due diligence responsibility, and cause the Company’s officers, directors, employees, agents, representatives and independent accountants to supply all information reasonably requested by any such seller, underwriter, attorney, accountant or agent in connection with such registration statement and the disposition of such Registrable Securities pursuant thereto;</w:t>
      </w:r>
    </w:p>
    <w:p>
      <w:pPr>
        <w:spacing w:after="0" w:line="18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412750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60" w:right="339" w:bottom="1440" w:gutter="0" w:footer="0" w:header="0"/>
        </w:sectPr>
      </w:pPr>
    </w:p>
    <w:bookmarkStart w:id="7" w:name="page8"/>
    <w:bookmarkEnd w:id="7"/>
    <w:p>
      <w:pPr>
        <w:jc w:val="both"/>
        <w:ind w:left="3" w:firstLine="1494"/>
        <w:spacing w:after="0" w:line="245" w:lineRule="auto"/>
        <w:tabs>
          <w:tab w:leader="none" w:pos="1800" w:val="left"/>
        </w:tabs>
        <w:numPr>
          <w:ilvl w:val="0"/>
          <w:numId w:val="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take all actions to ensure that any Free Writing Prospectus utilized in connection with any Shelf Offering hereunder complies in all material respects with the Securities Act, is filed in accordance with the Securities Act to the extent required thereby, is retained in accordance with the Securities Act to the extent required thereby and, when taken together with the related prospectus, prospectus supplement and related documents, will not contain any untrue statement of a material fact or omit to state a material fact necessary to make the statements therein, in light of the circumstances under which they were made, not misleading;</w:t>
      </w:r>
    </w:p>
    <w:p>
      <w:pPr>
        <w:spacing w:after="0" w:line="184" w:lineRule="exact"/>
        <w:rPr>
          <w:sz w:val="20"/>
          <w:szCs w:val="20"/>
          <w:color w:val="auto"/>
        </w:rPr>
      </w:pPr>
    </w:p>
    <w:p>
      <w:pPr>
        <w:ind w:left="3" w:firstLine="1497"/>
        <w:spacing w:after="0" w:line="264" w:lineRule="auto"/>
        <w:rPr>
          <w:sz w:val="20"/>
          <w:szCs w:val="20"/>
          <w:color w:val="auto"/>
        </w:rPr>
      </w:pPr>
      <w:r>
        <w:rPr>
          <w:rFonts w:ascii="Times New Roman" w:cs="Times New Roman" w:eastAsia="Times New Roman" w:hAnsi="Times New Roman"/>
          <w:sz w:val="19"/>
          <w:szCs w:val="19"/>
          <w:color w:val="010000"/>
        </w:rPr>
        <w:t>(xii)</w:t>
      </w:r>
      <w:r>
        <w:rPr>
          <w:rFonts w:ascii="Times New Roman" w:cs="Times New Roman" w:eastAsia="Times New Roman" w:hAnsi="Times New Roman"/>
          <w:sz w:val="19"/>
          <w:szCs w:val="19"/>
          <w:color w:val="000000"/>
        </w:rPr>
        <w:t>otherwise use its reasonable best efforts to comply with all applicable rules and regulations of the SEC, and</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make available to its security holders, as soon as reasonably practicable, an earnings statement covering the period of at least twelve</w:t>
      </w:r>
    </w:p>
    <w:p>
      <w:pPr>
        <w:ind w:left="3" w:hanging="3"/>
        <w:spacing w:after="0" w:line="246" w:lineRule="auto"/>
        <w:tabs>
          <w:tab w:leader="none" w:pos="409"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months beginning with the first day of the Company’s first full calendar quarter after the effective date of the registration statement, which earnings statement will satisfy the provisions of Section 11(a) of the Securities Act and Rule 158 thereunder;</w:t>
      </w:r>
    </w:p>
    <w:p>
      <w:pPr>
        <w:spacing w:after="0" w:line="182" w:lineRule="exact"/>
        <w:rPr>
          <w:sz w:val="20"/>
          <w:szCs w:val="20"/>
          <w:color w:val="auto"/>
        </w:rPr>
      </w:pPr>
    </w:p>
    <w:p>
      <w:pPr>
        <w:jc w:val="both"/>
        <w:ind w:left="3" w:firstLine="1497"/>
        <w:spacing w:after="0" w:line="249" w:lineRule="auto"/>
        <w:rPr>
          <w:sz w:val="20"/>
          <w:szCs w:val="20"/>
          <w:color w:val="auto"/>
        </w:rPr>
      </w:pPr>
      <w:r>
        <w:rPr>
          <w:rFonts w:ascii="Times New Roman" w:cs="Times New Roman" w:eastAsia="Times New Roman" w:hAnsi="Times New Roman"/>
          <w:sz w:val="20"/>
          <w:szCs w:val="20"/>
          <w:color w:val="010000"/>
        </w:rPr>
        <w:t>(xiii)</w:t>
      </w:r>
      <w:r>
        <w:rPr>
          <w:rFonts w:ascii="Times New Roman" w:cs="Times New Roman" w:eastAsia="Times New Roman" w:hAnsi="Times New Roman"/>
          <w:sz w:val="20"/>
          <w:szCs w:val="20"/>
          <w:color w:val="000000"/>
        </w:rPr>
        <w:t>use reasonable best efforts to prevent the issuance of any stop order suspending the effectiveness of a</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registration statement, or the issuance of any order suspending or preventing the use of any related prospectus or suspending the qualification of any Common Equity included in such registration statement for sale in any jurisdiction use, and in the event any such order is issued, reasonable best efforts to obtain promptly the withdrawal of such order;</w:t>
      </w:r>
    </w:p>
    <w:p>
      <w:pPr>
        <w:spacing w:after="0" w:line="180" w:lineRule="exact"/>
        <w:rPr>
          <w:sz w:val="20"/>
          <w:szCs w:val="20"/>
          <w:color w:val="auto"/>
        </w:rPr>
      </w:pPr>
    </w:p>
    <w:p>
      <w:pPr>
        <w:jc w:val="both"/>
        <w:ind w:left="3" w:firstLine="1497"/>
        <w:spacing w:after="0" w:line="246" w:lineRule="auto"/>
        <w:rPr>
          <w:sz w:val="20"/>
          <w:szCs w:val="20"/>
          <w:color w:val="auto"/>
        </w:rPr>
      </w:pPr>
      <w:r>
        <w:rPr>
          <w:rFonts w:ascii="Times New Roman" w:cs="Times New Roman" w:eastAsia="Times New Roman" w:hAnsi="Times New Roman"/>
          <w:sz w:val="20"/>
          <w:szCs w:val="20"/>
          <w:color w:val="010000"/>
        </w:rPr>
        <w:t>(xiv)</w:t>
      </w:r>
      <w:r>
        <w:rPr>
          <w:rFonts w:ascii="Times New Roman" w:cs="Times New Roman" w:eastAsia="Times New Roman" w:hAnsi="Times New Roman"/>
          <w:sz w:val="20"/>
          <w:szCs w:val="20"/>
          <w:color w:val="000000"/>
        </w:rPr>
        <w:t>cooperate with the Investor and the managing underwriter or agent, if any, to facilitate the timely</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preparation and delivery of certificates representing Registrable Securities to be sold and not bearing any restrictive legends (or arrange for book entry transfer of securities in the case of uncertificated securities), and enable such Registrable Securities to be in such denominations and registered in such names as the managing underwriter, or agent, if any, or the Investor may request at least two (2) Business Days prior to any proposed sale of Registrable Securities to the underwriters;</w:t>
      </w:r>
    </w:p>
    <w:p>
      <w:pPr>
        <w:spacing w:after="0" w:line="185" w:lineRule="exact"/>
        <w:rPr>
          <w:sz w:val="20"/>
          <w:szCs w:val="20"/>
          <w:color w:val="auto"/>
        </w:rPr>
      </w:pPr>
    </w:p>
    <w:p>
      <w:pPr>
        <w:jc w:val="both"/>
        <w:ind w:left="3" w:firstLine="1497"/>
        <w:spacing w:after="0" w:line="254" w:lineRule="auto"/>
        <w:rPr>
          <w:sz w:val="20"/>
          <w:szCs w:val="20"/>
          <w:color w:val="auto"/>
        </w:rPr>
      </w:pPr>
      <w:r>
        <w:rPr>
          <w:rFonts w:ascii="Times New Roman" w:cs="Times New Roman" w:eastAsia="Times New Roman" w:hAnsi="Times New Roman"/>
          <w:sz w:val="20"/>
          <w:szCs w:val="20"/>
          <w:color w:val="010000"/>
        </w:rPr>
        <w:t>(xv)</w:t>
      </w:r>
      <w:r>
        <w:rPr>
          <w:rFonts w:ascii="Times New Roman" w:cs="Times New Roman" w:eastAsia="Times New Roman" w:hAnsi="Times New Roman"/>
          <w:sz w:val="20"/>
          <w:szCs w:val="20"/>
          <w:color w:val="000000"/>
        </w:rPr>
        <w:t>take no direct or indirect action prohibited by Regulation M under the Exchange Act;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u w:val="single" w:color="auto"/>
          <w:color w:val="000000"/>
        </w:rPr>
        <w:t>however</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that to the extent that any prohibition is applicable to the Company, the Company will take such action as is necessary to make any such prohibition inapplicable;</w:t>
      </w:r>
    </w:p>
    <w:p>
      <w:pPr>
        <w:spacing w:after="0" w:line="174" w:lineRule="exact"/>
        <w:rPr>
          <w:sz w:val="20"/>
          <w:szCs w:val="20"/>
          <w:color w:val="auto"/>
        </w:rPr>
      </w:pPr>
    </w:p>
    <w:p>
      <w:pPr>
        <w:jc w:val="both"/>
        <w:ind w:left="3" w:firstLine="1497"/>
        <w:spacing w:after="0" w:line="246" w:lineRule="auto"/>
        <w:rPr>
          <w:sz w:val="20"/>
          <w:szCs w:val="20"/>
          <w:color w:val="auto"/>
        </w:rPr>
      </w:pPr>
      <w:r>
        <w:rPr>
          <w:rFonts w:ascii="Times New Roman" w:cs="Times New Roman" w:eastAsia="Times New Roman" w:hAnsi="Times New Roman"/>
          <w:sz w:val="20"/>
          <w:szCs w:val="20"/>
          <w:color w:val="010000"/>
        </w:rPr>
        <w:t xml:space="preserve">(xvi) </w:t>
      </w:r>
      <w:r>
        <w:rPr>
          <w:rFonts w:ascii="Times New Roman" w:cs="Times New Roman" w:eastAsia="Times New Roman" w:hAnsi="Times New Roman"/>
          <w:sz w:val="20"/>
          <w:szCs w:val="20"/>
          <w:color w:val="000000"/>
        </w:rPr>
        <w:t>cooperate with each underwriter or agent participating in the disposition of such Registrable Securities and</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their respective counsel in connection with the preparation and filing of applications, notices, registrations and responses to requests for additional information with FINRA, the New York Stock Exchange, Nasdaq or any other national securities exchange on which the shares of Common Equity are or are to be listed, and (B) to the extent required by the rules and regulations of FINRA, retain a Qualified Independent Underwriter acceptable to the managing underwriter;</w:t>
      </w:r>
    </w:p>
    <w:p>
      <w:pPr>
        <w:spacing w:after="0" w:line="185" w:lineRule="exact"/>
        <w:rPr>
          <w:sz w:val="20"/>
          <w:szCs w:val="20"/>
          <w:color w:val="auto"/>
        </w:rPr>
      </w:pPr>
    </w:p>
    <w:p>
      <w:pPr>
        <w:jc w:val="both"/>
        <w:ind w:left="3" w:firstLine="1497"/>
        <w:spacing w:after="0" w:line="249" w:lineRule="auto"/>
        <w:rPr>
          <w:sz w:val="20"/>
          <w:szCs w:val="20"/>
          <w:color w:val="auto"/>
        </w:rPr>
      </w:pPr>
      <w:r>
        <w:rPr>
          <w:rFonts w:ascii="Times New Roman" w:cs="Times New Roman" w:eastAsia="Times New Roman" w:hAnsi="Times New Roman"/>
          <w:sz w:val="20"/>
          <w:szCs w:val="20"/>
          <w:color w:val="010000"/>
        </w:rPr>
        <w:t>(xvii)</w:t>
      </w:r>
      <w:r>
        <w:rPr>
          <w:rFonts w:ascii="Times New Roman" w:cs="Times New Roman" w:eastAsia="Times New Roman" w:hAnsi="Times New Roman"/>
          <w:sz w:val="20"/>
          <w:szCs w:val="20"/>
          <w:color w:val="000000"/>
        </w:rPr>
        <w:t>in the case of any Underwritten Offering, use its reasonable best efforts to obtain, and deliver to the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underwriter(s), in the manner and to the extent provided for in the applicable underwriting agreement, one or more cold comfort letters from the Company’s independent public accountants in customary form and covering such matters of the type customarily covered by cold comfort letters;</w:t>
      </w:r>
    </w:p>
    <w:p>
      <w:pPr>
        <w:spacing w:after="0" w:line="180" w:lineRule="exact"/>
        <w:rPr>
          <w:sz w:val="20"/>
          <w:szCs w:val="20"/>
          <w:color w:val="auto"/>
        </w:rPr>
      </w:pPr>
    </w:p>
    <w:p>
      <w:pPr>
        <w:jc w:val="both"/>
        <w:ind w:left="3" w:firstLine="1497"/>
        <w:spacing w:after="0" w:line="254" w:lineRule="auto"/>
        <w:rPr>
          <w:sz w:val="20"/>
          <w:szCs w:val="20"/>
          <w:color w:val="auto"/>
        </w:rPr>
      </w:pPr>
      <w:r>
        <w:rPr>
          <w:rFonts w:ascii="Times New Roman" w:cs="Times New Roman" w:eastAsia="Times New Roman" w:hAnsi="Times New Roman"/>
          <w:sz w:val="20"/>
          <w:szCs w:val="20"/>
          <w:color w:val="010000"/>
        </w:rPr>
        <w:t>(xviii)</w:t>
      </w:r>
      <w:r>
        <w:rPr>
          <w:rFonts w:ascii="Times New Roman" w:cs="Times New Roman" w:eastAsia="Times New Roman" w:hAnsi="Times New Roman"/>
          <w:sz w:val="20"/>
          <w:szCs w:val="20"/>
          <w:color w:val="000000"/>
        </w:rPr>
        <w:t>use its reasonable best efforts to provide (A) a legal opinion of the Company’s outside counsel, dated the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effective date of such registration statement addressed to the Company, (B) on the date that such Registrable Securities are delivered to the underwriters for sale</w:t>
      </w:r>
    </w:p>
    <w:p>
      <w:pPr>
        <w:spacing w:after="0" w:line="174" w:lineRule="exact"/>
        <w:rPr>
          <w:sz w:val="20"/>
          <w:szCs w:val="20"/>
          <w:color w:val="auto"/>
        </w:rPr>
      </w:pPr>
    </w:p>
    <w:p>
      <w:pPr>
        <w:ind w:left="4743"/>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412750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60" w:right="339" w:bottom="1440" w:gutter="0" w:footer="0" w:header="0"/>
        </w:sectPr>
      </w:pPr>
    </w:p>
    <w:bookmarkStart w:id="8" w:name="page9"/>
    <w:bookmarkEnd w:id="8"/>
    <w:p>
      <w:pPr>
        <w:jc w:val="both"/>
        <w:ind w:left="760"/>
        <w:spacing w:after="0" w:line="242" w:lineRule="auto"/>
        <w:rPr>
          <w:sz w:val="20"/>
          <w:szCs w:val="20"/>
          <w:color w:val="auto"/>
        </w:rPr>
      </w:pPr>
      <w:r>
        <w:rPr>
          <w:rFonts w:ascii="Times New Roman" w:cs="Times New Roman" w:eastAsia="Times New Roman" w:hAnsi="Times New Roman"/>
          <w:sz w:val="20"/>
          <w:szCs w:val="20"/>
          <w:color w:val="auto"/>
        </w:rPr>
        <w:t>in connection with a Shelf Offering, if such securities are being sold through underwriters, or, if such securities are not being sold through underwriters, on the closing date of the applicable sale, (1) one or more legal opinions of the Company’s outside counsel, dated such date, in form and substance as customarily given to underwriters in an Underwritten Offering or, in the case of a non-Underwritten Offering, to the broker, placement agent or other agent of the Investor assisting in the sale of the Registrable Securities and (2) one or more “negative assurances letters” of the Company’s outside counsel, dated such date, in form and substance as is customarily given to underwriters in an Underwritten Offering or, in the case of a non- Underwritten Offering, to the broker, placement agent or other agent of the Company assisting in the sale of the Registrable Securities, in each case, addressed to the underwriters, if any, or, if requested, in the case of a non- Underwritten Offering, to the broker, placement agent or other agent of the Company assisting in the sale of the Registrable Securities and (3) customary certificates executed by authorized officers of the Company as may be requested by any underwriter of such Registrable Securities; and</w:t>
      </w:r>
    </w:p>
    <w:p>
      <w:pPr>
        <w:spacing w:after="0" w:line="192" w:lineRule="exact"/>
        <w:rPr>
          <w:sz w:val="20"/>
          <w:szCs w:val="20"/>
          <w:color w:val="auto"/>
        </w:rPr>
      </w:pPr>
    </w:p>
    <w:p>
      <w:pPr>
        <w:jc w:val="both"/>
        <w:ind w:left="760" w:right="20" w:firstLine="1497"/>
        <w:spacing w:after="0" w:line="269" w:lineRule="auto"/>
        <w:rPr>
          <w:sz w:val="20"/>
          <w:szCs w:val="20"/>
          <w:color w:val="auto"/>
        </w:rPr>
      </w:pPr>
      <w:r>
        <w:rPr>
          <w:rFonts w:ascii="Times New Roman" w:cs="Times New Roman" w:eastAsia="Times New Roman" w:hAnsi="Times New Roman"/>
          <w:sz w:val="20"/>
          <w:szCs w:val="20"/>
          <w:color w:val="010000"/>
        </w:rPr>
        <w:t>(xix)</w:t>
      </w:r>
      <w:r>
        <w:rPr>
          <w:rFonts w:ascii="Times New Roman" w:cs="Times New Roman" w:eastAsia="Times New Roman" w:hAnsi="Times New Roman"/>
          <w:sz w:val="20"/>
          <w:szCs w:val="20"/>
          <w:color w:val="000000"/>
        </w:rPr>
        <w:t>if the Company does not pay the filing fee covering the Registrable Securities at the time a Shelf</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Registration Statement is filed, pay such fee at such time or times as the Registrable Securities are to be sold.</w:t>
      </w:r>
    </w:p>
    <w:p>
      <w:pPr>
        <w:spacing w:after="0" w:line="159" w:lineRule="exact"/>
        <w:rPr>
          <w:sz w:val="20"/>
          <w:szCs w:val="20"/>
          <w:color w:val="auto"/>
        </w:rPr>
      </w:pPr>
    </w:p>
    <w:p>
      <w:pPr>
        <w:jc w:val="both"/>
        <w:ind w:firstLine="1505"/>
        <w:spacing w:after="0" w:line="254" w:lineRule="auto"/>
        <w:tabs>
          <w:tab w:leader="none" w:pos="2036" w:val="left"/>
        </w:tabs>
        <w:numPr>
          <w:ilvl w:val="0"/>
          <w:numId w:val="1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Additional Information</w:t>
      </w:r>
      <w:r>
        <w:rPr>
          <w:rFonts w:ascii="Times New Roman" w:cs="Times New Roman" w:eastAsia="Times New Roman" w:hAnsi="Times New Roman"/>
          <w:sz w:val="20"/>
          <w:szCs w:val="20"/>
          <w:color w:val="auto"/>
        </w:rPr>
        <w:t>. The Company may require the Investor to furnish the Company such information regarding such seller and the distribution of such securities as the Company may from time to time reasonably request in writing, as a condition to such seller’s participation in such registration.</w:t>
      </w:r>
    </w:p>
    <w:p>
      <w:pPr>
        <w:spacing w:after="0" w:line="1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Section 3</w:t>
      </w:r>
      <w:r>
        <w:rPr>
          <w:rFonts w:ascii="Times New Roman" w:cs="Times New Roman" w:eastAsia="Times New Roman" w:hAnsi="Times New Roman"/>
          <w:sz w:val="20"/>
          <w:szCs w:val="20"/>
          <w:u w:val="single" w:color="auto"/>
          <w:color w:val="auto"/>
        </w:rPr>
        <w:t>Registration Expenses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0"/>
          <w:szCs w:val="20"/>
          <w:color w:val="auto"/>
        </w:rPr>
        <w:t>Except as expressly provided herein, all reasonable out-of-pocket expenses incurred by the Company or the Investor in connection with the performance of or compliance with this Agreement and/or in connection with any Shelf Offering, whether or not the same shall become effective, shall be paid by the Company, including, without limitation: (i) all registration and filing fees, and any other fees and expenses associated with filings required to be made with the SEC or FINRA, (ii) all fees and expenses in connection with compliance with any securities or “blue sky” laws, (iii) all printing, duplicating, word processing, messenger, telephone, facsimile and delivery expenses (including expenses of printing certificates for the Registrable Securities in a form eligible for deposit with The Depository Trust Company or other depositary and of printing prospectuses and Company Free Writing Prospectuses), (iv) all fees and disbursements of counsel for the Company and of all independent certified public accountants of the Company (including the expenses of any special audit and cold comfort letters required by or incident to such performance), (v) Securities Act liability insurance or similar insurance if the Company so desires or the underwriters so require in accordance with then-customary underwriting practice, (vi) all fees and expenses incurred in connection with the listing of the Registrable Securities on any securities exchange on which similar securities of the Company are then listed, (vii) all applicable rating agency fees with respect to the Registrable Securities, (viii) all fees and disbursements of legal counsel for the Company, (ix) any fees and disbursements of underwriters customarily paid by issuers or sellers of securities and (x) all of the Company’s internal expenses (including all salaries and expenses of its officers and employees performing legal or accounting duties). All such expenses are referred to herein as “</w:t>
      </w:r>
      <w:r>
        <w:rPr>
          <w:rFonts w:ascii="Times New Roman" w:cs="Times New Roman" w:eastAsia="Times New Roman" w:hAnsi="Times New Roman"/>
          <w:sz w:val="20"/>
          <w:szCs w:val="20"/>
          <w:u w:val="single" w:color="auto"/>
          <w:color w:val="auto"/>
        </w:rPr>
        <w:t>Registration Expenses</w:t>
      </w:r>
      <w:r>
        <w:rPr>
          <w:rFonts w:ascii="Times New Roman" w:cs="Times New Roman" w:eastAsia="Times New Roman" w:hAnsi="Times New Roman"/>
          <w:sz w:val="20"/>
          <w:szCs w:val="20"/>
          <w:color w:val="auto"/>
        </w:rPr>
        <w:t>.” The Company shall not be required to pay, and the Investor will bear and pay, all fees and disbursements of legal counsel for the Investor, all underwriting discounts and commissions applicable to the Registrable Securities sold for its account and all transfer taxes (if any) attributable to the sale of Registrable Securities.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 w:name="page10"/>
    <w:bookmarkEnd w:id="9"/>
    <w:p>
      <w:pPr>
        <w:ind w:left="1500"/>
        <w:spacing w:after="0"/>
        <w:rPr>
          <w:sz w:val="20"/>
          <w:szCs w:val="20"/>
          <w:color w:val="auto"/>
        </w:rPr>
      </w:pPr>
      <w:r>
        <w:rPr>
          <w:rFonts w:ascii="Times New Roman" w:cs="Times New Roman" w:eastAsia="Times New Roman" w:hAnsi="Times New Roman"/>
          <w:sz w:val="20"/>
          <w:szCs w:val="20"/>
          <w:color w:val="auto"/>
        </w:rPr>
        <w:t>Section 4</w:t>
      </w:r>
      <w:r>
        <w:rPr>
          <w:rFonts w:ascii="Times New Roman" w:cs="Times New Roman" w:eastAsia="Times New Roman" w:hAnsi="Times New Roman"/>
          <w:sz w:val="20"/>
          <w:szCs w:val="20"/>
          <w:u w:val="single" w:color="auto"/>
          <w:color w:val="auto"/>
        </w:rPr>
        <w:t>Indemnification and Contribution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505"/>
        <w:spacing w:after="0"/>
        <w:tabs>
          <w:tab w:leader="none" w:pos="2036" w:val="left"/>
        </w:tabs>
        <w:numPr>
          <w:ilvl w:val="0"/>
          <w:numId w:val="1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By the Company</w:t>
      </w:r>
      <w:r>
        <w:rPr>
          <w:rFonts w:ascii="Times New Roman" w:cs="Times New Roman" w:eastAsia="Times New Roman" w:hAnsi="Times New Roman"/>
          <w:sz w:val="20"/>
          <w:szCs w:val="20"/>
          <w:color w:val="auto"/>
        </w:rPr>
        <w:t>. The Company will indemnify and hold harmless, to the fullest extent permitted by law and without limitation as to time, the Investor, the Investor’s officers, directors employees, agents, fiduciaries, stockholders, managers, partners, members, Affiliates, direct and indirect equityholders, consultants and representatives, and any successors and assigns thereof, and each Person who controls the Investor (within the meaning of the Securities Act) (the “</w:t>
      </w:r>
      <w:r>
        <w:rPr>
          <w:rFonts w:ascii="Times New Roman" w:cs="Times New Roman" w:eastAsia="Times New Roman" w:hAnsi="Times New Roman"/>
          <w:sz w:val="20"/>
          <w:szCs w:val="20"/>
          <w:u w:val="single" w:color="auto"/>
          <w:color w:val="auto"/>
        </w:rPr>
        <w:t>Indemnified Parties</w:t>
      </w:r>
      <w:r>
        <w:rPr>
          <w:rFonts w:ascii="Times New Roman" w:cs="Times New Roman" w:eastAsia="Times New Roman" w:hAnsi="Times New Roman"/>
          <w:sz w:val="20"/>
          <w:szCs w:val="20"/>
          <w:color w:val="auto"/>
        </w:rPr>
        <w:t>”) against all losses, claims, actions, damages, liabilities and expenses (including with respect to actions or proceedings, whether commenced or threatened, and including reasonable attorney fees and expenses) (collectively, “</w:t>
      </w:r>
      <w:r>
        <w:rPr>
          <w:rFonts w:ascii="Times New Roman" w:cs="Times New Roman" w:eastAsia="Times New Roman" w:hAnsi="Times New Roman"/>
          <w:sz w:val="20"/>
          <w:szCs w:val="20"/>
          <w:u w:val="single" w:color="auto"/>
          <w:color w:val="auto"/>
        </w:rPr>
        <w:t>Losses</w:t>
      </w:r>
      <w:r>
        <w:rPr>
          <w:rFonts w:ascii="Times New Roman" w:cs="Times New Roman" w:eastAsia="Times New Roman" w:hAnsi="Times New Roman"/>
          <w:sz w:val="20"/>
          <w:szCs w:val="20"/>
          <w:color w:val="auto"/>
        </w:rPr>
        <w:t>”) caused by, resulting from, arising out of, based upon or related to any of the following (each, a “</w:t>
      </w:r>
      <w:r>
        <w:rPr>
          <w:rFonts w:ascii="Times New Roman" w:cs="Times New Roman" w:eastAsia="Times New Roman" w:hAnsi="Times New Roman"/>
          <w:sz w:val="20"/>
          <w:szCs w:val="20"/>
          <w:u w:val="single" w:color="auto"/>
          <w:color w:val="auto"/>
        </w:rPr>
        <w:t>Violation</w:t>
      </w:r>
      <w:r>
        <w:rPr>
          <w:rFonts w:ascii="Times New Roman" w:cs="Times New Roman" w:eastAsia="Times New Roman" w:hAnsi="Times New Roman"/>
          <w:sz w:val="20"/>
          <w:szCs w:val="20"/>
          <w:color w:val="auto"/>
        </w:rPr>
        <w:t xml:space="preserve">”) by the Company: (i) any untrue or alleged untrue statement of material fact contained in (A) any registration statement, prospectus, preliminary prospectus or Free Writing Prospectus, or any amendment thereof or supplement thereto or (B) any application or other document or communication (in this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collectively called an “</w:t>
      </w:r>
      <w:r>
        <w:rPr>
          <w:rFonts w:ascii="Times New Roman" w:cs="Times New Roman" w:eastAsia="Times New Roman" w:hAnsi="Times New Roman"/>
          <w:sz w:val="20"/>
          <w:szCs w:val="20"/>
          <w:u w:val="single" w:color="auto"/>
          <w:color w:val="auto"/>
        </w:rPr>
        <w:t>application</w:t>
      </w:r>
      <w:r>
        <w:rPr>
          <w:rFonts w:ascii="Times New Roman" w:cs="Times New Roman" w:eastAsia="Times New Roman" w:hAnsi="Times New Roman"/>
          <w:sz w:val="20"/>
          <w:szCs w:val="20"/>
          <w:color w:val="auto"/>
        </w:rPr>
        <w:t>”) executed by or on behalf of the Company or based upon written information furnished by or on behalf of the Company filed in any jurisdiction in order to qualify any securities covered by such registration under the “blue sky” or securities laws thereof, (ii) any omission or alleged omission of a material fact required to be stated therein or necessary to make the statements therein not misleading or (iii) any violation or alleged violation by the Company of the Securities Act or any other similar federal or state securities laws or any rule or regulation promulgated thereunder applicable to the Company and relating to action or inaction required of the Company in connection with any such registration, qualification or compliance. In addition, the Company will reimburse such Indemnified Party for any legal or any other expenses reasonably incurred by them in connection with investigating or defending any such Losses. Notwithstanding the foregoing, the Company will not be liable in any such case to the extent that any such Losses result from, arise out of, are based upon, or relate to an untrue statement or alleged untrue statement, or omission or alleged omission, made in such registration statement, any such prospectus, preliminary prospectus or Free Writing Prospectus or any amendment or supplement thereto, or in any application, in reliance upon, and in conformity with, written information prepared and furnished in writing to the Company by such Indemnified Party expressly for use therein or by such Indemnified Party’s failure to deliver a copy of the registration statement or prospectus or any amendments or supplements thereto after the Company has furnished such Indemnified Party with a sufficient number of copies of the same. In connection with an Underwritten Offering, the Company will indemnify such underwriters, their officers and directors, and each Person who controls such underwriters (within the meaning of the Securities Act) to the same extent as provided above with respect to the indemnification of the Indemnified Parties or as otherwise agreed to in the underwriting agreement executed in connection with such Underwritten Offering. Such indemnity and reimbursement of expenses shall remain in full force and effect regardless of any investigation made by or on behalf of such Indemnified Party and shall survive the transfer of such securities by such seller.</w:t>
      </w:r>
    </w:p>
    <w:p>
      <w:pPr>
        <w:spacing w:after="0" w:line="203" w:lineRule="exact"/>
        <w:rPr>
          <w:rFonts w:ascii="Times New Roman" w:cs="Times New Roman" w:eastAsia="Times New Roman" w:hAnsi="Times New Roman"/>
          <w:sz w:val="20"/>
          <w:szCs w:val="20"/>
          <w:color w:val="010000"/>
        </w:rPr>
      </w:pPr>
    </w:p>
    <w:p>
      <w:pPr>
        <w:jc w:val="both"/>
        <w:ind w:firstLine="1505"/>
        <w:spacing w:after="0" w:line="242" w:lineRule="auto"/>
        <w:tabs>
          <w:tab w:leader="none" w:pos="2036" w:val="left"/>
        </w:tabs>
        <w:numPr>
          <w:ilvl w:val="0"/>
          <w:numId w:val="1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By Investor</w:t>
      </w:r>
      <w:r>
        <w:rPr>
          <w:rFonts w:ascii="Times New Roman" w:cs="Times New Roman" w:eastAsia="Times New Roman" w:hAnsi="Times New Roman"/>
          <w:sz w:val="20"/>
          <w:szCs w:val="20"/>
          <w:color w:val="auto"/>
        </w:rPr>
        <w:t xml:space="preserve">. In connection with any Shelf Registration Statement, the Investor will furnish to the Company in writing such information and affidavits as the Company reasonably requests for use in connection with any such registration statement or prospectus and, to the extent permitted by law, will indemnify the Company, its officers, directors, employees, agents and representatives, and each Person who controls the Company (within the meaning of the Securities Act) against any Losses resulting from (as determined by a final and appealable judgment, order or decree of a court of competent jurisdiction) any untrue or alleged untrue statement of material fact contained in the registration statement, prospectus or preliminary prospectus or any amendment thereof or supplement thereto or any omission or alleged omission of a material fact required to be stated therein or necessary to make the statements therein not misleading, but only to the extent that such untrue statement or omission is contained in any information or affidavit so furnished in writing by the Investor expressly for use therein;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obligation to indemnify will be individual, not joint and several, for the Investor and will be limited to the net amount of</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0"/>
          <w:szCs w:val="20"/>
          <w:color w:val="auto"/>
        </w:rPr>
        <w:t>proceeds received by the Investor from the sale of Registrable Securities pursuant to such registration statement.</w:t>
      </w:r>
    </w:p>
    <w:p>
      <w:pPr>
        <w:spacing w:after="0" w:line="216" w:lineRule="exact"/>
        <w:rPr>
          <w:sz w:val="20"/>
          <w:szCs w:val="20"/>
          <w:color w:val="auto"/>
        </w:rPr>
      </w:pPr>
    </w:p>
    <w:p>
      <w:pPr>
        <w:jc w:val="both"/>
        <w:ind w:firstLine="1505"/>
        <w:spacing w:after="0" w:line="242" w:lineRule="auto"/>
        <w:tabs>
          <w:tab w:leader="none" w:pos="2036" w:val="left"/>
        </w:tabs>
        <w:numPr>
          <w:ilvl w:val="0"/>
          <w:numId w:val="1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Claim Procedure</w:t>
      </w:r>
      <w:r>
        <w:rPr>
          <w:rFonts w:ascii="Times New Roman" w:cs="Times New Roman" w:eastAsia="Times New Roman" w:hAnsi="Times New Roman"/>
          <w:sz w:val="20"/>
          <w:szCs w:val="20"/>
          <w:color w:val="auto"/>
        </w:rPr>
        <w:t>. Any Person entitled to indemnification hereunder will (i) give prompt written notice to the indemnifying party of any claim with respect to which it seeks indemnification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to give prompt notice will impair any Person’s right to indemnification hereunder only to the extent such failure has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will not be subject to any liability for any settlement made by the indemnified party without its consent (but such consent will not be unreasonably withheld, conditioned or delayed). An indemnifying party who is not entitled to, or elects not to, assume the defense of a claim will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In such instance, the conflicted indemnified parties will have a right to retain one separate counsel, chosen by the majority of the conflicted indemnified parties involved in the indemnification and approved by the Investor, at the expense of the indemnifying party.</w:t>
      </w:r>
    </w:p>
    <w:p>
      <w:pPr>
        <w:spacing w:after="0" w:line="187" w:lineRule="exact"/>
        <w:rPr>
          <w:rFonts w:ascii="Times New Roman" w:cs="Times New Roman" w:eastAsia="Times New Roman" w:hAnsi="Times New Roman"/>
          <w:sz w:val="20"/>
          <w:szCs w:val="20"/>
          <w:color w:val="010000"/>
        </w:rPr>
      </w:pPr>
    </w:p>
    <w:p>
      <w:pPr>
        <w:jc w:val="both"/>
        <w:ind w:firstLine="1505"/>
        <w:spacing w:after="0" w:line="241" w:lineRule="auto"/>
        <w:tabs>
          <w:tab w:leader="none" w:pos="2036" w:val="left"/>
        </w:tabs>
        <w:numPr>
          <w:ilvl w:val="0"/>
          <w:numId w:val="1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Contribution</w:t>
      </w:r>
      <w:r>
        <w:rPr>
          <w:rFonts w:ascii="Times New Roman" w:cs="Times New Roman" w:eastAsia="Times New Roman" w:hAnsi="Times New Roman"/>
          <w:sz w:val="20"/>
          <w:szCs w:val="20"/>
          <w:color w:val="auto"/>
        </w:rPr>
        <w:t xml:space="preserve">. If the indemnification provided for in this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is held by a court of competent jurisdiction to be unavailable to, or is insufficient to hold harmless, an indemnified party or is otherwise unenforceable with respect to any Loss referred to herein, then such indemnifying party will contribute to the amounts paid or payable by such indemnified party as a result of such Loss, (i) in such proportion as is appropriate to reflect the relative fault of the indemnifying party on the one hand and of the indemnified party on the other hand in connection with the statements or omissions which resulted in such Loss as well as any other relevant equitable considerations or (ii) if the allocation provided by clause (i) of this </w:t>
      </w:r>
      <w:r>
        <w:rPr>
          <w:rFonts w:ascii="Times New Roman" w:cs="Times New Roman" w:eastAsia="Times New Roman" w:hAnsi="Times New Roman"/>
          <w:sz w:val="20"/>
          <w:szCs w:val="20"/>
          <w:u w:val="single" w:color="auto"/>
          <w:color w:val="auto"/>
        </w:rPr>
        <w:t>Section 4(d)</w:t>
      </w:r>
      <w:r>
        <w:rPr>
          <w:rFonts w:ascii="Times New Roman" w:cs="Times New Roman" w:eastAsia="Times New Roman" w:hAnsi="Times New Roman"/>
          <w:sz w:val="20"/>
          <w:szCs w:val="20"/>
          <w:color w:val="auto"/>
        </w:rPr>
        <w:t xml:space="preserve"> is not permitted by applicable law, then in such proportion as is appropriate to reflect not only such relative fault but also the relative benefit of the Company on the one hand and of the sellers of Registrable Securities and any other sellers participating in the registration statement on the other in connection with the statement or omissions which resulted in such Losses, as well as any other relevant equitable considerations;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maximum amount of liability in respect of such contribution will be limited, in the case of each seller of Registrable Securities, to an amount equal to the net proceeds actually received by such seller from the sale of Registrable Securities effected pursuant to such registration. The relative fault of the indemnifying party and of the indemnified party will be determined by reference to, among other things, whether the untrue (or, as applicable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 The parties hereto agree that it would not be just or equitable if the contribution pursuant to this </w:t>
      </w:r>
      <w:r>
        <w:rPr>
          <w:rFonts w:ascii="Times New Roman" w:cs="Times New Roman" w:eastAsia="Times New Roman" w:hAnsi="Times New Roman"/>
          <w:sz w:val="20"/>
          <w:szCs w:val="20"/>
          <w:u w:val="single" w:color="auto"/>
          <w:color w:val="auto"/>
        </w:rPr>
        <w:t>Section 4(d)</w:t>
      </w:r>
      <w:r>
        <w:rPr>
          <w:rFonts w:ascii="Times New Roman" w:cs="Times New Roman" w:eastAsia="Times New Roman" w:hAnsi="Times New Roman"/>
          <w:sz w:val="20"/>
          <w:szCs w:val="20"/>
          <w:color w:val="auto"/>
        </w:rPr>
        <w:t xml:space="preserve"> were to be determined by pro rata allocation or by any other method of allocation that does not take into account such equitable considerations. The amount paid or payable by an indemnified party as a result of the Losses referred to herein will be deemed to include any legal or other expenses reasonably incurred by such indemnified party in connection with investigating or defending against any action or claim which is the subject hereof. No person guilty of fraudulent misrepresentation (within the meaning of </w:t>
      </w:r>
      <w:r>
        <w:rPr>
          <w:rFonts w:ascii="Times New Roman" w:cs="Times New Roman" w:eastAsia="Times New Roman" w:hAnsi="Times New Roman"/>
          <w:sz w:val="20"/>
          <w:szCs w:val="20"/>
          <w:u w:val="single" w:color="auto"/>
          <w:color w:val="auto"/>
        </w:rPr>
        <w:t>Section 10(f)</w:t>
      </w:r>
      <w:r>
        <w:rPr>
          <w:rFonts w:ascii="Times New Roman" w:cs="Times New Roman" w:eastAsia="Times New Roman" w:hAnsi="Times New Roman"/>
          <w:sz w:val="20"/>
          <w:szCs w:val="20"/>
          <w:color w:val="auto"/>
        </w:rPr>
        <w:t xml:space="preserve"> of the Securities Act) will be entitled to contribution from any Person who is not guilty of such fraudulent misrepresentation.</w:t>
      </w:r>
    </w:p>
    <w:p>
      <w:pPr>
        <w:spacing w:after="0" w:line="187" w:lineRule="exact"/>
        <w:rPr>
          <w:rFonts w:ascii="Times New Roman" w:cs="Times New Roman" w:eastAsia="Times New Roman" w:hAnsi="Times New Roman"/>
          <w:sz w:val="20"/>
          <w:szCs w:val="20"/>
          <w:color w:val="010000"/>
        </w:rPr>
      </w:pPr>
    </w:p>
    <w:p>
      <w:pPr>
        <w:jc w:val="both"/>
        <w:ind w:firstLine="1505"/>
        <w:spacing w:after="0" w:line="254" w:lineRule="auto"/>
        <w:tabs>
          <w:tab w:leader="none" w:pos="2036" w:val="left"/>
        </w:tabs>
        <w:numPr>
          <w:ilvl w:val="0"/>
          <w:numId w:val="1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No indemnifying party will, except with the consent of the indemnified party, consent to the entry of any judgment or enter into any settlement that does not include as an unconditional term thereof giving by the claimant or plaintiff to such indemnified party of a release from all liability in respect to such claim or litigation.</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 w:name="page12"/>
    <w:bookmarkEnd w:id="11"/>
    <w:p>
      <w:pPr>
        <w:jc w:val="both"/>
        <w:ind w:firstLine="1505"/>
        <w:spacing w:after="0" w:line="245" w:lineRule="auto"/>
        <w:tabs>
          <w:tab w:leader="none" w:pos="2036" w:val="left"/>
        </w:tabs>
        <w:numPr>
          <w:ilvl w:val="0"/>
          <w:numId w:val="1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Non-exclusive Remedy; Survival</w:t>
      </w:r>
      <w:r>
        <w:rPr>
          <w:rFonts w:ascii="Times New Roman" w:cs="Times New Roman" w:eastAsia="Times New Roman" w:hAnsi="Times New Roman"/>
          <w:sz w:val="20"/>
          <w:szCs w:val="20"/>
          <w:color w:val="auto"/>
        </w:rPr>
        <w:t xml:space="preserve">. The indemnification and contribution provided for under this Agreement will be in addition to any other rights to indemnification or contribution that any indemnified party may have pursuant to law or contract (and the Company and its Subsidiaries shall be considered the indemnitors of first resort in all such circumstances to which this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applies) and will remain in full force and effect regardless of any investigation made by or on behalf of the indemnified party or any officer, director or controlling Person of such indemnified party and will survive the transfer of Registrable Securities and the termination or expiration of this Agreement.</w:t>
      </w:r>
    </w:p>
    <w:p>
      <w:pPr>
        <w:spacing w:after="0" w:line="184"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20"/>
          <w:szCs w:val="20"/>
          <w:color w:val="auto"/>
        </w:rPr>
        <w:t>Section 5</w:t>
      </w:r>
      <w:r>
        <w:rPr>
          <w:rFonts w:ascii="Times New Roman" w:cs="Times New Roman" w:eastAsia="Times New Roman" w:hAnsi="Times New Roman"/>
          <w:sz w:val="20"/>
          <w:szCs w:val="20"/>
          <w:u w:val="single" w:color="auto"/>
          <w:color w:val="auto"/>
        </w:rPr>
        <w:t>Cooperation with Underwritten Offerings</w:t>
      </w:r>
      <w:r>
        <w:rPr>
          <w:rFonts w:ascii="Times New Roman" w:cs="Times New Roman" w:eastAsia="Times New Roman" w:hAnsi="Times New Roman"/>
          <w:sz w:val="20"/>
          <w:szCs w:val="20"/>
          <w:color w:val="auto"/>
        </w:rPr>
        <w:t xml:space="preserve">. No Person may participate in any underwritten registration hereunder unless such Person (i) agrees to sell such Person’s securities on the basis provided in any underwriting arrangements approved by the Person or Persons entitled hereunder to approve such arrangements (including, without limitation, pursuant to the terms of any over-allotment or “green shoe” option requested by the underwriters;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Investor will not be required to sell more than the number of Registrable Securities it has requested to include in such registration) and (ii) completes, executes and delivers all questionnaires, powers of attorney, stock powers, custody agreements, indemnities, underwriting agreements and other documents and agreements required under the terms of such underwriting arrangements or as may be reasonably requested by the Company and the lead managing underwriter(s). To the extent that any such agreement is entered into pursuant to, and consistent with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and/or this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the respective rights and obligations created under such agreement will supersede the respective rights and obligations of the Investor, the Company and the underwriters created thereby with respect to such registration.</w:t>
      </w:r>
    </w:p>
    <w:p>
      <w:pPr>
        <w:spacing w:after="0" w:line="19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Section 6</w:t>
      </w:r>
      <w:r>
        <w:rPr>
          <w:rFonts w:ascii="Times New Roman" w:cs="Times New Roman" w:eastAsia="Times New Roman" w:hAnsi="Times New Roman"/>
          <w:sz w:val="20"/>
          <w:szCs w:val="20"/>
          <w:u w:val="single" w:color="auto"/>
          <w:color w:val="auto"/>
        </w:rPr>
        <w:t>Transfer of Registrable Securities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505"/>
        <w:spacing w:after="0" w:line="243" w:lineRule="auto"/>
        <w:tabs>
          <w:tab w:leader="none" w:pos="2036" w:val="left"/>
        </w:tabs>
        <w:numPr>
          <w:ilvl w:val="0"/>
          <w:numId w:val="1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Restrictions on Transfers</w:t>
      </w:r>
      <w:r>
        <w:rPr>
          <w:rFonts w:ascii="Times New Roman" w:cs="Times New Roman" w:eastAsia="Times New Roman" w:hAnsi="Times New Roman"/>
          <w:sz w:val="20"/>
          <w:szCs w:val="20"/>
          <w:color w:val="auto"/>
        </w:rPr>
        <w:t>. Prior to transferring any Registrable Securities to any Person (including, without limitation, by operation of law), the Investor must first obtain the prior written consent of the Company, except that such consent shall not be required in the case of (i) a transfer to the Company, (ii) a Public Offering, (iii) a sale pursuant to Rule 144, (v) a transfer in connection with a Sale of the Company, and/or (vi) a transfer to one or more Affiliates of Investor (in which case Investor may assign their rights hereunder in respect of such transferred Registrable Securities, so long as Investor is not relieved of any liability or obligations hereunder). Any transfer or attempted transfer of Registrable Securities in violation of any provision of this Agreement will be void, and the Company will not record such transfer on its books or treat any purported transferee of such Registrable Securities as the owner thereof for any purpose (but the Company will be entitled to enforce against such Person the obligations hereunder).</w:t>
      </w:r>
    </w:p>
    <w:p>
      <w:pPr>
        <w:spacing w:after="0" w:line="18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Section 7</w:t>
      </w:r>
      <w:r>
        <w:rPr>
          <w:rFonts w:ascii="Times New Roman" w:cs="Times New Roman" w:eastAsia="Times New Roman" w:hAnsi="Times New Roman"/>
          <w:sz w:val="20"/>
          <w:szCs w:val="20"/>
          <w:u w:val="single" w:color="auto"/>
          <w:color w:val="auto"/>
        </w:rPr>
        <w:t>General Provisions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505"/>
        <w:spacing w:after="0" w:line="244" w:lineRule="auto"/>
        <w:tabs>
          <w:tab w:leader="none" w:pos="2036" w:val="left"/>
        </w:tabs>
        <w:numPr>
          <w:ilvl w:val="0"/>
          <w:numId w:val="1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Amendments and Waivers</w:t>
      </w:r>
      <w:r>
        <w:rPr>
          <w:rFonts w:ascii="Times New Roman" w:cs="Times New Roman" w:eastAsia="Times New Roman" w:hAnsi="Times New Roman"/>
          <w:sz w:val="20"/>
          <w:szCs w:val="20"/>
          <w:color w:val="auto"/>
        </w:rPr>
        <w:t>. Except as otherwise provided herein, the provisions of this Agreement may be amended, modified or waived only with the prior written consent of the Company and the Investor. The failure or delay of any Person to enforce any of the provisions of this Agreement will in no way be construed as a waiver of such provisions and will not affect the right of such Person thereafter to enforce each and every provision of this Agreement in accordance with its terms. A waiver or consent to or of any breach or default by any Person in the performance by that Person of his, her or its obligations under this Agreement will not be deemed to be a consent or waiver to or of any other breach or default in the performance by that Person of the same or any other obligations of that Person under this Agreement.</w:t>
      </w:r>
    </w:p>
    <w:p>
      <w:pPr>
        <w:spacing w:after="0" w:line="185" w:lineRule="exact"/>
        <w:rPr>
          <w:rFonts w:ascii="Times New Roman" w:cs="Times New Roman" w:eastAsia="Times New Roman" w:hAnsi="Times New Roman"/>
          <w:sz w:val="20"/>
          <w:szCs w:val="20"/>
          <w:color w:val="010000"/>
        </w:rPr>
      </w:pPr>
    </w:p>
    <w:p>
      <w:pPr>
        <w:jc w:val="both"/>
        <w:ind w:firstLine="1505"/>
        <w:spacing w:after="0" w:line="249" w:lineRule="auto"/>
        <w:tabs>
          <w:tab w:leader="none" w:pos="2036" w:val="left"/>
        </w:tabs>
        <w:numPr>
          <w:ilvl w:val="0"/>
          <w:numId w:val="1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Remedies</w:t>
      </w:r>
      <w:r>
        <w:rPr>
          <w:rFonts w:ascii="Times New Roman" w:cs="Times New Roman" w:eastAsia="Times New Roman" w:hAnsi="Times New Roman"/>
          <w:sz w:val="20"/>
          <w:szCs w:val="20"/>
          <w:color w:val="auto"/>
        </w:rPr>
        <w:t>. The parties to this Agreement will be entitled to enforce their rights under this Agreement specifically (without posting a bond or other security), to recover damages caused by reason of any breach of any provision of this Agreement and to exercise all other rights existing in their favor. The parties hereto agree and acknowledge that a breach of this Agreement would cause irreparable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 w:name="page13"/>
    <w:bookmarkEnd w:id="12"/>
    <w:p>
      <w:pPr>
        <w:jc w:val="both"/>
        <w:spacing w:after="0" w:line="249" w:lineRule="auto"/>
        <w:rPr>
          <w:sz w:val="20"/>
          <w:szCs w:val="20"/>
          <w:color w:val="auto"/>
        </w:rPr>
      </w:pPr>
      <w:r>
        <w:rPr>
          <w:rFonts w:ascii="Times New Roman" w:cs="Times New Roman" w:eastAsia="Times New Roman" w:hAnsi="Times New Roman"/>
          <w:sz w:val="20"/>
          <w:szCs w:val="20"/>
          <w:color w:val="auto"/>
        </w:rPr>
        <w:t>harm and money damages would not be an adequate remedy for any such breach and that, in addition to any other rights and remedies existing hereunder, any party will be entitled to specific performance and/or other injunctive relief from any court of law or equity of competent jurisdiction (without posting any bond or other security) in order to enforce or prevent violation of the provisions of this Agreement.</w:t>
      </w:r>
    </w:p>
    <w:p>
      <w:pPr>
        <w:spacing w:after="0" w:line="180" w:lineRule="exact"/>
        <w:rPr>
          <w:sz w:val="20"/>
          <w:szCs w:val="20"/>
          <w:color w:val="auto"/>
        </w:rPr>
      </w:pPr>
    </w:p>
    <w:p>
      <w:pPr>
        <w:jc w:val="both"/>
        <w:ind w:firstLine="1505"/>
        <w:spacing w:after="0" w:line="245" w:lineRule="auto"/>
        <w:tabs>
          <w:tab w:leader="none" w:pos="2036" w:val="left"/>
        </w:tabs>
        <w:numPr>
          <w:ilvl w:val="0"/>
          <w:numId w:val="1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Whenever possible, each provision of this Agreement will be interpreted in such manner as to be effective and valid under applicable law, but if any provision of this Agreement is held to be prohibited, invalid, illegal or unenforceable in any respect under any applicable law or regulation in any jurisdiction, such prohibition, invalidity, illegality or unenforceability will not affect the validity, legality or enforceability of any other provision of this Agreement in such jurisdiction or in any other jurisdiction, but this Agreement will be reformed, construed and enforced in such jurisdiction as if such prohibited, invalid, illegal or unenforceable provision had never been contained herein.</w:t>
      </w:r>
    </w:p>
    <w:p>
      <w:pPr>
        <w:spacing w:after="0" w:line="184" w:lineRule="exact"/>
        <w:rPr>
          <w:rFonts w:ascii="Times New Roman" w:cs="Times New Roman" w:eastAsia="Times New Roman" w:hAnsi="Times New Roman"/>
          <w:sz w:val="20"/>
          <w:szCs w:val="20"/>
          <w:color w:val="010000"/>
        </w:rPr>
      </w:pPr>
    </w:p>
    <w:p>
      <w:pPr>
        <w:jc w:val="both"/>
        <w:ind w:firstLine="1505"/>
        <w:spacing w:after="0" w:line="274" w:lineRule="auto"/>
        <w:tabs>
          <w:tab w:leader="none" w:pos="2036" w:val="left"/>
        </w:tabs>
        <w:numPr>
          <w:ilvl w:val="0"/>
          <w:numId w:val="1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Entire Agreement</w:t>
      </w:r>
      <w:r>
        <w:rPr>
          <w:rFonts w:ascii="Times New Roman" w:cs="Times New Roman" w:eastAsia="Times New Roman" w:hAnsi="Times New Roman"/>
          <w:sz w:val="19"/>
          <w:szCs w:val="19"/>
          <w:color w:val="auto"/>
        </w:rPr>
        <w:t>. Except as otherwise provided herein, this Agreement contains the complete agreement and understanding among the parties hereto with respect to the subject matter hereof and supersedes and preempts any prior understandings, agreements or representations by or among the parties hereto, written or oral, which may have related to the subject matter hereof in any way.</w:t>
      </w:r>
    </w:p>
    <w:p>
      <w:pPr>
        <w:spacing w:after="0" w:line="156" w:lineRule="exact"/>
        <w:rPr>
          <w:rFonts w:ascii="Times New Roman" w:cs="Times New Roman" w:eastAsia="Times New Roman" w:hAnsi="Times New Roman"/>
          <w:sz w:val="19"/>
          <w:szCs w:val="19"/>
          <w:color w:val="010000"/>
        </w:rPr>
      </w:pPr>
    </w:p>
    <w:p>
      <w:pPr>
        <w:jc w:val="both"/>
        <w:ind w:firstLine="1505"/>
        <w:spacing w:after="0" w:line="254" w:lineRule="auto"/>
        <w:tabs>
          <w:tab w:leader="none" w:pos="2036" w:val="left"/>
        </w:tabs>
        <w:numPr>
          <w:ilvl w:val="0"/>
          <w:numId w:val="1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Except as otherwise provided herein, this Agreement will bind and inure to the benefit and be enforceable by the Company and its successors and permitted assigns and the Investor and its successors and permitted assigns (whether so expressed or not).</w:t>
      </w:r>
    </w:p>
    <w:p>
      <w:pPr>
        <w:spacing w:after="0" w:line="174" w:lineRule="exact"/>
        <w:rPr>
          <w:rFonts w:ascii="Times New Roman" w:cs="Times New Roman" w:eastAsia="Times New Roman" w:hAnsi="Times New Roman"/>
          <w:sz w:val="20"/>
          <w:szCs w:val="20"/>
          <w:color w:val="010000"/>
        </w:rPr>
      </w:pPr>
    </w:p>
    <w:p>
      <w:pPr>
        <w:jc w:val="both"/>
        <w:ind w:firstLine="1505"/>
        <w:spacing w:after="0" w:line="243" w:lineRule="auto"/>
        <w:tabs>
          <w:tab w:leader="none" w:pos="2036" w:val="left"/>
        </w:tabs>
        <w:numPr>
          <w:ilvl w:val="0"/>
          <w:numId w:val="1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demand or other communication to be given under or by reason of the provisions of this Agreement will be in writing and will be deemed to have been given (i) when delivered personally to the recipient, (ii) when sent by confirmed electronic mail or facsimile if sent during normal business hours of the recipient; but if not, then on the next Business Day, (iii) one Business Day after it is sent to the recipient by reputable overnight courier service (charges prepaid) or (iv) three Business Days after it is mailed to the recipient by first class mail, return receipt requested. Such notices, demands and other communications will be sent to the Company at the address specified on the signature page hereto and to any holder, or at such address or to the attention of such other Person as the recipient party has specified by prior written notice to the sending party. Any party may change such party’s address for receipt of notice by giving prior written notice of the change to the sending party as provided herein. The Company’s address is:</w:t>
      </w:r>
    </w:p>
    <w:p>
      <w:pPr>
        <w:spacing w:after="0" w:line="18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b w:val="1"/>
          <w:bCs w:val="1"/>
          <w:color w:val="002047"/>
        </w:rPr>
        <w:t>Pharvaris N.V.</w:t>
      </w:r>
    </w:p>
    <w:p>
      <w:pPr>
        <w:spacing w:after="0" w:line="22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002047"/>
        </w:rPr>
        <w:t>Emmy Noetherweg 2</w:t>
      </w:r>
    </w:p>
    <w:p>
      <w:pPr>
        <w:spacing w:after="0" w:line="2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002047"/>
        </w:rPr>
        <w:t>2333 BK Leiden</w:t>
      </w:r>
    </w:p>
    <w:p>
      <w:pPr>
        <w:ind w:left="1500"/>
        <w:spacing w:after="0"/>
        <w:rPr>
          <w:sz w:val="20"/>
          <w:szCs w:val="20"/>
          <w:color w:val="auto"/>
        </w:rPr>
      </w:pPr>
      <w:r>
        <w:rPr>
          <w:rFonts w:ascii="Times New Roman" w:cs="Times New Roman" w:eastAsia="Times New Roman" w:hAnsi="Times New Roman"/>
          <w:sz w:val="20"/>
          <w:szCs w:val="20"/>
          <w:color w:val="002047"/>
        </w:rPr>
        <w:t>The Netherlands</w:t>
      </w:r>
    </w:p>
    <w:p>
      <w:pPr>
        <w:ind w:left="1500"/>
        <w:spacing w:after="0"/>
        <w:rPr>
          <w:sz w:val="20"/>
          <w:szCs w:val="20"/>
          <w:color w:val="auto"/>
        </w:rPr>
      </w:pPr>
      <w:r>
        <w:rPr>
          <w:rFonts w:ascii="Times New Roman" w:cs="Times New Roman" w:eastAsia="Times New Roman" w:hAnsi="Times New Roman"/>
          <w:sz w:val="20"/>
          <w:szCs w:val="20"/>
          <w:color w:val="002047"/>
        </w:rPr>
        <w:t>Attention: Joan Schmidt</w:t>
      </w:r>
    </w:p>
    <w:p>
      <w:pPr>
        <w:ind w:left="1500"/>
        <w:spacing w:after="0"/>
        <w:rPr>
          <w:sz w:val="20"/>
          <w:szCs w:val="20"/>
          <w:color w:val="auto"/>
        </w:rPr>
      </w:pPr>
      <w:r>
        <w:rPr>
          <w:rFonts w:ascii="Times New Roman" w:cs="Times New Roman" w:eastAsia="Times New Roman" w:hAnsi="Times New Roman"/>
          <w:sz w:val="20"/>
          <w:szCs w:val="20"/>
          <w:color w:val="auto"/>
        </w:rPr>
        <w:t>Email: joan.schmidt@pharvaris.com</w:t>
      </w:r>
    </w:p>
    <w:p>
      <w:pPr>
        <w:spacing w:after="0" w:line="20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u w:val="single" w:color="auto"/>
          <w:color w:val="auto"/>
        </w:rPr>
        <w:t>With a copy to:</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b w:val="1"/>
          <w:bCs w:val="1"/>
          <w:color w:val="auto"/>
        </w:rPr>
        <w:t>Kirkland &amp; Ellis LLP</w:t>
      </w:r>
    </w:p>
    <w:p>
      <w:pPr>
        <w:spacing w:after="0" w:line="22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601 Lexington Avenue</w:t>
      </w:r>
    </w:p>
    <w:p>
      <w:pPr>
        <w:spacing w:after="0" w:line="2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New York, NY 10022</w:t>
      </w:r>
    </w:p>
    <w:p>
      <w:pPr>
        <w:ind w:left="1500"/>
        <w:spacing w:after="0"/>
        <w:rPr>
          <w:sz w:val="20"/>
          <w:szCs w:val="20"/>
          <w:color w:val="auto"/>
        </w:rPr>
      </w:pPr>
      <w:r>
        <w:rPr>
          <w:rFonts w:ascii="Times New Roman" w:cs="Times New Roman" w:eastAsia="Times New Roman" w:hAnsi="Times New Roman"/>
          <w:sz w:val="20"/>
          <w:szCs w:val="20"/>
          <w:color w:val="auto"/>
        </w:rPr>
        <w:t>Attention: Sophia Hudson, P.C.; Jennifer L. Lee</w:t>
      </w:r>
    </w:p>
    <w:p>
      <w:pPr>
        <w:ind w:left="1500"/>
        <w:spacing w:after="0"/>
        <w:rPr>
          <w:sz w:val="20"/>
          <w:szCs w:val="20"/>
          <w:color w:val="auto"/>
        </w:rPr>
      </w:pPr>
      <w:r>
        <w:rPr>
          <w:rFonts w:ascii="Times New Roman" w:cs="Times New Roman" w:eastAsia="Times New Roman" w:hAnsi="Times New Roman"/>
          <w:sz w:val="20"/>
          <w:szCs w:val="20"/>
          <w:color w:val="auto"/>
        </w:rPr>
        <w:t>Email: Sophia.hudson@kirkland.com; Jennifer.lee@kirkland.com</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 w:name="page14"/>
    <w:bookmarkEnd w:id="13"/>
    <w:p>
      <w:pPr>
        <w:spacing w:after="0" w:line="269" w:lineRule="auto"/>
        <w:rPr>
          <w:sz w:val="20"/>
          <w:szCs w:val="20"/>
          <w:color w:val="auto"/>
        </w:rPr>
      </w:pPr>
      <w:r>
        <w:rPr>
          <w:rFonts w:ascii="Times New Roman" w:cs="Times New Roman" w:eastAsia="Times New Roman" w:hAnsi="Times New Roman"/>
          <w:sz w:val="20"/>
          <w:szCs w:val="20"/>
          <w:color w:val="auto"/>
        </w:rPr>
        <w:t>or to such other address or to the attention of such other person as the recipient party has specified by prior written notice to the sending party.</w:t>
      </w:r>
    </w:p>
    <w:p>
      <w:pPr>
        <w:spacing w:after="0" w:line="159" w:lineRule="exact"/>
        <w:rPr>
          <w:sz w:val="20"/>
          <w:szCs w:val="20"/>
          <w:color w:val="auto"/>
        </w:rPr>
      </w:pPr>
    </w:p>
    <w:p>
      <w:pPr>
        <w:jc w:val="both"/>
        <w:ind w:firstLine="1505"/>
        <w:spacing w:after="0" w:line="254" w:lineRule="auto"/>
        <w:tabs>
          <w:tab w:leader="none" w:pos="2036" w:val="left"/>
        </w:tabs>
        <w:numPr>
          <w:ilvl w:val="0"/>
          <w:numId w:val="1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Business Days</w:t>
      </w:r>
      <w:r>
        <w:rPr>
          <w:rFonts w:ascii="Times New Roman" w:cs="Times New Roman" w:eastAsia="Times New Roman" w:hAnsi="Times New Roman"/>
          <w:sz w:val="20"/>
          <w:szCs w:val="20"/>
          <w:color w:val="auto"/>
        </w:rPr>
        <w:t>. If any time period for giving notice or taking action hereunder expires on a day that is not a Business Day, the time period will automatically be extended to the Business Day immediately following such Saturday, Sunday or legal holiday.</w:t>
      </w:r>
    </w:p>
    <w:p>
      <w:pPr>
        <w:spacing w:after="0" w:line="174" w:lineRule="exact"/>
        <w:rPr>
          <w:rFonts w:ascii="Times New Roman" w:cs="Times New Roman" w:eastAsia="Times New Roman" w:hAnsi="Times New Roman"/>
          <w:sz w:val="20"/>
          <w:szCs w:val="20"/>
          <w:color w:val="010000"/>
        </w:rPr>
      </w:pPr>
    </w:p>
    <w:p>
      <w:pPr>
        <w:jc w:val="both"/>
        <w:ind w:firstLine="1505"/>
        <w:spacing w:after="0" w:line="244" w:lineRule="auto"/>
        <w:tabs>
          <w:tab w:leader="none" w:pos="2036" w:val="left"/>
        </w:tabs>
        <w:numPr>
          <w:ilvl w:val="0"/>
          <w:numId w:val="1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All issues and questions concerning the construction, validity, interpretation and enforcement of this Agreement and the exhibits and schedules hereto will be governed by, and construed in accordance with, the laws of the State of New York, without giving effect to any choice of law or conflict of law rules or provisions (whether of the State of New York or any other jurisdiction) that would cause the application of the laws of any jurisdiction other than the State of New York. In furtherance of the foregoing, the internal law of the State of New York will control the interpretation and construction of this Agreement (and all schedules and exhibits hereto), even though under that jurisdiction’s choice of law or conflict of law analysis, the substantive law of some other jurisdiction would ordinarily apply.</w:t>
      </w:r>
    </w:p>
    <w:p>
      <w:pPr>
        <w:spacing w:after="0" w:line="185" w:lineRule="exact"/>
        <w:rPr>
          <w:rFonts w:ascii="Times New Roman" w:cs="Times New Roman" w:eastAsia="Times New Roman" w:hAnsi="Times New Roman"/>
          <w:sz w:val="20"/>
          <w:szCs w:val="20"/>
          <w:color w:val="010000"/>
        </w:rPr>
      </w:pPr>
    </w:p>
    <w:p>
      <w:pPr>
        <w:jc w:val="both"/>
        <w:ind w:firstLine="1505"/>
        <w:spacing w:after="0" w:line="266" w:lineRule="auto"/>
        <w:tabs>
          <w:tab w:leader="none" w:pos="2036" w:val="left"/>
        </w:tabs>
        <w:numPr>
          <w:ilvl w:val="0"/>
          <w:numId w:val="1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MUTUAL WAIVER OF JURY TRIAL</w:t>
      </w:r>
      <w:r>
        <w:rPr>
          <w:rFonts w:ascii="Times New Roman" w:cs="Times New Roman" w:eastAsia="Times New Roman" w:hAnsi="Times New Roman"/>
          <w:sz w:val="19"/>
          <w:szCs w:val="19"/>
          <w:color w:val="auto"/>
        </w:rPr>
        <w:t>. AS A SPECIFICALLY BARGAINED FOR INDUCEMENT FOR EACH OF THE PARTIES HERETO TO ENTER INTO THIS AGREEMENT (AFTER HAVING THE OPPORTUNITY TO CONSULT WITH COUNSEL), EACH PARTY HERETO EXPRESSLY WAIVES THE RIGHT TO TRIAL BY JURY IN ANY LAWSUIT OR PROCEEDING RELATING TO OR ARISING IN ANY WAY FROM THIS AGREEMENT OR THE MATTERS CONTEMPLATED HEREBY.</w:t>
      </w:r>
    </w:p>
    <w:p>
      <w:pPr>
        <w:spacing w:after="0" w:line="165" w:lineRule="exact"/>
        <w:rPr>
          <w:rFonts w:ascii="Times New Roman" w:cs="Times New Roman" w:eastAsia="Times New Roman" w:hAnsi="Times New Roman"/>
          <w:sz w:val="19"/>
          <w:szCs w:val="19"/>
          <w:color w:val="010000"/>
        </w:rPr>
      </w:pPr>
    </w:p>
    <w:p>
      <w:pPr>
        <w:jc w:val="both"/>
        <w:ind w:firstLine="1505"/>
        <w:spacing w:after="0" w:line="233" w:lineRule="exact"/>
        <w:tabs>
          <w:tab w:leader="none" w:pos="2036" w:val="left"/>
        </w:tabs>
        <w:numPr>
          <w:ilvl w:val="0"/>
          <w:numId w:val="1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CONSENT TO JURISDICTION AND SERVICE OF PROCESS</w:t>
      </w:r>
      <w:r>
        <w:rPr>
          <w:rFonts w:ascii="Times New Roman" w:cs="Times New Roman" w:eastAsia="Times New Roman" w:hAnsi="Times New Roman"/>
          <w:sz w:val="19"/>
          <w:szCs w:val="19"/>
          <w:color w:val="auto"/>
        </w:rPr>
        <w:t>. EACH OF THE PARTIES IRREVOCABLY SUBMITS TO THE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EXCLUSIVE JURISDICTION OF THE UNITED STATES DISTRICT COURT FOR THE DISTRICT OF NEW YORK, FOR THE PURPOSES OF ANY SUIT, ACTION OR OTHER PROCEEDING ARISING OUT OF THIS AGREEMENT, ANY RELATED AGREEMENT OR ANY TRANSACTION CONTEMPLATED HEREBY OR THEREBY. EACH OF THE PARTIES HERETO FURTHER AGREES THAT SERVICE OF ANY PROCESS, SUMMONS, NOTICE OR DOCUMENT BY U.S. REGISTERED MAIL TO SUCH PARTY’S RESPECTIVE ADDRESS SET FORTH ABOVE WILL BE EFFECTIVE SERVICE OF PROCESS FOR ANY ACTION, SUIT OR PROCEEDING WITH RESPECT TO ANY MATTERS TO WHICH IT HAS SUBMITTED TO JURISDICTION IN THIS PARAGRAPH. EACH OF THE PARTIES HERETO IRREVOCABLY AND UNCONDITIONALLY WAIVES ANY OBJECTION TO THE LAYING OF VENUE OF ANY ACTION, SUIT OR PROCEEDING ARISING OUT OF THIS AGREEMENT, ANY RELATED DOCUMENT OR THE TRANSACTIONS CONTEMPLATED HEREBY AND THEREBY IN THE UNITED STATES DISTRICT COURT FOR THE DISTRICT OF NEW YORK, AND HEREBY AND THEREBY FURTHER IRREVOCABLY AND UNCONDITIONALLY WAIVES AND AGREES NOT TO PLEAD OR CLAIM IN ANY SUCH COURT THAT ANY SUCH ACTION, SUIT OR PROCEEDING BROUGHT IN ANY SUCH COURT HAS BEEN BROUGHT IN AN INCONVENIENT FORUM.</w:t>
      </w:r>
    </w:p>
    <w:p>
      <w:pPr>
        <w:spacing w:after="0" w:line="195" w:lineRule="exact"/>
        <w:rPr>
          <w:rFonts w:ascii="Times New Roman" w:cs="Times New Roman" w:eastAsia="Times New Roman" w:hAnsi="Times New Roman"/>
          <w:sz w:val="19"/>
          <w:szCs w:val="19"/>
          <w:color w:val="010000"/>
        </w:rPr>
      </w:pPr>
    </w:p>
    <w:p>
      <w:pPr>
        <w:jc w:val="both"/>
        <w:ind w:firstLine="1505"/>
        <w:spacing w:after="0" w:line="244" w:lineRule="auto"/>
        <w:tabs>
          <w:tab w:leader="none" w:pos="2036" w:val="left"/>
        </w:tabs>
        <w:numPr>
          <w:ilvl w:val="0"/>
          <w:numId w:val="1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No Recourse</w:t>
      </w:r>
      <w:r>
        <w:rPr>
          <w:rFonts w:ascii="Times New Roman" w:cs="Times New Roman" w:eastAsia="Times New Roman" w:hAnsi="Times New Roman"/>
          <w:sz w:val="20"/>
          <w:szCs w:val="20"/>
          <w:color w:val="auto"/>
        </w:rPr>
        <w:t>. Notwithstanding anything to the contrary in this Agreement, the Company and the Investor agrees and acknowledges that no recourse under this Agreement or any documents or instruments delivered in connection with this Agreement, will be had against any current or future director, officer, employee, general or limited partner or member of the Investor or any Affiliate or assignee thereof, whether by the enforcement of any assessment or by any legal or equitable proceeding, or by virtue of any statute, regulation or other applicable law, it being expressly agreed and acknowledged that no personal liability whatsoever will attach to, be imposed on or otherwise be incurred by any current or future officer, agent or employee of the Investor or any current or future member of the Investor or any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 w:name="page15"/>
    <w:bookmarkEnd w:id="14"/>
    <w:p>
      <w:pPr>
        <w:jc w:val="both"/>
        <w:spacing w:after="0" w:line="254" w:lineRule="auto"/>
        <w:rPr>
          <w:sz w:val="20"/>
          <w:szCs w:val="20"/>
          <w:color w:val="auto"/>
        </w:rPr>
      </w:pPr>
      <w:r>
        <w:rPr>
          <w:rFonts w:ascii="Times New Roman" w:cs="Times New Roman" w:eastAsia="Times New Roman" w:hAnsi="Times New Roman"/>
          <w:sz w:val="20"/>
          <w:szCs w:val="20"/>
          <w:color w:val="auto"/>
        </w:rPr>
        <w:t>current or future director, officer, employee, partner or member of the Investor or of any Affiliate or assignee thereof, as such for any obligation of the Investor under this Agreement or any documents or instruments delivered in connection with this Agreement for any claim based on, in respect of or by reason of such obligations or their creation.</w:t>
      </w:r>
    </w:p>
    <w:p>
      <w:pPr>
        <w:spacing w:after="0" w:line="174" w:lineRule="exact"/>
        <w:rPr>
          <w:sz w:val="20"/>
          <w:szCs w:val="20"/>
          <w:color w:val="auto"/>
        </w:rPr>
      </w:pPr>
    </w:p>
    <w:p>
      <w:pPr>
        <w:jc w:val="both"/>
        <w:ind w:firstLine="1505"/>
        <w:spacing w:after="0" w:line="254" w:lineRule="auto"/>
        <w:tabs>
          <w:tab w:leader="none" w:pos="2036" w:val="left"/>
        </w:tabs>
        <w:numPr>
          <w:ilvl w:val="0"/>
          <w:numId w:val="1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Descriptive Headings; Interpretation</w:t>
      </w:r>
      <w:r>
        <w:rPr>
          <w:rFonts w:ascii="Times New Roman" w:cs="Times New Roman" w:eastAsia="Times New Roman" w:hAnsi="Times New Roman"/>
          <w:sz w:val="20"/>
          <w:szCs w:val="20"/>
          <w:color w:val="auto"/>
        </w:rPr>
        <w:t>. The descriptive headings of this Agreement are inserted for convenience only and do not constitute a part of this Agreement. The use of the word “including” in this Agreement will be by way of example rather than by limitation.</w:t>
      </w:r>
    </w:p>
    <w:p>
      <w:pPr>
        <w:spacing w:after="0" w:line="174" w:lineRule="exact"/>
        <w:rPr>
          <w:rFonts w:ascii="Times New Roman" w:cs="Times New Roman" w:eastAsia="Times New Roman" w:hAnsi="Times New Roman"/>
          <w:sz w:val="20"/>
          <w:szCs w:val="20"/>
          <w:color w:val="010000"/>
        </w:rPr>
      </w:pPr>
    </w:p>
    <w:p>
      <w:pPr>
        <w:ind w:right="20" w:firstLine="1505"/>
        <w:spacing w:after="0" w:line="269" w:lineRule="auto"/>
        <w:tabs>
          <w:tab w:leader="none" w:pos="2036" w:val="left"/>
        </w:tabs>
        <w:numPr>
          <w:ilvl w:val="0"/>
          <w:numId w:val="1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No Strict Construction</w:t>
      </w:r>
      <w:r>
        <w:rPr>
          <w:rFonts w:ascii="Times New Roman" w:cs="Times New Roman" w:eastAsia="Times New Roman" w:hAnsi="Times New Roman"/>
          <w:sz w:val="20"/>
          <w:szCs w:val="20"/>
          <w:color w:val="auto"/>
        </w:rPr>
        <w:t>. The language used in this Agreement will be deemed to be the language chosen by the parties hereto to express their mutual intent, and no rule of strict construction will be applied against any party.</w:t>
      </w:r>
    </w:p>
    <w:p>
      <w:pPr>
        <w:spacing w:after="0" w:line="159" w:lineRule="exact"/>
        <w:rPr>
          <w:rFonts w:ascii="Times New Roman" w:cs="Times New Roman" w:eastAsia="Times New Roman" w:hAnsi="Times New Roman"/>
          <w:sz w:val="20"/>
          <w:szCs w:val="20"/>
          <w:color w:val="010000"/>
        </w:rPr>
      </w:pPr>
    </w:p>
    <w:p>
      <w:pPr>
        <w:ind w:firstLine="1505"/>
        <w:spacing w:after="0" w:line="269" w:lineRule="auto"/>
        <w:tabs>
          <w:tab w:leader="none" w:pos="2036" w:val="left"/>
        </w:tabs>
        <w:numPr>
          <w:ilvl w:val="0"/>
          <w:numId w:val="1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multiple counterparts, any one of which need not contain the signature of more than one party, but all such counterparts taken together will constitute one and the same agreement.</w:t>
      </w:r>
    </w:p>
    <w:p>
      <w:pPr>
        <w:spacing w:after="0" w:line="159" w:lineRule="exact"/>
        <w:rPr>
          <w:rFonts w:ascii="Times New Roman" w:cs="Times New Roman" w:eastAsia="Times New Roman" w:hAnsi="Times New Roman"/>
          <w:sz w:val="20"/>
          <w:szCs w:val="20"/>
          <w:color w:val="010000"/>
        </w:rPr>
      </w:pPr>
    </w:p>
    <w:p>
      <w:pPr>
        <w:jc w:val="both"/>
        <w:ind w:firstLine="1505"/>
        <w:spacing w:after="0" w:line="234" w:lineRule="exact"/>
        <w:tabs>
          <w:tab w:leader="none" w:pos="2036" w:val="left"/>
        </w:tabs>
        <w:numPr>
          <w:ilvl w:val="0"/>
          <w:numId w:val="1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Electronic Delivery</w:t>
      </w:r>
      <w:r>
        <w:rPr>
          <w:rFonts w:ascii="Times New Roman" w:cs="Times New Roman" w:eastAsia="Times New Roman" w:hAnsi="Times New Roman"/>
          <w:sz w:val="20"/>
          <w:szCs w:val="20"/>
          <w:color w:val="auto"/>
        </w:rPr>
        <w:t>. This Agreement, the agreements referred to herein, and each other agreement or instrument entered into in connection herewith or therewith or contemplated hereby or thereby, and any amendments hereto or thereto, to the extent executed and delivered by means of a photographic, photostatic, facsimile or similar reproduction of such signed writing using a facsimile machine or electronic mail will be treated in all manner and respects as an original agreement or instrument and will be considered to have the same binding legal effect as if it were the original signed version thereof delivered in person. At the request of any party hereto or to any such agreement or instrument, each other party hereto or thereto will re</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execute original forms thereof and deliver them to all other parties. No party hereto or to any such agreement or instrument will raise the use of a facsimile machine or electronic mail to deliver a signature or the fact that any signature or agreement or instrument was transmitted or communicated through the use of a facsimile machine or electronic mail as a defense to the formation or enforceability of a contract and each such party forever waives any such defense.</w:t>
      </w:r>
    </w:p>
    <w:p>
      <w:pPr>
        <w:spacing w:after="0" w:line="190" w:lineRule="exact"/>
        <w:rPr>
          <w:rFonts w:ascii="Times New Roman" w:cs="Times New Roman" w:eastAsia="Times New Roman" w:hAnsi="Times New Roman"/>
          <w:sz w:val="20"/>
          <w:szCs w:val="20"/>
          <w:color w:val="010000"/>
        </w:rPr>
      </w:pPr>
    </w:p>
    <w:p>
      <w:pPr>
        <w:jc w:val="both"/>
        <w:ind w:firstLine="1505"/>
        <w:spacing w:after="0" w:line="254" w:lineRule="auto"/>
        <w:tabs>
          <w:tab w:leader="none" w:pos="2036" w:val="left"/>
        </w:tabs>
        <w:numPr>
          <w:ilvl w:val="0"/>
          <w:numId w:val="1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Further Assurances</w:t>
      </w:r>
      <w:r>
        <w:rPr>
          <w:rFonts w:ascii="Times New Roman" w:cs="Times New Roman" w:eastAsia="Times New Roman" w:hAnsi="Times New Roman"/>
          <w:sz w:val="20"/>
          <w:szCs w:val="20"/>
          <w:color w:val="auto"/>
        </w:rPr>
        <w:t>. In connection with this Agreement and the transactions contemplated hereby, the Investor agrees to execute and deliver any additional documents and instruments and perform any additional acts that may be necessary or appropriate to effectuate and perform the provisions of this Agreement and the transactions contemplated hereby.</w:t>
      </w:r>
    </w:p>
    <w:p>
      <w:pPr>
        <w:spacing w:after="0" w:line="174" w:lineRule="exact"/>
        <w:rPr>
          <w:rFonts w:ascii="Times New Roman" w:cs="Times New Roman" w:eastAsia="Times New Roman" w:hAnsi="Times New Roman"/>
          <w:sz w:val="20"/>
          <w:szCs w:val="20"/>
          <w:color w:val="010000"/>
        </w:rPr>
      </w:pPr>
    </w:p>
    <w:p>
      <w:pPr>
        <w:jc w:val="both"/>
        <w:ind w:firstLine="1505"/>
        <w:spacing w:after="0" w:line="249" w:lineRule="auto"/>
        <w:tabs>
          <w:tab w:leader="none" w:pos="2036" w:val="left"/>
        </w:tabs>
        <w:numPr>
          <w:ilvl w:val="0"/>
          <w:numId w:val="1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Dividends, Recapitalizations, Etc.</w:t>
      </w:r>
      <w:r>
        <w:rPr>
          <w:rFonts w:ascii="Times New Roman" w:cs="Times New Roman" w:eastAsia="Times New Roman" w:hAnsi="Times New Roman"/>
          <w:sz w:val="20"/>
          <w:szCs w:val="20"/>
          <w:color w:val="auto"/>
        </w:rPr>
        <w:t xml:space="preserve"> If at any time or from time to time there is any change in the capital structure of the Company by way of a share split, share dividend, combination or reclassification, or through a merger, consolidation, reorganization or recapitalization, or by any other means, appropriate adjustment will be made in the provisions hereof so that the rights and privileges granted hereby will continue.</w:t>
      </w:r>
    </w:p>
    <w:p>
      <w:pPr>
        <w:spacing w:after="0" w:line="179" w:lineRule="exact"/>
        <w:rPr>
          <w:rFonts w:ascii="Times New Roman" w:cs="Times New Roman" w:eastAsia="Times New Roman" w:hAnsi="Times New Roman"/>
          <w:sz w:val="20"/>
          <w:szCs w:val="20"/>
          <w:color w:val="010000"/>
        </w:rPr>
      </w:pPr>
    </w:p>
    <w:p>
      <w:pPr>
        <w:jc w:val="both"/>
        <w:ind w:firstLine="1505"/>
        <w:spacing w:after="0" w:line="254" w:lineRule="auto"/>
        <w:tabs>
          <w:tab w:leader="none" w:pos="2036" w:val="left"/>
        </w:tabs>
        <w:numPr>
          <w:ilvl w:val="0"/>
          <w:numId w:val="1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No Third-Party Beneficiaries</w:t>
      </w:r>
      <w:r>
        <w:rPr>
          <w:rFonts w:ascii="Times New Roman" w:cs="Times New Roman" w:eastAsia="Times New Roman" w:hAnsi="Times New Roman"/>
          <w:sz w:val="20"/>
          <w:szCs w:val="20"/>
          <w:color w:val="auto"/>
        </w:rPr>
        <w:t>. No term or provision of this Agreement is intended to be, or shall be, for the benefit of any Person not a party hereto, and no such other Person shall have any right or cause of action hereunder, except as otherwise expressly provided herein.</w:t>
      </w:r>
    </w:p>
    <w:p>
      <w:pPr>
        <w:spacing w:after="0" w:line="200" w:lineRule="exact"/>
        <w:rPr>
          <w:sz w:val="20"/>
          <w:szCs w:val="20"/>
          <w:color w:val="auto"/>
        </w:rPr>
      </w:pPr>
    </w:p>
    <w:p>
      <w:pPr>
        <w:spacing w:after="0" w:line="204" w:lineRule="exact"/>
        <w:rPr>
          <w:sz w:val="20"/>
          <w:szCs w:val="20"/>
          <w:color w:val="auto"/>
        </w:rPr>
      </w:pPr>
    </w:p>
    <w:p>
      <w:pPr>
        <w:jc w:val="center"/>
        <w:spacing w:after="0"/>
        <w:tabs>
          <w:tab w:leader="none" w:pos="240" w:val="left"/>
          <w:tab w:leader="none" w:pos="220" w:val="left"/>
          <w:tab w:leader="none" w:pos="220" w:val="left"/>
          <w:tab w:leader="none" w:pos="180" w:val="left"/>
        </w:tabs>
        <w:rPr>
          <w:sz w:val="20"/>
          <w:szCs w:val="20"/>
          <w:color w:val="auto"/>
        </w:rPr>
      </w:pPr>
      <w:r>
        <w:rPr>
          <w:rFonts w:ascii="Times New Roman" w:cs="Times New Roman" w:eastAsia="Times New Roman" w:hAnsi="Times New Roman"/>
          <w:sz w:val="20"/>
          <w:szCs w:val="20"/>
          <w:color w:val="auto"/>
        </w:rPr>
        <w:t>*</w:t>
        <w:tab/>
        <w:t>*</w:t>
        <w:tab/>
        <w:t>*</w:t>
        <w:tab/>
        <w:t>*</w:t>
        <w:tab/>
        <w: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 w:name="page16"/>
    <w:bookmarkEnd w:id="15"/>
    <w:p>
      <w:pPr>
        <w:ind w:left="380"/>
        <w:spacing w:after="0"/>
        <w:rPr>
          <w:sz w:val="20"/>
          <w:szCs w:val="20"/>
          <w:color w:val="auto"/>
        </w:rPr>
      </w:pPr>
      <w:r>
        <w:rPr>
          <w:rFonts w:ascii="Times New Roman" w:cs="Times New Roman" w:eastAsia="Times New Roman" w:hAnsi="Times New Roman"/>
          <w:sz w:val="19"/>
          <w:szCs w:val="19"/>
          <w:color w:val="auto"/>
        </w:rPr>
        <w:t>IN WITNESS WHEREOF, the parties have executed this Registration Rights Agreement as of the date first written above.</w:t>
      </w:r>
    </w:p>
    <w:p>
      <w:pPr>
        <w:sectPr>
          <w:pgSz w:w="11900" w:h="16838" w:orient="portrait"/>
          <w:cols w:equalWidth="0" w:num="1">
            <w:col w:w="10080"/>
          </w:cols>
          <w:pgMar w:left="1440" w:top="360" w:right="379" w:bottom="1440" w:gutter="0" w:footer="0" w:header="0"/>
        </w:sectPr>
      </w:pPr>
    </w:p>
    <w:p>
      <w:pPr>
        <w:spacing w:after="0" w:line="22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b w:val="1"/>
          <w:bCs w:val="1"/>
          <w:color w:val="auto"/>
        </w:rPr>
        <w:t>PHARVARIS N.V.</w:t>
      </w:r>
    </w:p>
    <w:p>
      <w:pPr>
        <w:spacing w:after="0" w:line="220"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Berndt Modig</w:t>
      </w:r>
    </w:p>
    <w:p>
      <w:pPr>
        <w:spacing w:after="0" w:line="21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 xml:space="preserve">Its: </w:t>
      </w:r>
      <w:r>
        <w:rPr>
          <w:rFonts w:ascii="Times New Roman" w:cs="Times New Roman" w:eastAsia="Times New Roman" w:hAnsi="Times New Roman"/>
          <w:sz w:val="20"/>
          <w:szCs w:val="20"/>
          <w:u w:val="single" w:color="auto"/>
          <w:color w:val="auto"/>
        </w:rPr>
        <w:t>Chief Executive Officer</w:t>
      </w:r>
    </w:p>
    <w:p>
      <w:pPr>
        <w:spacing w:after="0" w:line="200" w:lineRule="exact"/>
        <w:rPr>
          <w:sz w:val="20"/>
          <w:szCs w:val="20"/>
          <w:color w:val="auto"/>
        </w:rPr>
      </w:pPr>
    </w:p>
    <w:p>
      <w:pPr>
        <w:spacing w:after="0" w:line="22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1"/>
          <w:szCs w:val="2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417195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80"/>
          </w:cols>
          <w:pgMar w:left="1440" w:top="360" w:right="379" w:bottom="1440" w:gutter="0" w:footer="0" w:header="0"/>
          <w:type w:val="continuous"/>
        </w:sectPr>
      </w:pPr>
    </w:p>
    <w:bookmarkStart w:id="16" w:name="page17"/>
    <w:bookmarkEnd w:id="16"/>
    <w:p>
      <w:pPr>
        <w:ind w:left="4120"/>
        <w:spacing w:after="0"/>
        <w:rPr>
          <w:sz w:val="20"/>
          <w:szCs w:val="20"/>
          <w:color w:val="auto"/>
        </w:rPr>
      </w:pPr>
      <w:r>
        <w:rPr>
          <w:rFonts w:ascii="Times New Roman" w:cs="Times New Roman" w:eastAsia="Times New Roman" w:hAnsi="Times New Roman"/>
          <w:sz w:val="19"/>
          <w:szCs w:val="19"/>
          <w:b w:val="1"/>
          <w:bCs w:val="1"/>
          <w:color w:val="auto"/>
        </w:rPr>
        <w:t>GENERAL ATLANTIC PH B.V.</w:t>
      </w:r>
    </w:p>
    <w:p>
      <w:pPr>
        <w:spacing w:after="0" w:line="23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By: /s/ I.M. van der Hoorn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-10795</wp:posOffset>
            </wp:positionV>
            <wp:extent cx="12947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Name: I.M. van der Hoorn</w:t>
      </w:r>
    </w:p>
    <w:p>
      <w:pPr>
        <w:ind w:left="4420"/>
        <w:spacing w:after="0"/>
        <w:rPr>
          <w:sz w:val="20"/>
          <w:szCs w:val="20"/>
          <w:color w:val="auto"/>
        </w:rPr>
      </w:pPr>
      <w:r>
        <w:rPr>
          <w:rFonts w:ascii="Times New Roman" w:cs="Times New Roman" w:eastAsia="Times New Roman" w:hAnsi="Times New Roman"/>
          <w:sz w:val="20"/>
          <w:szCs w:val="20"/>
          <w:color w:val="auto"/>
        </w:rPr>
        <w:t>Title: Director A</w:t>
      </w:r>
    </w:p>
    <w:p>
      <w:pPr>
        <w:spacing w:after="0" w:line="20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J.V. Lepeltak</w:t>
      </w:r>
    </w:p>
    <w:p>
      <w:pPr>
        <w:spacing w:after="0" w:line="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Name: J.V. Lepeltak</w:t>
      </w:r>
    </w:p>
    <w:p>
      <w:pPr>
        <w:ind w:left="4420"/>
        <w:spacing w:after="0"/>
        <w:rPr>
          <w:sz w:val="20"/>
          <w:szCs w:val="20"/>
          <w:color w:val="auto"/>
        </w:rPr>
      </w:pPr>
      <w:r>
        <w:rPr>
          <w:rFonts w:ascii="Times New Roman" w:cs="Times New Roman" w:eastAsia="Times New Roman" w:hAnsi="Times New Roman"/>
          <w:sz w:val="20"/>
          <w:szCs w:val="20"/>
          <w:color w:val="auto"/>
        </w:rPr>
        <w:t>Title: Director B</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417195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56" w:right="1440"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DEFINITIONS</w:t>
      </w:r>
    </w:p>
    <w:p>
      <w:pPr>
        <w:spacing w:after="0" w:line="220"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xml:space="preserve">” of any Person means any other Person controlled by, controlling or under common control with such Person and, in the case of an individual, also includes any member of such individual’s Family Group;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Company and its Subsidiaries will not be deemed to be Affiliates of any holder of Registrable Securities. As used in this definition, “control” (including, with its correlative meanings, “controlling,” “controlled by” and “under common control with”) will mean possession, directly or indirectly, of power to direct or cause the direction of management or policies (whether through ownership of securities, by contract or otherwise).</w:t>
      </w:r>
    </w:p>
    <w:p>
      <w:pPr>
        <w:spacing w:after="0" w:line="18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has the meaning set forth in the recitals.</w:t>
      </w:r>
    </w:p>
    <w:p>
      <w:pPr>
        <w:spacing w:after="0" w:line="216" w:lineRule="exact"/>
        <w:rPr>
          <w:sz w:val="20"/>
          <w:szCs w:val="20"/>
          <w:color w:val="auto"/>
        </w:rPr>
      </w:pPr>
    </w:p>
    <w:p>
      <w:pPr>
        <w:jc w:val="both"/>
        <w:ind w:right="20"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means a day that is not a Saturday or Sunday or a day on which banks in New York City are authorized or requested by law to close.</w:t>
      </w:r>
    </w:p>
    <w:p>
      <w:pPr>
        <w:spacing w:after="0" w:line="1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Common Equity</w:t>
      </w:r>
      <w:r>
        <w:rPr>
          <w:rFonts w:ascii="Times New Roman" w:cs="Times New Roman" w:eastAsia="Times New Roman" w:hAnsi="Times New Roman"/>
          <w:sz w:val="20"/>
          <w:szCs w:val="20"/>
          <w:color w:val="auto"/>
        </w:rPr>
        <w:t>” means the Company’s ordinary shares, par value € 0.12.</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has the meaning set forth in the preamble and shall include its successor(s).</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End of Suspension Notice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1(d)(ii)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means the Securities Exchange Act of 1934, as amended from time to time, or any successor federal law then in force, together with all rules and regulations promulgated thereunder.</w:t>
      </w:r>
    </w:p>
    <w:p>
      <w:pPr>
        <w:spacing w:after="0" w:line="159"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Family Group</w:t>
      </w:r>
      <w:r>
        <w:rPr>
          <w:rFonts w:ascii="Times New Roman" w:cs="Times New Roman" w:eastAsia="Times New Roman" w:hAnsi="Times New Roman"/>
          <w:sz w:val="20"/>
          <w:szCs w:val="20"/>
          <w:color w:val="auto"/>
        </w:rPr>
        <w:t>” means with respect to any individual, such individual’s current or former spouse, their respective parents, descendants of such parents (whether natural or adopted) and the spouses of such descendants, any trust, limited partnership, corporation or limited liability company established solely for the benefit of such individual or such individual’s current or former spouse, their respective parents, descendants of such parents (whether natural or adopted) or the spouses of such descendants.</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FINRA</w:t>
      </w:r>
      <w:r>
        <w:rPr>
          <w:rFonts w:ascii="Times New Roman" w:cs="Times New Roman" w:eastAsia="Times New Roman" w:hAnsi="Times New Roman"/>
          <w:sz w:val="20"/>
          <w:szCs w:val="20"/>
          <w:color w:val="auto"/>
        </w:rPr>
        <w:t>” means the Financial Industry Regulatory Authority.</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Free Writing Prospectus</w:t>
      </w:r>
      <w:r>
        <w:rPr>
          <w:rFonts w:ascii="Times New Roman" w:cs="Times New Roman" w:eastAsia="Times New Roman" w:hAnsi="Times New Roman"/>
          <w:sz w:val="20"/>
          <w:szCs w:val="20"/>
          <w:color w:val="auto"/>
        </w:rPr>
        <w:t>” means a free-writing prospectus, as defined in Rule 405.</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Indemnified Parties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Losses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Opt-Out Notice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1(d)(iii)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 individual, a partnership, a corporation, a limited liability company, an association, a joint stock company, a trust, a joint venture, an unincorporated organization and a governmental entity or any department, agency or political subdivision thereof.</w:t>
      </w:r>
    </w:p>
    <w:p>
      <w:pPr>
        <w:spacing w:after="0" w:line="174"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Public Offering</w:t>
      </w:r>
      <w:r>
        <w:rPr>
          <w:rFonts w:ascii="Times New Roman" w:cs="Times New Roman" w:eastAsia="Times New Roman" w:hAnsi="Times New Roman"/>
          <w:sz w:val="20"/>
          <w:szCs w:val="20"/>
          <w:color w:val="auto"/>
        </w:rPr>
        <w:t>” means any sale or distribution by the Company, one of its Subsidiaries and/or the Investor to the public of Common Equity or other securities convertible into or exchangeable for Common Equity pursuant to an offering registered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678180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1" w:right="339" w:bottom="1440" w:gutter="0" w:footer="0" w:header="0"/>
        </w:sectPr>
      </w:pPr>
    </w:p>
    <w:bookmarkStart w:id="18" w:name="page19"/>
    <w:bookmarkEnd w:id="18"/>
    <w:p>
      <w:pPr>
        <w:ind w:left="15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Independent Underwriter</w:t>
      </w:r>
      <w:r>
        <w:rPr>
          <w:rFonts w:ascii="Times New Roman" w:cs="Times New Roman" w:eastAsia="Times New Roman" w:hAnsi="Times New Roman"/>
          <w:sz w:val="20"/>
          <w:szCs w:val="20"/>
          <w:color w:val="auto"/>
        </w:rPr>
        <w:t>” has the meaning set forth by FINRA in Section 5121(f)(12), or any successor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provision thereto.</w:t>
      </w:r>
    </w:p>
    <w:p>
      <w:pPr>
        <w:spacing w:after="0" w:line="194"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Registrable Securities</w:t>
      </w:r>
      <w:r>
        <w:rPr>
          <w:rFonts w:ascii="Times New Roman" w:cs="Times New Roman" w:eastAsia="Times New Roman" w:hAnsi="Times New Roman"/>
          <w:sz w:val="20"/>
          <w:szCs w:val="20"/>
          <w:color w:val="auto"/>
        </w:rPr>
        <w:t>” means (i) any Common Equity held (directly or indirectly) by the Investor or any of its Affiliates, and (ii) any equity securities of the Company or any Subsidiary issued or issuable with respect to the securities referred to in clause (i) above by way of dividend, distribution, split or combination of securities, or any recapitalization, merger, consolidation or other reorganization. As to any particular Registrable Securities, such securities will cease to be Registrable Securities when they have been (a) sold or distributed pursuant to a Public Offering, (b) sold in compliance with Rule 144, (c) distributed to the direct or indirect partners or members of the Investor or (d) repurchased by the Company or a Subsidiary of the Company. For purposes of this Agreement, a Person will be deemed to be a holder of Registrable Securities, and the Registrable Securities will be deemed to be in existence, whenever such Person has the right to acquire, directly or indirectly, such Registrable Securities (upon conversion or exercise in connection with a transfer of securities or otherwise, but disregarding any restrictions or limitations upon the exercise of such right), whether or not such acquisition has actually been effected, and such Person will be entitled to exercise the rights of a holder of Registrable Securities hereunder (it being understood that a holder of Registrable Securities may only request that Registrable Securities in the form of Common Equity be registered pursuant to this Agreement). Notwithstanding the foregoing, any Registrable Securities held by any Person that may be sold under Rule 144(b)(1)(i) without limitation under any of the other requirements of Rule 144 will be deemed not to be Registrable Securities.</w:t>
      </w:r>
    </w:p>
    <w:p>
      <w:pPr>
        <w:spacing w:after="0" w:line="19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Registration Expenses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Rule 144</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Rule 158</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Rule 405</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Rule 415</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Rule 403B</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Rule 462</w:t>
      </w:r>
      <w:r>
        <w:rPr>
          <w:rFonts w:ascii="Times New Roman" w:cs="Times New Roman" w:eastAsia="Times New Roman" w:hAnsi="Times New Roman"/>
          <w:sz w:val="20"/>
          <w:szCs w:val="20"/>
          <w:color w:val="auto"/>
        </w:rPr>
        <w:t>” mean, in each case, such rule promulgated under the Securities Act (or any successor provision) by the SEC, as the same will be amended from time to time, or any successor rule then in force.</w:t>
      </w:r>
    </w:p>
    <w:p>
      <w:pPr>
        <w:spacing w:after="0" w:line="174"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Sale of the Company</w:t>
      </w:r>
      <w:r>
        <w:rPr>
          <w:rFonts w:ascii="Times New Roman" w:cs="Times New Roman" w:eastAsia="Times New Roman" w:hAnsi="Times New Roman"/>
          <w:sz w:val="20"/>
          <w:szCs w:val="20"/>
          <w:color w:val="auto"/>
        </w:rPr>
        <w:t xml:space="preserve">” means any transaction or series of transactions pursuant to which any Person(s) or a group of related Persons in the aggregate acquires: (i) Common Equity of the Company entitled to vote (other than voting rights accruing only in the event of a default, breach, event of noncompliance or other contingency) to elect directors with a majority of the voting power of the Company’s board of directors (whether by merger, consolidation, reorganization, combination, sale or transfer of the Company’s Common Equity) or (ii) all or substantially all of the Company’s and its Subsidiaries’ assets determined on a consolidated basis;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Public Offering will not constitute a Sale of the Company.</w:t>
      </w:r>
    </w:p>
    <w:p>
      <w:pPr>
        <w:spacing w:after="0" w:line="18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means the United States Securities and Exchange Commission.</w:t>
      </w:r>
    </w:p>
    <w:p>
      <w:pPr>
        <w:spacing w:after="0" w:line="216"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means the Securities Act of 1933, as amended from time to time, or any successor federal law then in force, together with all rules and regulations promulgated thereunder.</w:t>
      </w:r>
    </w:p>
    <w:p>
      <w:pPr>
        <w:spacing w:after="0" w:line="1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Shelf Offering</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1(b)(i)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Shelf Offering Notice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1(b)(i)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Shelf Registrable Securities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1(b)(i)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Shelf Registration Statement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means, with respect to the Company, any corporation, limited liability company, partnership, association or other business entity of which (i) if a corporation, a majority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668655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9" w:name="page20"/>
    <w:bookmarkEnd w:id="19"/>
    <w:p>
      <w:pPr>
        <w:jc w:val="both"/>
        <w:spacing w:after="0" w:line="258" w:lineRule="auto"/>
        <w:rPr>
          <w:sz w:val="20"/>
          <w:szCs w:val="20"/>
          <w:color w:val="auto"/>
        </w:rPr>
      </w:pPr>
      <w:r>
        <w:rPr>
          <w:rFonts w:ascii="Times New Roman" w:cs="Times New Roman" w:eastAsia="Times New Roman" w:hAnsi="Times New Roman"/>
          <w:sz w:val="19"/>
          <w:szCs w:val="19"/>
          <w:color w:val="auto"/>
        </w:rPr>
        <w:t>total voting power of the share capital entitled (without regard to the occurrence of any contingency) to vote in the election of directors, managers or trustees thereof is at the time owned or controlled, directly or indirectly, by the Company or one or more of the other Subsidiaries of the Company or a combination thereof, or (ii) if a limited liability company, partnership, association or other business entity, a majority of the limited liability company, partnership or other similar ownership interest thereof is at the time owned or controlled, directly or indirectly, by the Company or one or more Subsidiaries of the Company or a combination thereof. For purposes hereof, a Person or Persons will be deemed to have a majority ownership interest in a limited liability company, partnership, association or other business entity if such Person or Persons will be allocated a majority of limited liability company, partnership, association or other business entity gains or losses or will be or control the managing director or general partner of such limited liability company, partnership, association or other business entity.</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Suspension Event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1(d)(ii)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Suspension Notice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1(d)(ii)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Suspension Period</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1(d)(i)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360" w:firstLine="14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Underwritten Offering</w:t>
      </w:r>
      <w:r>
        <w:rPr>
          <w:rFonts w:ascii="Times New Roman" w:cs="Times New Roman" w:eastAsia="Times New Roman" w:hAnsi="Times New Roman"/>
          <w:sz w:val="20"/>
          <w:szCs w:val="20"/>
          <w:color w:val="auto"/>
        </w:rPr>
        <w:t>” means an offering registered under the Securities Act in which securities of the Company are sold to one or more underwriters on a firm-commitment basis for reoffering to the public.</w:t>
      </w:r>
    </w:p>
    <w:p>
      <w:pPr>
        <w:spacing w:after="0" w:line="1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Violation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4(a)</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704215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lowerLetter"/>
      <w:start w:val="1"/>
    </w:lvl>
    <w:lvl w:ilvl="1">
      <w:lvlJc w:val="left"/>
      <w:lvlText w:val="(%2)"/>
      <w:numFmt w:val="lowerLetter"/>
      <w:start w:val="9"/>
    </w:lvl>
  </w:abstractNum>
  <w:abstractNum w:abstractNumId="1">
    <w:nsid w:val="216231B"/>
    <w:multiLevelType w:val="hybridMultilevel"/>
    <w:lvl w:ilvl="0">
      <w:lvlJc w:val="left"/>
      <w:lvlText w:val="(%1)"/>
      <w:numFmt w:val="lowerRoman"/>
      <w:start w:val="2"/>
    </w:lvl>
  </w:abstractNum>
  <w:abstractNum w:abstractNumId="2">
    <w:nsid w:val="1F16E9E8"/>
    <w:multiLevelType w:val="hybridMultilevel"/>
    <w:lvl w:ilvl="0">
      <w:lvlJc w:val="left"/>
      <w:lvlText w:val="(%1)"/>
      <w:numFmt w:val="lowerLetter"/>
      <w:start w:val="3"/>
    </w:lvl>
    <w:lvl w:ilvl="1">
      <w:lvlJc w:val="left"/>
      <w:lvlText w:val="(%2)"/>
      <w:numFmt w:val="lowerRoman"/>
      <w:start w:val="1"/>
    </w:lvl>
  </w:abstractNum>
  <w:abstractNum w:abstractNumId="3">
    <w:nsid w:val="1190CDE7"/>
    <w:multiLevelType w:val="hybridMultilevel"/>
    <w:lvl w:ilvl="0">
      <w:lvlJc w:val="left"/>
      <w:lvlText w:val="(%1)"/>
      <w:numFmt w:val="lowerLetter"/>
      <w:start w:val="5"/>
    </w:lvl>
  </w:abstractNum>
  <w:abstractNum w:abstractNumId="4">
    <w:nsid w:val="66EF438D"/>
    <w:multiLevelType w:val="hybridMultilevel"/>
    <w:lvl w:ilvl="0">
      <w:lvlJc w:val="left"/>
      <w:lvlText w:val="(%1)"/>
      <w:numFmt w:val="lowerLetter"/>
      <w:start w:val="1"/>
    </w:lvl>
    <w:lvl w:ilvl="1">
      <w:lvlJc w:val="left"/>
      <w:lvlText w:val="(%2)"/>
      <w:numFmt w:val="lowerRoman"/>
      <w:start w:val="1"/>
    </w:lvl>
  </w:abstractNum>
  <w:abstractNum w:abstractNumId="5">
    <w:nsid w:val="140E0F76"/>
    <w:multiLevelType w:val="hybridMultilevel"/>
    <w:lvl w:ilvl="0">
      <w:lvlJc w:val="left"/>
      <w:lvlText w:val="(%1)"/>
      <w:numFmt w:val="lowerRoman"/>
      <w:start w:val="4"/>
    </w:lvl>
  </w:abstractNum>
  <w:abstractNum w:abstractNumId="6">
    <w:nsid w:val="3352255A"/>
    <w:multiLevelType w:val="hybridMultilevel"/>
    <w:lvl w:ilvl="0">
      <w:lvlJc w:val="left"/>
      <w:lvlText w:val="(%1)"/>
      <w:numFmt w:val="lowerRoman"/>
      <w:start w:val="6"/>
    </w:lvl>
  </w:abstractNum>
  <w:abstractNum w:abstractNumId="7">
    <w:nsid w:val="109CF92E"/>
    <w:multiLevelType w:val="hybridMultilevel"/>
    <w:lvl w:ilvl="0">
      <w:lvlJc w:val="left"/>
      <w:lvlText w:val="(%1)"/>
      <w:numFmt w:val="lowerRoman"/>
      <w:start w:val="9"/>
    </w:lvl>
  </w:abstractNum>
  <w:abstractNum w:abstractNumId="8">
    <w:nsid w:val="DED7263"/>
    <w:multiLevelType w:val="hybridMultilevel"/>
    <w:lvl w:ilvl="0">
      <w:lvlJc w:val="left"/>
      <w:lvlText w:val="(%1)"/>
      <w:numFmt w:val="lowerRoman"/>
      <w:start w:val="11"/>
    </w:lvl>
  </w:abstractNum>
  <w:abstractNum w:abstractNumId="9">
    <w:nsid w:val="7FDCC233"/>
    <w:multiLevelType w:val="hybridMultilevel"/>
    <w:lvl w:ilvl="0">
      <w:lvlJc w:val="left"/>
      <w:lvlText w:val="(%1)"/>
      <w:numFmt w:val="decimal"/>
      <w:start w:val="12"/>
    </w:lvl>
  </w:abstractNum>
  <w:abstractNum w:abstractNumId="10">
    <w:nsid w:val="1BEFD79F"/>
    <w:multiLevelType w:val="hybridMultilevel"/>
    <w:lvl w:ilvl="0">
      <w:lvlJc w:val="left"/>
      <w:lvlText w:val="(%1)"/>
      <w:numFmt w:val="lowerLetter"/>
      <w:start w:val="2"/>
    </w:lvl>
  </w:abstractNum>
  <w:abstractNum w:abstractNumId="11">
    <w:nsid w:val="41A7C4C9"/>
    <w:multiLevelType w:val="hybridMultilevel"/>
    <w:lvl w:ilvl="0">
      <w:lvlJc w:val="left"/>
      <w:lvlText w:val="(%1)"/>
      <w:numFmt w:val="lowerLetter"/>
      <w:start w:val="1"/>
    </w:lvl>
  </w:abstractNum>
  <w:abstractNum w:abstractNumId="12">
    <w:nsid w:val="6B68079A"/>
    <w:multiLevelType w:val="hybridMultilevel"/>
    <w:lvl w:ilvl="0">
      <w:lvlJc w:val="left"/>
      <w:lvlText w:val="(%1)"/>
      <w:numFmt w:val="lowerLetter"/>
      <w:start w:val="3"/>
    </w:lvl>
  </w:abstractNum>
  <w:abstractNum w:abstractNumId="13">
    <w:nsid w:val="4E6AFB66"/>
    <w:multiLevelType w:val="hybridMultilevel"/>
    <w:lvl w:ilvl="0">
      <w:lvlJc w:val="left"/>
      <w:lvlText w:val="(%1)"/>
      <w:numFmt w:val="lowerLetter"/>
      <w:start w:val="6"/>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3"/>
    </w:lvl>
  </w:abstractNum>
  <w:abstractNum w:abstractNumId="17">
    <w:nsid w:val="3F2DBA31"/>
    <w:multiLevelType w:val="hybridMultilevel"/>
    <w:lvl w:ilvl="0">
      <w:lvlJc w:val="left"/>
      <w:lvlText w:val="(%1)"/>
      <w:numFmt w:val="lowerLetter"/>
      <w:start w:val="7"/>
    </w:lvl>
  </w:abstractNum>
  <w:abstractNum w:abstractNumId="18">
    <w:nsid w:val="7C83E458"/>
    <w:multiLevelType w:val="hybridMultilevel"/>
    <w:lvl w:ilvl="0">
      <w:lvlJc w:val="left"/>
      <w:lvlText w:val="(%1)"/>
      <w:numFmt w:val="lowerLetter"/>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2024-02-07T15:12:56Z</dcterms:created>
  <dcterms:modified xsi:type="dcterms:W3CDTF">2024-02-07T15:12:56Z</dcterms:modified>
</cp:coreProperties>
</file>