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2023</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44" w:lineRule="exact"/>
        <w:rPr>
          <w:sz w:val="24"/>
          <w:szCs w:val="24"/>
          <w:color w:val="auto"/>
        </w:rPr>
      </w:pPr>
    </w:p>
    <w:p>
      <w:pPr>
        <w:ind w:right="300"/>
        <w:spacing w:after="0" w:line="260"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Annual General Meeting of Shareholders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June 23, 2023, Pharvaris N.V. (the “Company”) held its Annual General Meeting of Shareholders (the “Annual General Meeting”).</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final results of each of the agenda items submitted to a vote of the shareholders are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3</w:t>
      </w:r>
      <w:r>
        <w:rPr>
          <w:rFonts w:ascii="Arial" w:cs="Arial" w:eastAsia="Arial" w:hAnsi="Arial"/>
          <w:sz w:val="18"/>
          <w:szCs w:val="18"/>
          <w:color w:val="auto"/>
        </w:rPr>
        <w:t>. Adoption of Dutch statutory annual accounts for the fiscal year ended December 31, 2022.</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shareholders adopted the Dutch statutory annual accounts for the fiscal year ended December 31, 2022.</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u w:val="single" w:color="auto"/>
          <w:color w:val="auto"/>
        </w:rPr>
        <w:t>Agenda Item 4</w:t>
      </w:r>
      <w:r>
        <w:rPr>
          <w:rFonts w:ascii="Arial" w:cs="Arial" w:eastAsia="Arial" w:hAnsi="Arial"/>
          <w:sz w:val="18"/>
          <w:szCs w:val="18"/>
          <w:color w:val="auto"/>
        </w:rPr>
        <w:t>. Instruction to PricewaterhouseCoopers Accountants N.V. for the external audit of the Company's statutory annual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ended December 31, 2023.</w:t>
      </w:r>
    </w:p>
    <w:p>
      <w:pPr>
        <w:spacing w:after="0" w:line="150" w:lineRule="exact"/>
        <w:rPr>
          <w:sz w:val="20"/>
          <w:szCs w:val="20"/>
          <w:color w:val="auto"/>
        </w:rPr>
      </w:pPr>
    </w:p>
    <w:p>
      <w:pPr>
        <w:ind w:left="520"/>
        <w:spacing w:after="0" w:line="260" w:lineRule="auto"/>
        <w:rPr>
          <w:sz w:val="20"/>
          <w:szCs w:val="20"/>
          <w:color w:val="auto"/>
        </w:rPr>
      </w:pPr>
      <w:r>
        <w:rPr>
          <w:rFonts w:ascii="Arial" w:cs="Arial" w:eastAsia="Arial" w:hAnsi="Arial"/>
          <w:sz w:val="18"/>
          <w:szCs w:val="18"/>
          <w:color w:val="auto"/>
        </w:rPr>
        <w:t>The Company’s shareholders instructed PricewaterhouseCoopers Accountants N.V. for the external audit of the Company's statutory annual accounts for the fiscal year ended December 31, 2023.</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u w:val="single" w:color="auto"/>
          <w:color w:val="auto"/>
        </w:rPr>
        <w:t>Agenda Item 5</w:t>
      </w:r>
      <w:r>
        <w:rPr>
          <w:rFonts w:ascii="Arial" w:cs="Arial" w:eastAsia="Arial" w:hAnsi="Arial"/>
          <w:sz w:val="18"/>
          <w:szCs w:val="18"/>
          <w:color w:val="auto"/>
        </w:rPr>
        <w:t>. Discharge from liability for the Company's directors with respect to the performance of their duties during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2022.</w:t>
      </w:r>
    </w:p>
    <w:p>
      <w:pPr>
        <w:spacing w:after="0" w:line="150" w:lineRule="exact"/>
        <w:rPr>
          <w:sz w:val="20"/>
          <w:szCs w:val="20"/>
          <w:color w:val="auto"/>
        </w:rPr>
      </w:pPr>
    </w:p>
    <w:p>
      <w:pPr>
        <w:ind w:left="520"/>
        <w:spacing w:after="0" w:line="260" w:lineRule="auto"/>
        <w:rPr>
          <w:sz w:val="20"/>
          <w:szCs w:val="20"/>
          <w:color w:val="auto"/>
        </w:rPr>
      </w:pPr>
      <w:r>
        <w:rPr>
          <w:rFonts w:ascii="Arial" w:cs="Arial" w:eastAsia="Arial" w:hAnsi="Arial"/>
          <w:sz w:val="18"/>
          <w:szCs w:val="18"/>
          <w:color w:val="auto"/>
        </w:rPr>
        <w:t>The Company’s shareholders discharged the Company’s directors from liability with respect to the performance of their duties during the fiscal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7</w:t>
      </w:r>
      <w:r>
        <w:rPr>
          <w:rFonts w:ascii="Arial" w:cs="Arial" w:eastAsia="Arial" w:hAnsi="Arial"/>
          <w:sz w:val="18"/>
          <w:szCs w:val="18"/>
          <w:color w:val="auto"/>
        </w:rPr>
        <w:t>. Extension of authorization for the Board to acquire shares and depository receipts for shares in the Company's capital.</w:t>
      </w:r>
    </w:p>
    <w:p>
      <w:pPr>
        <w:spacing w:after="0" w:line="208" w:lineRule="exact"/>
        <w:rPr>
          <w:sz w:val="20"/>
          <w:szCs w:val="20"/>
          <w:color w:val="auto"/>
        </w:rPr>
      </w:pPr>
    </w:p>
    <w:p>
      <w:pPr>
        <w:ind w:left="520"/>
        <w:spacing w:after="0" w:line="260" w:lineRule="auto"/>
        <w:rPr>
          <w:sz w:val="20"/>
          <w:szCs w:val="20"/>
          <w:color w:val="auto"/>
        </w:rPr>
      </w:pPr>
      <w:r>
        <w:rPr>
          <w:rFonts w:ascii="Arial" w:cs="Arial" w:eastAsia="Arial" w:hAnsi="Arial"/>
          <w:sz w:val="18"/>
          <w:szCs w:val="18"/>
          <w:color w:val="auto"/>
        </w:rPr>
        <w:t>The Company’s shareholders extended the authorization to the Board to acquire shares and depository receipts for shares in the Company's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40" w:type="dxa"/>
            <w:vAlign w:val="bottom"/>
          </w:tcPr>
          <w:p>
            <w:pPr>
              <w:spacing w:after="0"/>
              <w:rPr>
                <w:sz w:val="21"/>
                <w:szCs w:val="21"/>
                <w:color w:val="auto"/>
              </w:rPr>
            </w:pPr>
          </w:p>
        </w:tc>
        <w:tc>
          <w:tcPr>
            <w:tcW w:w="7600" w:type="dxa"/>
            <w:vAlign w:val="bottom"/>
            <w:gridSpan w:val="2"/>
          </w:tcPr>
          <w:p>
            <w:pPr>
              <w:ind w:left="198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640" w:type="dxa"/>
            <w:vAlign w:val="bottom"/>
          </w:tcPr>
          <w:p>
            <w:pPr>
              <w:ind w:left="20"/>
              <w:spacing w:after="0"/>
              <w:rPr>
                <w:sz w:val="20"/>
                <w:szCs w:val="20"/>
                <w:color w:val="auto"/>
              </w:rPr>
            </w:pPr>
            <w:r>
              <w:rPr>
                <w:rFonts w:ascii="Arial" w:cs="Arial" w:eastAsia="Arial" w:hAnsi="Arial"/>
                <w:sz w:val="18"/>
                <w:szCs w:val="18"/>
                <w:color w:val="auto"/>
              </w:rPr>
              <w:t>Date: June 23, 2023</w:t>
            </w:r>
          </w:p>
        </w:tc>
        <w:tc>
          <w:tcPr>
            <w:tcW w:w="2920" w:type="dxa"/>
            <w:vAlign w:val="bottom"/>
          </w:tcPr>
          <w:p>
            <w:pPr>
              <w:ind w:left="19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0"/>
        </w:trPr>
        <w:tc>
          <w:tcPr>
            <w:tcW w:w="3640" w:type="dxa"/>
            <w:vAlign w:val="bottom"/>
          </w:tcPr>
          <w:p>
            <w:pPr>
              <w:spacing w:after="0"/>
              <w:rPr>
                <w:sz w:val="19"/>
                <w:szCs w:val="19"/>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43"/>
        </w:trPr>
        <w:tc>
          <w:tcPr>
            <w:tcW w:w="3640" w:type="dxa"/>
            <w:vAlign w:val="bottom"/>
          </w:tcPr>
          <w:p>
            <w:pPr>
              <w:spacing w:after="0"/>
              <w:rPr>
                <w:sz w:val="21"/>
                <w:szCs w:val="21"/>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44"/>
        </w:trPr>
        <w:tc>
          <w:tcPr>
            <w:tcW w:w="36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2023-06-23T09:33:42Z</dcterms:created>
  <dcterms:modified xsi:type="dcterms:W3CDTF">2023-06-23T09:33:42Z</dcterms:modified>
</cp:coreProperties>
</file>