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Lu Peng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CRANBERRY HILL SUITE 400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LEXINGTON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Pharvaris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PHVS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1016"/>
        <w:gridCol w:w="453"/>
        <w:gridCol w:w="669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2.59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164,953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64,953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13,308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13,308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2.59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09/17/2026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86,692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03/03/2030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86,692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45,308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25% of the option vested on February 3, 2021 with the remaining shares vesting in 1/48 monthly installments thereafter.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Marnus Nel, Attorney-in-Fact for Peng Lu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2159" TargetMode="External"/><Relationship Id="rId5" Type="http://schemas.openxmlformats.org/officeDocument/2006/relationships/hyperlink" Target="http://www.sec.gov/cgi-bin/browse-edgar?action=getcompany&amp;CIK=00018304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626</Words>
  <Characters>3364</Characters>
  <CharactersWithSpaces>3891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