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294005</wp:posOffset>
            </wp:positionV>
            <wp:extent cx="7132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34290"/>
                    </a:xfrm>
                    <a:prstGeom prst="rect">
                      <a:avLst/>
                    </a:prstGeom>
                    <a:noFill/>
                  </pic:spPr>
                </pic:pic>
              </a:graphicData>
            </a:graphic>
          </wp:anchor>
        </w:drawing>
        <w:t>UNITED STATES</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1910080</wp:posOffset>
            </wp:positionH>
            <wp:positionV relativeFrom="paragraph">
              <wp:posOffset>125095</wp:posOffset>
            </wp:positionV>
            <wp:extent cx="332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3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1910080</wp:posOffset>
            </wp:positionH>
            <wp:positionV relativeFrom="paragraph">
              <wp:posOffset>160020</wp:posOffset>
            </wp:positionV>
            <wp:extent cx="332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REPORT OF FOREIGN PRIVATE ISSUER</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 the month of May 2023</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1910080</wp:posOffset>
            </wp:positionH>
            <wp:positionV relativeFrom="paragraph">
              <wp:posOffset>139700</wp:posOffset>
            </wp:positionV>
            <wp:extent cx="332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39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Pharvaris N.V.</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1910080</wp:posOffset>
            </wp:positionH>
            <wp:positionV relativeFrom="paragraph">
              <wp:posOffset>148590</wp:posOffset>
            </wp:positionV>
            <wp:extent cx="332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Emmy Noetherweg 2</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2333 BK Leiden</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The Netherlands</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2" w:lineRule="exact"/>
        <w:rPr>
          <w:sz w:val="24"/>
          <w:szCs w:val="24"/>
          <w:color w:val="auto"/>
        </w:rPr>
      </w:pPr>
    </w:p>
    <w:p>
      <w:pPr>
        <w:ind w:right="100"/>
        <w:spacing w:after="0" w:line="284"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32" w:lineRule="exact"/>
        <w:rPr>
          <w:sz w:val="24"/>
          <w:szCs w:val="24"/>
          <w:color w:val="auto"/>
        </w:rPr>
      </w:pPr>
    </w:p>
    <w:p>
      <w:pPr>
        <w:spacing w:after="0" w:line="255"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717"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May 8, 2023, Pharvaris N.V. issued a press release reporting financial results and other business updates for the first quarter of 2023.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333-263198)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6"/>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80" w:type="dxa"/>
            <w:vAlign w:val="bottom"/>
            <w:gridSpan w:val="4"/>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39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8"/>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8"/>
        </w:trPr>
        <w:tc>
          <w:tcPr>
            <w:tcW w:w="1040" w:type="dxa"/>
            <w:vAlign w:val="bottom"/>
          </w:tcPr>
          <w:p>
            <w:pPr>
              <w:ind w:left="20"/>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Press Release, dated May 8, 2023 (Financial results).</w:t>
            </w:r>
          </w:p>
        </w:tc>
        <w:tc>
          <w:tcPr>
            <w:tcW w:w="6240" w:type="dxa"/>
            <w:vAlign w:val="bottom"/>
            <w:gridSpan w:val="3"/>
          </w:tcPr>
          <w:p>
            <w:pPr>
              <w:spacing w:after="0"/>
              <w:rPr>
                <w:sz w:val="16"/>
                <w:szCs w:val="16"/>
                <w:color w:val="auto"/>
              </w:rPr>
            </w:pPr>
          </w:p>
        </w:tc>
      </w:tr>
      <w:tr>
        <w:trPr>
          <w:trHeight w:val="410"/>
        </w:trPr>
        <w:tc>
          <w:tcPr>
            <w:tcW w:w="1040" w:type="dxa"/>
            <w:vAlign w:val="bottom"/>
          </w:tcPr>
          <w:p>
            <w:pPr>
              <w:ind w:left="20"/>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 as of and for the Three Months Ended March 31,</w:t>
            </w:r>
          </w:p>
        </w:tc>
      </w:tr>
      <w:tr>
        <w:trPr>
          <w:trHeight w:val="168"/>
        </w:trPr>
        <w:tc>
          <w:tcPr>
            <w:tcW w:w="10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8" w:lineRule="exact"/>
              <w:rPr>
                <w:sz w:val="20"/>
                <w:szCs w:val="20"/>
                <w:color w:val="auto"/>
              </w:rPr>
            </w:pPr>
            <w:r>
              <w:rPr>
                <w:rFonts w:ascii="Arial" w:cs="Arial" w:eastAsia="Arial" w:hAnsi="Arial"/>
                <w:sz w:val="16"/>
                <w:szCs w:val="16"/>
                <w:color w:val="0000FF"/>
                <w:w w:val="94"/>
              </w:rPr>
              <w:t>2023.</w:t>
            </w:r>
          </w:p>
        </w:tc>
        <w:tc>
          <w:tcPr>
            <w:tcW w:w="3440" w:type="dxa"/>
            <w:vAlign w:val="bottom"/>
            <w:tcBorders>
              <w:top w:val="single" w:sz="8" w:color="0000FF"/>
            </w:tcBorders>
          </w:tcPr>
          <w:p>
            <w:pPr>
              <w:spacing w:after="0"/>
              <w:rPr>
                <w:sz w:val="14"/>
                <w:szCs w:val="14"/>
                <w:color w:val="auto"/>
              </w:rPr>
            </w:pPr>
          </w:p>
        </w:tc>
        <w:tc>
          <w:tcPr>
            <w:tcW w:w="47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r>
      <w:tr>
        <w:trPr>
          <w:trHeight w:val="410"/>
        </w:trPr>
        <w:tc>
          <w:tcPr>
            <w:tcW w:w="1040" w:type="dxa"/>
            <w:vAlign w:val="bottom"/>
          </w:tcPr>
          <w:p>
            <w:pPr>
              <w:ind w:left="20"/>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6"/>
                <w:szCs w:val="16"/>
                <w:color w:val="0000FF"/>
              </w:rPr>
              <w:t>Unaudited Condensed Consolidated Interim Financial Statements as of and for the Three Months Ended March 31, 2023</w:t>
            </w:r>
            <w:r>
              <w:rPr>
                <w:rFonts w:ascii="Arial" w:cs="Arial" w:eastAsia="Arial" w:hAnsi="Arial"/>
                <w:sz w:val="16"/>
                <w:szCs w:val="16"/>
                <w:color w:val="000000"/>
              </w:rPr>
              <w:t>.</w:t>
            </w:r>
          </w:p>
        </w:tc>
      </w:tr>
      <w:tr>
        <w:trPr>
          <w:trHeight w:val="565"/>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440" w:type="dxa"/>
            <w:vAlign w:val="bottom"/>
            <w:tcBorders>
              <w:top w:val="single" w:sz="8" w:color="0000FF"/>
              <w:bottom w:val="single" w:sz="8" w:color="9A9A9A"/>
            </w:tcBorders>
          </w:tcPr>
          <w:p>
            <w:pPr>
              <w:spacing w:after="0"/>
              <w:rPr>
                <w:sz w:val="24"/>
                <w:szCs w:val="24"/>
                <w:color w:val="auto"/>
              </w:rPr>
            </w:pPr>
          </w:p>
        </w:tc>
        <w:tc>
          <w:tcPr>
            <w:tcW w:w="4760" w:type="dxa"/>
            <w:vAlign w:val="bottom"/>
            <w:tcBorders>
              <w:top w:val="single" w:sz="8" w:color="0000FF"/>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1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00" w:type="dxa"/>
            <w:vAlign w:val="bottom"/>
          </w:tcPr>
          <w:p>
            <w:pPr>
              <w:spacing w:after="0"/>
              <w:rPr>
                <w:sz w:val="21"/>
                <w:szCs w:val="21"/>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PHARVARIS N.V.</w:t>
            </w:r>
          </w:p>
        </w:tc>
      </w:tr>
      <w:tr>
        <w:trPr>
          <w:trHeight w:val="425"/>
        </w:trPr>
        <w:tc>
          <w:tcPr>
            <w:tcW w:w="3500" w:type="dxa"/>
            <w:vAlign w:val="bottom"/>
          </w:tcPr>
          <w:p>
            <w:pPr>
              <w:ind w:left="20"/>
              <w:spacing w:after="0"/>
              <w:rPr>
                <w:sz w:val="20"/>
                <w:szCs w:val="20"/>
                <w:color w:val="auto"/>
              </w:rPr>
            </w:pPr>
            <w:r>
              <w:rPr>
                <w:rFonts w:ascii="Arial" w:cs="Arial" w:eastAsia="Arial" w:hAnsi="Arial"/>
                <w:sz w:val="16"/>
                <w:szCs w:val="16"/>
                <w:color w:val="auto"/>
              </w:rPr>
              <w:t>Date: May 8, 2023</w:t>
            </w:r>
          </w:p>
        </w:tc>
        <w:tc>
          <w:tcPr>
            <w:tcW w:w="2860" w:type="dxa"/>
            <w:vAlign w:val="bottom"/>
          </w:tcPr>
          <w:p>
            <w:pPr>
              <w:ind w:left="214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14"/>
        </w:trPr>
        <w:tc>
          <w:tcPr>
            <w:tcW w:w="3500" w:type="dxa"/>
            <w:vAlign w:val="bottom"/>
          </w:tcPr>
          <w:p>
            <w:pPr>
              <w:spacing w:after="0"/>
              <w:rPr>
                <w:sz w:val="18"/>
                <w:szCs w:val="18"/>
                <w:color w:val="auto"/>
              </w:rPr>
            </w:pPr>
          </w:p>
        </w:tc>
        <w:tc>
          <w:tcPr>
            <w:tcW w:w="2860" w:type="dxa"/>
            <w:vAlign w:val="bottom"/>
          </w:tcPr>
          <w:p>
            <w:pPr>
              <w:ind w:left="2140"/>
              <w:spacing w:after="0"/>
              <w:rPr>
                <w:sz w:val="20"/>
                <w:szCs w:val="20"/>
                <w:color w:val="auto"/>
              </w:rPr>
            </w:pPr>
            <w:r>
              <w:rPr>
                <w:rFonts w:ascii="Arial" w:cs="Arial" w:eastAsia="Arial" w:hAnsi="Arial"/>
                <w:sz w:val="16"/>
                <w:szCs w:val="16"/>
                <w:color w:val="auto"/>
              </w:rPr>
              <w:t>Name:</w:t>
            </w:r>
          </w:p>
        </w:tc>
        <w:tc>
          <w:tcPr>
            <w:tcW w:w="488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5"/>
        </w:trPr>
        <w:tc>
          <w:tcPr>
            <w:tcW w:w="3500" w:type="dxa"/>
            <w:vAlign w:val="bottom"/>
          </w:tcPr>
          <w:p>
            <w:pPr>
              <w:spacing w:after="0"/>
              <w:rPr>
                <w:sz w:val="18"/>
                <w:szCs w:val="18"/>
                <w:color w:val="auto"/>
              </w:rPr>
            </w:pPr>
          </w:p>
        </w:tc>
        <w:tc>
          <w:tcPr>
            <w:tcW w:w="2860" w:type="dxa"/>
            <w:vAlign w:val="bottom"/>
          </w:tcPr>
          <w:p>
            <w:pPr>
              <w:ind w:left="2140"/>
              <w:spacing w:after="0"/>
              <w:rPr>
                <w:sz w:val="20"/>
                <w:szCs w:val="20"/>
                <w:color w:val="auto"/>
              </w:rPr>
            </w:pPr>
            <w:r>
              <w:rPr>
                <w:rFonts w:ascii="Arial" w:cs="Arial" w:eastAsia="Arial" w:hAnsi="Arial"/>
                <w:sz w:val="16"/>
                <w:szCs w:val="16"/>
                <w:color w:val="auto"/>
              </w:rPr>
              <w:t>Title:</w:t>
            </w:r>
          </w:p>
        </w:tc>
        <w:tc>
          <w:tcPr>
            <w:tcW w:w="48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547"/>
        </w:trPr>
        <w:tc>
          <w:tcPr>
            <w:tcW w:w="35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5139055</wp:posOffset>
            </wp:positionH>
            <wp:positionV relativeFrom="paragraph">
              <wp:posOffset>160655</wp:posOffset>
            </wp:positionV>
            <wp:extent cx="1973580" cy="290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3580" cy="29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Reports First Quarter 2023 Financial Results and Provides Business Update</w:t>
      </w:r>
    </w:p>
    <w:p>
      <w:pPr>
        <w:spacing w:after="0" w:line="126" w:lineRule="exact"/>
        <w:rPr>
          <w:sz w:val="20"/>
          <w:szCs w:val="20"/>
          <w:color w:val="auto"/>
        </w:rPr>
      </w:pPr>
    </w:p>
    <w:p>
      <w:pPr>
        <w:ind w:left="600" w:right="460" w:hanging="293"/>
        <w:spacing w:after="0" w:line="284" w:lineRule="auto"/>
        <w:tabs>
          <w:tab w:leader="none" w:pos="60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Top-line data from CHAPTER-1, a proof-of-concept Phase 2 study of PHVS416 (immediate-release deucrictibant capsules) for the prophylactic treatment of HAE, anticipated by YE2023</w:t>
      </w:r>
    </w:p>
    <w:p>
      <w:pPr>
        <w:spacing w:after="0" w:line="48" w:lineRule="exact"/>
        <w:rPr>
          <w:rFonts w:ascii="Times New Roman" w:cs="Times New Roman" w:eastAsia="Times New Roman" w:hAnsi="Times New Roman"/>
          <w:sz w:val="16"/>
          <w:szCs w:val="16"/>
          <w:color w:val="auto"/>
        </w:rPr>
      </w:pPr>
    </w:p>
    <w:p>
      <w:pPr>
        <w:ind w:left="600" w:hanging="293"/>
        <w:spacing w:after="0"/>
        <w:tabs>
          <w:tab w:leader="none" w:pos="60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Executing from a strong financial position with cash and cash equivalents of €135 million as of March 31, 2023</w:t>
      </w:r>
    </w:p>
    <w:p>
      <w:pPr>
        <w:spacing w:after="0" w:line="205"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b w:val="1"/>
          <w:bCs w:val="1"/>
          <w:color w:val="auto"/>
        </w:rPr>
        <w:t xml:space="preserve">Zug, Switzerland, May 8, 2023 </w:t>
      </w:r>
      <w:r>
        <w:rPr>
          <w:rFonts w:ascii="Arial" w:cs="Arial" w:eastAsia="Arial" w:hAnsi="Arial"/>
          <w:sz w:val="16"/>
          <w:szCs w:val="16"/>
          <w:color w:val="auto"/>
        </w:rPr>
        <w:t>– Pharvaris (Nasdaq: PHVS), a clinical-stage company developing novel, oral bradykinin-B2-receptor antagonists to treat</w:t>
      </w:r>
      <w:r>
        <w:rPr>
          <w:rFonts w:ascii="Arial" w:cs="Arial" w:eastAsia="Arial" w:hAnsi="Arial"/>
          <w:sz w:val="16"/>
          <w:szCs w:val="16"/>
          <w:b w:val="1"/>
          <w:bCs w:val="1"/>
          <w:color w:val="auto"/>
        </w:rPr>
        <w:t xml:space="preserve"> </w:t>
      </w:r>
      <w:r>
        <w:rPr>
          <w:rFonts w:ascii="Arial" w:cs="Arial" w:eastAsia="Arial" w:hAnsi="Arial"/>
          <w:sz w:val="16"/>
          <w:szCs w:val="16"/>
          <w:color w:val="auto"/>
        </w:rPr>
        <w:t>and prevent hereditary angioedema (HAE) attacks, today reported financial results for the first quarter ended March 31, 2023 and provided a business update.</w:t>
      </w:r>
    </w:p>
    <w:p>
      <w:pPr>
        <w:spacing w:after="0" w:line="14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“The Pharvaris team has made strong progress advancing our key studies and initiatives toward meaningful year-end milestones, including the anticipated reporting of topline CHAPTER-1 data and the submission of newly generated non-clinical toxicology data to the FDA to address the clinical holds in the U.S.,” said Berndt Modig, Chief Executive Officer of Pharvaris. “The data </w:t>
      </w:r>
      <w:r>
        <w:rPr>
          <w:rFonts w:ascii="Arial" w:cs="Arial" w:eastAsia="Arial" w:hAnsi="Arial"/>
          <w:sz w:val="16"/>
          <w:szCs w:val="16"/>
          <w:u w:val="single" w:color="auto"/>
          <w:color w:val="auto"/>
        </w:rPr>
        <w:t>presented</w:t>
      </w:r>
      <w:r>
        <w:rPr>
          <w:rFonts w:ascii="Arial" w:cs="Arial" w:eastAsia="Arial" w:hAnsi="Arial"/>
          <w:sz w:val="16"/>
          <w:szCs w:val="16"/>
          <w:color w:val="auto"/>
        </w:rPr>
        <w:t xml:space="preserve"> at the C1-inhibitor Deficiency and Angioedema Workshop provide additional insights into the therapeutic profile of deucrictibant as potential treatment for HAE and other bradykinin-mediated diseases.”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Updates</w:t>
      </w:r>
    </w:p>
    <w:p>
      <w:pPr>
        <w:spacing w:after="0" w:line="112" w:lineRule="exact"/>
        <w:rPr>
          <w:sz w:val="20"/>
          <w:szCs w:val="20"/>
          <w:color w:val="auto"/>
        </w:rPr>
      </w:pPr>
    </w:p>
    <w:p>
      <w:pPr>
        <w:ind w:left="600" w:right="120" w:hanging="293"/>
        <w:spacing w:after="0" w:line="258" w:lineRule="auto"/>
        <w:tabs>
          <w:tab w:leader="none" w:pos="60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Top-line data from CHAPTER-1, a global Phase 2 study of PHVS416 (immediate-release deucrictibant capsules) for the prophylactic treatment of HAE attacks, anticipated by YE2023. </w:t>
      </w:r>
      <w:r>
        <w:rPr>
          <w:rFonts w:ascii="Arial" w:cs="Arial" w:eastAsia="Arial" w:hAnsi="Arial"/>
          <w:sz w:val="16"/>
          <w:szCs w:val="16"/>
          <w:color w:val="auto"/>
        </w:rPr>
        <w:t>CHAPTER-1 is currently on hold in the U.S. All CHAPTER-1 sites outside of the U.S.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recruit participants in the study. Based on the Company’s current assessment of the ex-U.S. regulatory status and enrollment rates, Pharvaris anticipates announcing top-line data by the end of 2023.</w:t>
      </w:r>
    </w:p>
    <w:p>
      <w:pPr>
        <w:spacing w:after="0" w:line="69" w:lineRule="exact"/>
        <w:rPr>
          <w:rFonts w:ascii="Times New Roman" w:cs="Times New Roman" w:eastAsia="Times New Roman" w:hAnsi="Times New Roman"/>
          <w:sz w:val="16"/>
          <w:szCs w:val="16"/>
          <w:color w:val="auto"/>
        </w:rPr>
      </w:pPr>
    </w:p>
    <w:p>
      <w:pPr>
        <w:ind w:left="600" w:right="180" w:hanging="293"/>
        <w:spacing w:after="0" w:line="264" w:lineRule="auto"/>
        <w:tabs>
          <w:tab w:leader="none" w:pos="60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Non-clinical toxicology study ongoing. </w:t>
      </w:r>
      <w:r>
        <w:rPr>
          <w:rFonts w:ascii="Arial" w:cs="Arial" w:eastAsia="Arial" w:hAnsi="Arial"/>
          <w:sz w:val="16"/>
          <w:szCs w:val="16"/>
          <w:color w:val="auto"/>
        </w:rPr>
        <w:t>A 26-week rodent toxicology study, which is intended to provide additional data to address the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holds in the U.S., is ongoing; the results from which Pharvaris anticipates submitting to the U.S. Food and Drug Administration (FDA) by the end of 2023.</w:t>
      </w:r>
    </w:p>
    <w:p>
      <w:pPr>
        <w:spacing w:after="0" w:line="64" w:lineRule="exact"/>
        <w:rPr>
          <w:rFonts w:ascii="Times New Roman" w:cs="Times New Roman" w:eastAsia="Times New Roman" w:hAnsi="Times New Roman"/>
          <w:sz w:val="16"/>
          <w:szCs w:val="16"/>
          <w:color w:val="auto"/>
        </w:rPr>
      </w:pPr>
    </w:p>
    <w:p>
      <w:pPr>
        <w:ind w:left="600" w:right="180" w:hanging="293"/>
        <w:spacing w:after="0" w:line="258" w:lineRule="auto"/>
        <w:tabs>
          <w:tab w:leader="none" w:pos="60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Clinical and non-clinical deucrictibant data presented at a recent medical meeting supports ongoing clinical development. </w:t>
      </w:r>
      <w:r>
        <w:rPr>
          <w:rFonts w:ascii="Arial" w:cs="Arial" w:eastAsia="Arial" w:hAnsi="Arial"/>
          <w:sz w:val="16"/>
          <w:szCs w:val="16"/>
          <w:color w:val="auto"/>
        </w:rPr>
        <w:t>Pharvaris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presented data from clinical and non-clinical studies in two oral and three poster presentations at the 13th C1-inhibitor Deficiency and Angioedema Workshop, which was held from May 4-7, 2023, in Budapest, Hungary. Details of the presentations were included in a recent press release. The posters and slides from the oral presentations are available on the Investors section of the Pharvaris </w:t>
      </w:r>
      <w:r>
        <w:rPr>
          <w:rFonts w:ascii="Arial" w:cs="Arial" w:eastAsia="Arial" w:hAnsi="Arial"/>
          <w:sz w:val="16"/>
          <w:szCs w:val="16"/>
          <w:u w:val="single" w:color="auto"/>
          <w:color w:val="auto"/>
        </w:rPr>
        <w:t>website</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2023 Financial Results</w:t>
      </w:r>
    </w:p>
    <w:p>
      <w:pPr>
        <w:spacing w:after="0" w:line="112" w:lineRule="exact"/>
        <w:rPr>
          <w:sz w:val="20"/>
          <w:szCs w:val="20"/>
          <w:color w:val="auto"/>
        </w:rPr>
      </w:pPr>
    </w:p>
    <w:p>
      <w:pPr>
        <w:ind w:left="600" w:hanging="293"/>
        <w:spacing w:after="0"/>
        <w:tabs>
          <w:tab w:leader="none" w:pos="60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Cash and cash equivalents were €135 million as of March 31, 2023, compared to €162 million for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ind w:left="600" w:right="40" w:hanging="293"/>
        <w:spacing w:after="0" w:line="284" w:lineRule="auto"/>
        <w:tabs>
          <w:tab w:leader="none" w:pos="6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R&amp;D expenses were €13.7 million for the quarter ended March 31, 2023, compared to €13.5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quarter ended March 31, 2022.</w:t>
      </w:r>
    </w:p>
    <w:p>
      <w:pPr>
        <w:spacing w:after="0" w:line="48" w:lineRule="exact"/>
        <w:rPr>
          <w:rFonts w:ascii="Times New Roman" w:cs="Times New Roman" w:eastAsia="Times New Roman" w:hAnsi="Times New Roman"/>
          <w:sz w:val="16"/>
          <w:szCs w:val="16"/>
          <w:color w:val="auto"/>
        </w:rPr>
      </w:pPr>
    </w:p>
    <w:p>
      <w:pPr>
        <w:ind w:left="600" w:hanging="293"/>
        <w:spacing w:after="0" w:line="284" w:lineRule="auto"/>
        <w:tabs>
          <w:tab w:leader="none" w:pos="6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General and Administrative (G&amp;A) Expenses</w:t>
      </w:r>
      <w:r>
        <w:rPr>
          <w:rFonts w:ascii="Arial" w:cs="Arial" w:eastAsia="Arial" w:hAnsi="Arial"/>
          <w:sz w:val="16"/>
          <w:szCs w:val="16"/>
          <w:color w:val="auto"/>
        </w:rPr>
        <w:t>. G&amp;A expenses were €7.3 million for the quarter ended March 31, 2023, compared to €5.9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quarter ended March 31, 2022.</w:t>
      </w:r>
    </w:p>
    <w:p>
      <w:pPr>
        <w:spacing w:after="0" w:line="48" w:lineRule="exact"/>
        <w:rPr>
          <w:rFonts w:ascii="Times New Roman" w:cs="Times New Roman" w:eastAsia="Times New Roman" w:hAnsi="Times New Roman"/>
          <w:sz w:val="16"/>
          <w:szCs w:val="16"/>
          <w:color w:val="auto"/>
        </w:rPr>
      </w:pPr>
    </w:p>
    <w:p>
      <w:pPr>
        <w:ind w:left="600" w:right="100" w:hanging="293"/>
        <w:spacing w:after="0" w:line="284" w:lineRule="auto"/>
        <w:tabs>
          <w:tab w:leader="none" w:pos="6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Loss for the year. </w:t>
      </w:r>
      <w:r>
        <w:rPr>
          <w:rFonts w:ascii="Arial" w:cs="Arial" w:eastAsia="Arial" w:hAnsi="Arial"/>
          <w:sz w:val="16"/>
          <w:szCs w:val="16"/>
          <w:color w:val="auto"/>
        </w:rPr>
        <w:t>Loss for the first quarter was €22.6 million, resulting in basic and diluted loss per share of €0.67, for the quarter ended March 31,</w:t>
      </w:r>
      <w:r>
        <w:rPr>
          <w:rFonts w:ascii="Arial" w:cs="Arial" w:eastAsia="Arial" w:hAnsi="Arial"/>
          <w:sz w:val="16"/>
          <w:szCs w:val="16"/>
          <w:b w:val="1"/>
          <w:bCs w:val="1"/>
          <w:color w:val="auto"/>
        </w:rPr>
        <w:t xml:space="preserve"> </w:t>
      </w:r>
      <w:r>
        <w:rPr>
          <w:rFonts w:ascii="Arial" w:cs="Arial" w:eastAsia="Arial" w:hAnsi="Arial"/>
          <w:sz w:val="16"/>
          <w:szCs w:val="16"/>
          <w:color w:val="auto"/>
        </w:rPr>
        <w:t>2023, compared to €16.0 million, or basic and diluted loss per share of €0.48, for the quarter ended March 31,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Upcoming Events</w:t>
      </w:r>
    </w:p>
    <w:p>
      <w:pPr>
        <w:spacing w:after="0" w:line="2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color w:val="auto"/>
        </w:rPr>
        <w:t xml:space="preserve">BofA Securities 2023 Healthcare Conference. </w:t>
      </w:r>
      <w:r>
        <w:rPr>
          <w:rFonts w:ascii="Arial" w:cs="Arial" w:eastAsia="Arial" w:hAnsi="Arial"/>
          <w:sz w:val="16"/>
          <w:szCs w:val="16"/>
          <w:color w:val="auto"/>
        </w:rPr>
        <w:t>Las Vegas, May 9-11, 2023. Morgan Conn, Ph.D., Chief Business Officer, and Wim Souverijns, Ph.D., Chief</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Community Engagement and Commercial Officer, will present a corporate overview on Wednesday, May 10, at 4:35 p.m. PDT (Thursday, May 11, at 1:35 a.m. CEST). A live audio webcast will be available on the Investors section of the Pharvaris website at https://ir.pharvaris.com/news-events/events-presentations. A replay will be available on Pharvaris’ website for 90 days following the fireside chat.</w:t>
      </w:r>
    </w:p>
    <w:p>
      <w:pPr>
        <w:spacing w:after="0" w:line="15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color w:val="auto"/>
        </w:rPr>
        <w:t xml:space="preserve">European Academy of Allergy &amp; Clinical Immunology (EAACI) Hybrid Congress 2023. </w:t>
      </w:r>
      <w:r>
        <w:rPr>
          <w:rFonts w:ascii="Arial" w:cs="Arial" w:eastAsia="Arial" w:hAnsi="Arial"/>
          <w:sz w:val="16"/>
          <w:szCs w:val="16"/>
          <w:color w:val="auto"/>
        </w:rPr>
        <w:t>Hamburg, Germany, June 9-11, 2023. Two abstracts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for presentation during the “flash talks on angioedema” Flash Talks:</w:t>
      </w:r>
    </w:p>
    <w:p>
      <w:pPr>
        <w:spacing w:after="0" w:line="49" w:lineRule="exact"/>
        <w:rPr>
          <w:sz w:val="20"/>
          <w:szCs w:val="20"/>
          <w:color w:val="auto"/>
        </w:rPr>
      </w:pPr>
    </w:p>
    <w:p>
      <w:pPr>
        <w:ind w:left="600" w:hanging="293"/>
        <w:spacing w:after="0"/>
        <w:tabs>
          <w:tab w:leader="none" w:pos="60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Treatment with Oral Administered Bradykinin B2 Receptor Inhibitor PHVS416 Improves Hereditary Angioedema Attack Symptoms</w:t>
      </w:r>
    </w:p>
    <w:p>
      <w:pPr>
        <w:spacing w:after="0" w:line="19"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Abstract Number: </w:t>
      </w:r>
      <w:r>
        <w:rPr>
          <w:rFonts w:ascii="Arial" w:cs="Arial" w:eastAsia="Arial" w:hAnsi="Arial"/>
          <w:sz w:val="16"/>
          <w:szCs w:val="16"/>
          <w:color w:val="auto"/>
        </w:rPr>
        <w:t>001557</w:t>
      </w:r>
    </w:p>
    <w:p>
      <w:pPr>
        <w:spacing w:after="0" w:line="4"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Date/Time: </w:t>
      </w:r>
      <w:r>
        <w:rPr>
          <w:rFonts w:ascii="Arial" w:cs="Arial" w:eastAsia="Arial" w:hAnsi="Arial"/>
          <w:sz w:val="16"/>
          <w:szCs w:val="16"/>
          <w:color w:val="auto"/>
        </w:rPr>
        <w:t>Sunday, June 11, 14:10 CEST (8:10 a.m. EDT)</w:t>
      </w:r>
    </w:p>
    <w:p>
      <w:pPr>
        <w:spacing w:after="0" w:line="4"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Presenter: </w:t>
      </w:r>
      <w:r>
        <w:rPr>
          <w:rFonts w:ascii="Arial" w:cs="Arial" w:eastAsia="Arial" w:hAnsi="Arial"/>
          <w:sz w:val="16"/>
          <w:szCs w:val="16"/>
          <w:color w:val="auto"/>
        </w:rPr>
        <w:t>Emel Aygören-Pürsün, M.D., University Hospital Frankfurt</w:t>
      </w:r>
    </w:p>
    <w:p>
      <w:pPr>
        <w:spacing w:after="0" w:line="95" w:lineRule="exact"/>
        <w:rPr>
          <w:rFonts w:ascii="Times New Roman" w:cs="Times New Roman" w:eastAsia="Times New Roman" w:hAnsi="Times New Roman"/>
          <w:sz w:val="16"/>
          <w:szCs w:val="16"/>
          <w:color w:val="auto"/>
        </w:rPr>
      </w:pPr>
    </w:p>
    <w:p>
      <w:pPr>
        <w:ind w:left="600" w:right="160" w:hanging="293"/>
        <w:spacing w:after="0" w:line="255" w:lineRule="auto"/>
        <w:tabs>
          <w:tab w:leader="none" w:pos="60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Efficacy and Safety of Oral Administered Bradykinin B2 Receptor Inhibitor PHVS416 in Treatment of Hereditary Angioedema Attacks: Topline</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of RAPIDe-1 Phase 2 Trial</w:t>
      </w:r>
    </w:p>
    <w:p>
      <w:pPr>
        <w:ind w:left="600"/>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Abstract Number: </w:t>
      </w:r>
      <w:r>
        <w:rPr>
          <w:rFonts w:ascii="Arial" w:cs="Arial" w:eastAsia="Arial" w:hAnsi="Arial"/>
          <w:sz w:val="16"/>
          <w:szCs w:val="16"/>
          <w:color w:val="auto"/>
        </w:rPr>
        <w:t>001510</w:t>
      </w:r>
    </w:p>
    <w:p>
      <w:pPr>
        <w:spacing w:after="0" w:line="4"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Date/Time: </w:t>
      </w:r>
      <w:r>
        <w:rPr>
          <w:rFonts w:ascii="Arial" w:cs="Arial" w:eastAsia="Arial" w:hAnsi="Arial"/>
          <w:sz w:val="16"/>
          <w:szCs w:val="16"/>
          <w:color w:val="auto"/>
        </w:rPr>
        <w:t>Sunday, June 11, 14:30 CEST (8:30 a.m. EDT)</w:t>
      </w:r>
    </w:p>
    <w:p>
      <w:pPr>
        <w:spacing w:after="0" w:line="4"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Presenter: </w:t>
      </w:r>
      <w:r>
        <w:rPr>
          <w:rFonts w:ascii="Arial" w:cs="Arial" w:eastAsia="Arial" w:hAnsi="Arial"/>
          <w:sz w:val="16"/>
          <w:szCs w:val="16"/>
          <w:color w:val="auto"/>
        </w:rPr>
        <w:t>Marcus Maurer, M.D., Charité Universitätsmedizin Berlin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on International Financial Reporting Standards (IFRS)</w:t>
      </w:r>
    </w:p>
    <w:p>
      <w:pPr>
        <w:spacing w:after="0" w:line="2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PHVS416 (immediate-release deucrictibant capsules)</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PHVS416 (immediate-release deucrictibant capsules) is an investigational medicine intended to treat acute attacks of hereditary angioedema (HAE) containing deucrictibant, a highly potent, specific, and orally bioavailable competitive antagonist of the bradykinin B2 receptor. Pharvaris aims to develop this formulation to provide rapid and reliable symptom relief, through rapid exposure of attack-mitigating therapy in a convenient, small oral dosage form. PHVS416 is currently in Phase 2 clinical development outside the U.S. for the on-demand and proof-of-concept prophylactic treatment of HAE.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About PHVS719 (extended-release deucrictibant tablets)</w:t>
      </w:r>
    </w:p>
    <w:p>
      <w:pPr>
        <w:spacing w:after="0" w:line="2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PHVS719 (extended-release deucrictibant tablets) is an investigational medicine intended to prevent attacks of hereditary angioedema (HAE) containing deucrictibant, a highly potent, specific, and orally bioavailable competitive antagonist of the bradykinin B2 receptor. Pharvaris is developing this formulation to provide sustained exposure of attack-preventing medicine in a convenient, small oral dosage form. PHVS719 is currently in Phase 1 clinical development for the prophylactic treatment of HAE. In healthy volunteers, a single dose of PHVS719 was well tolerated with an extended-release profile supporting once-daily dosing.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Pharvaris</w:t>
      </w:r>
    </w:p>
    <w:p>
      <w:pPr>
        <w:spacing w:after="0" w:line="2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Building on its deep-seated roots in HAE, Pharvaris is a clinical-stage company developing novel, oral bradykinin-B2-receptor antagonists to treat and prevent HAE attacks. By directly targeting this clinically proven therapeutic target with novel small molecules, the Pharvaris team aspires to offer people with all sub-types of HAE safe, effective, and convenient alternatives to treat attacks, both on-demand and prophylactically. The company brings together the best talent in the industry with deep expertise in rare diseases and HAE. For more information, visit https://pharvaris.com/.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holds on deucrictibant clinical trials in the U.S.; the expected timing, progress, or success of our clinical development programs, especially for PHVS416 and PHVS719, which are in mid-stage global clinical trials and are currently on hold in the U.S. as a result of the clinical holds; risks arising from epidemic diseases, such as the COVID-19 pandemic, which may adversely impact our business, nonclinical studies, and clinical trials; the expected timing and results of the rodent toxicology study;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other factors described under the headings “Cautionary Statement Regarding Forward-Looking Statements” and “Item 3. Key Information—D. Risk Factors” in our Annual Report on Form 20-F and other periodic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6"/>
          <w:szCs w:val="16"/>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Maggie Beller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Head of Public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65"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months ended March 31, 2023 and 2022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2022, and the notes thereto, which appear in our Annual Report on Form 20-F for the year ended December 31, 2022 (the “Annual Report”) filed with the U.S. Securities and Exchange Commission (the “SEC”). In addition, we recommend that you read any public announcements made from time to time by Pharvaris N.V.</w:t>
      </w:r>
    </w:p>
    <w:p>
      <w:pPr>
        <w:spacing w:after="0" w:line="154" w:lineRule="exact"/>
        <w:rPr>
          <w:sz w:val="20"/>
          <w:szCs w:val="20"/>
          <w:color w:val="auto"/>
        </w:rPr>
      </w:pPr>
    </w:p>
    <w:p>
      <w:pPr>
        <w:jc w:val="both"/>
        <w:ind w:right="80" w:firstLine="374"/>
        <w:spacing w:after="0" w:line="258" w:lineRule="auto"/>
        <w:rPr>
          <w:sz w:val="20"/>
          <w:szCs w:val="20"/>
          <w:color w:val="auto"/>
        </w:rPr>
      </w:pPr>
      <w:r>
        <w:rPr>
          <w:rFonts w:ascii="Arial" w:cs="Arial" w:eastAsia="Arial" w:hAnsi="Arial"/>
          <w:sz w:val="16"/>
          <w:szCs w:val="16"/>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137" w:lineRule="exact"/>
        <w:rPr>
          <w:sz w:val="20"/>
          <w:szCs w:val="20"/>
          <w:color w:val="auto"/>
        </w:rPr>
      </w:pPr>
    </w:p>
    <w:p>
      <w:pPr>
        <w:ind w:right="140" w:firstLine="374"/>
        <w:spacing w:after="0" w:line="265"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w:t>
      </w:r>
    </w:p>
    <w:p>
      <w:pPr>
        <w:spacing w:after="0" w:line="130" w:lineRule="exact"/>
        <w:rPr>
          <w:sz w:val="20"/>
          <w:szCs w:val="20"/>
          <w:color w:val="auto"/>
        </w:rPr>
      </w:pPr>
    </w:p>
    <w:p>
      <w:pPr>
        <w:ind w:right="300" w:firstLine="374"/>
        <w:spacing w:after="0" w:line="284"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2"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convenience that is superior to current standard-of-care HAE treatments, which are injectables. We believe deucrictibant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 B2 receptor), rather than an upstream signal. By blocking the action of bradykinin, we can prevent its aberrant signaling regardless of the pathway that generates it.</w:t>
      </w:r>
    </w:p>
    <w:p>
      <w:pPr>
        <w:spacing w:after="0" w:line="80" w:lineRule="exact"/>
        <w:rPr>
          <w:sz w:val="20"/>
          <w:szCs w:val="20"/>
          <w:color w:val="auto"/>
        </w:rPr>
      </w:pPr>
    </w:p>
    <w:p>
      <w:pPr>
        <w:jc w:val="both"/>
        <w:ind w:right="440" w:firstLine="458"/>
        <w:spacing w:after="0" w:line="258" w:lineRule="auto"/>
        <w:rPr>
          <w:sz w:val="20"/>
          <w:szCs w:val="20"/>
          <w:color w:val="auto"/>
        </w:rPr>
      </w:pPr>
      <w:r>
        <w:rPr>
          <w:rFonts w:ascii="Arial" w:cs="Arial" w:eastAsia="Arial" w:hAnsi="Arial"/>
          <w:sz w:val="16"/>
          <w:szCs w:val="16"/>
          <w:color w:val="auto"/>
        </w:rPr>
        <w:t>In our completed Phase 1 trials to-date, we have observed that deucrictibant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w:t>
      </w:r>
    </w:p>
    <w:p>
      <w:pPr>
        <w:spacing w:after="0" w:line="70"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concluded a head-to-head comparison of icatibant to deucrictibant in a clinical study. We plan to efficiently progress deucrictibant through clinical development for on-demand and prophylactic use with our on-demand product candidate, PHVS416, and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softgel capsules. Our primary objective with this trial is to assess the efficacy and safety profile of PHVS416 dose regimens for prophylactic treatments in HAE patients. We expect to have Phase 2 data from CHAPTER-1 by the end of 2023.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right="20" w:firstLine="458"/>
        <w:spacing w:after="0" w:line="251"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w:t>
      </w:r>
    </w:p>
    <w:p>
      <w:pPr>
        <w:spacing w:after="0" w:line="75" w:lineRule="exact"/>
        <w:rPr>
          <w:sz w:val="20"/>
          <w:szCs w:val="20"/>
          <w:color w:val="auto"/>
        </w:rPr>
      </w:pPr>
    </w:p>
    <w:p>
      <w:pPr>
        <w:ind w:right="60" w:firstLine="458"/>
        <w:spacing w:after="0" w:line="265" w:lineRule="auto"/>
        <w:rPr>
          <w:sz w:val="20"/>
          <w:szCs w:val="20"/>
          <w:color w:val="auto"/>
        </w:rPr>
      </w:pPr>
      <w:r>
        <w:rPr>
          <w:rFonts w:ascii="Arial" w:cs="Arial" w:eastAsia="Arial" w:hAnsi="Arial"/>
          <w:sz w:val="16"/>
          <w:szCs w:val="16"/>
          <w:color w:val="auto"/>
        </w:rPr>
        <w:t>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63"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addition,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and CHAPTER-1 studies include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74" w:lineRule="exact"/>
        <w:rPr>
          <w:sz w:val="20"/>
          <w:szCs w:val="20"/>
          <w:color w:val="auto"/>
        </w:rPr>
      </w:pPr>
    </w:p>
    <w:p>
      <w:pPr>
        <w:ind w:right="40" w:firstLine="458"/>
        <w:spacing w:after="0" w:line="255" w:lineRule="auto"/>
        <w:rPr>
          <w:sz w:val="20"/>
          <w:szCs w:val="20"/>
          <w:color w:val="auto"/>
        </w:rPr>
      </w:pPr>
      <w:r>
        <w:rPr>
          <w:rFonts w:ascii="Arial" w:cs="Arial" w:eastAsia="Arial" w:hAnsi="Arial"/>
          <w:sz w:val="16"/>
          <w:szCs w:val="16"/>
          <w:color w:val="auto"/>
        </w:rPr>
        <w:t>Furthermore, 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 protocol for a 26-week rodent toxicology study has been aligned with the FDA and the study has initiated. We expect to submit results for this study to the FDA by the end of 2023. However, we cannot provide any assurance that we will be able to resolve the clinical holds.</w:t>
      </w:r>
    </w:p>
    <w:p>
      <w:pPr>
        <w:spacing w:after="0" w:line="72" w:lineRule="exact"/>
        <w:rPr>
          <w:sz w:val="20"/>
          <w:szCs w:val="20"/>
          <w:color w:val="auto"/>
        </w:rPr>
      </w:pPr>
    </w:p>
    <w:p>
      <w:pPr>
        <w:ind w:firstLine="458"/>
        <w:spacing w:after="0" w:line="255" w:lineRule="auto"/>
        <w:rPr>
          <w:sz w:val="20"/>
          <w:szCs w:val="20"/>
          <w:color w:val="auto"/>
        </w:rPr>
      </w:pPr>
      <w:r>
        <w:rPr>
          <w:rFonts w:ascii="Arial" w:cs="Arial" w:eastAsia="Arial" w:hAnsi="Arial"/>
          <w:sz w:val="16"/>
          <w:szCs w:val="16"/>
          <w:color w:val="auto"/>
        </w:rPr>
        <w:t>The FDA agreed to partially lift the clinical hold on on-demand to allow two remaining U.S. participants in RAPIDe-1 to complete treatment of a final HAE attack per protocol. All other clinical studies of deucrictibant are currently on hold in the U.S. Outside the U.S., the regulatory status remains unchanged for the CHAPTER-1 study and other studies, including an open-label, long-term extension study (RAPIDe-2). Pharvaris notified country-specific regulatory authorities in Canada, Europe, Israel, and the UK of the U.S. clinical holds. All active sites outside of the U.S. continue to recruit participants in the CHAPTER-1 clinical study.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are no recent developments that need to be disclosed.</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48" w:right="3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77" w:lineRule="exact"/>
        <w:rPr>
          <w:sz w:val="20"/>
          <w:szCs w:val="20"/>
          <w:color w:val="auto"/>
        </w:rPr>
      </w:pPr>
    </w:p>
    <w:p>
      <w:pPr>
        <w:ind w:right="120" w:firstLine="374"/>
        <w:spacing w:after="0" w:line="284"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1" w:lineRule="exact"/>
        <w:rPr>
          <w:sz w:val="20"/>
          <w:szCs w:val="20"/>
          <w:color w:val="auto"/>
        </w:rPr>
      </w:pPr>
    </w:p>
    <w:p>
      <w:pPr>
        <w:ind w:right="220" w:firstLine="374"/>
        <w:spacing w:after="0" w:line="258"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2" w:lineRule="exact"/>
        <w:rPr>
          <w:sz w:val="20"/>
          <w:szCs w:val="20"/>
          <w:color w:val="auto"/>
        </w:rPr>
      </w:pPr>
    </w:p>
    <w:p>
      <w:pPr>
        <w:ind w:left="1020" w:right="20" w:hanging="504"/>
        <w:spacing w:after="0" w:line="284"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4" w:lineRule="exact"/>
        <w:rPr>
          <w:rFonts w:ascii="Times New Roman" w:cs="Times New Roman" w:eastAsia="Times New Roman" w:hAnsi="Times New Roman"/>
          <w:sz w:val="16"/>
          <w:szCs w:val="16"/>
          <w:color w:val="auto"/>
        </w:rPr>
      </w:pPr>
    </w:p>
    <w:p>
      <w:pPr>
        <w:ind w:left="1020" w:right="240" w:hanging="504"/>
        <w:spacing w:after="0" w:line="284"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Contract Research Organizations ("CRO") assisting with our clinical development programs;</w:t>
      </w:r>
    </w:p>
    <w:p>
      <w:pPr>
        <w:spacing w:after="0" w:line="48" w:lineRule="exact"/>
        <w:rPr>
          <w:rFonts w:ascii="Times New Roman" w:cs="Times New Roman" w:eastAsia="Times New Roman" w:hAnsi="Times New Roman"/>
          <w:sz w:val="16"/>
          <w:szCs w:val="16"/>
          <w:color w:val="auto"/>
        </w:rPr>
      </w:pPr>
    </w:p>
    <w:p>
      <w:pPr>
        <w:ind w:left="1020" w:right="60" w:hanging="504"/>
        <w:spacing w:after="0" w:line="284"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1020" w:right="180" w:hanging="504"/>
        <w:spacing w:after="0" w:line="284"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 related and other consulting services;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192" w:lineRule="exact"/>
        <w:rPr>
          <w:sz w:val="20"/>
          <w:szCs w:val="20"/>
          <w:color w:val="auto"/>
        </w:rPr>
      </w:pPr>
    </w:p>
    <w:p>
      <w:pPr>
        <w:ind w:right="80" w:firstLine="374"/>
        <w:spacing w:after="0" w:line="284" w:lineRule="auto"/>
        <w:rPr>
          <w:sz w:val="20"/>
          <w:szCs w:val="20"/>
          <w:color w:val="auto"/>
        </w:rPr>
      </w:pPr>
      <w:r>
        <w:rPr>
          <w:rFonts w:ascii="Arial" w:cs="Arial" w:eastAsia="Arial" w:hAnsi="Arial"/>
          <w:sz w:val="16"/>
          <w:szCs w:val="16"/>
          <w:color w:val="auto"/>
        </w:rPr>
        <w:t>We anticipate that our total research and development expenses will continue to increase as we continue to progress PHVS416 and PHVS719 through clinical development.</w:t>
      </w:r>
    </w:p>
    <w:p>
      <w:pPr>
        <w:spacing w:after="0" w:line="130" w:lineRule="exact"/>
        <w:rPr>
          <w:sz w:val="20"/>
          <w:szCs w:val="20"/>
          <w:color w:val="auto"/>
        </w:rPr>
      </w:pPr>
    </w:p>
    <w:p>
      <w:pPr>
        <w:ind w:right="140" w:firstLine="374"/>
        <w:spacing w:after="0" w:line="265"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30" w:lineRule="exact"/>
        <w:rPr>
          <w:sz w:val="20"/>
          <w:szCs w:val="20"/>
          <w:color w:val="auto"/>
        </w:rPr>
      </w:pPr>
    </w:p>
    <w:p>
      <w:pPr>
        <w:ind w:right="20" w:firstLine="374"/>
        <w:spacing w:after="0" w:line="265"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30"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for a discussion of these risks and uncertainties.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1" w:name="page12"/>
    <w:bookmarkEnd w:id="11"/>
    <w:p>
      <w:pPr>
        <w:ind w:left="20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91" w:lineRule="exact"/>
        <w:rPr>
          <w:sz w:val="20"/>
          <w:szCs w:val="20"/>
          <w:color w:val="auto"/>
        </w:rPr>
      </w:pPr>
    </w:p>
    <w:p>
      <w:pPr>
        <w:ind w:right="80" w:firstLine="374"/>
        <w:spacing w:after="0" w:line="265"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6" w:lineRule="exact"/>
        <w:rPr>
          <w:sz w:val="20"/>
          <w:szCs w:val="20"/>
          <w:color w:val="auto"/>
        </w:rPr>
      </w:pPr>
    </w:p>
    <w:p>
      <w:pPr>
        <w:ind w:left="1020" w:right="440" w:hanging="504"/>
        <w:spacing w:after="0" w:line="284"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facilities and IT expenses and other general expenses relating to our operations; and</w:t>
      </w:r>
    </w:p>
    <w:p>
      <w:pPr>
        <w:spacing w:after="0" w:line="124" w:lineRule="exact"/>
        <w:rPr>
          <w:rFonts w:ascii="Times New Roman" w:cs="Times New Roman" w:eastAsia="Times New Roman" w:hAnsi="Times New Roman"/>
          <w:sz w:val="16"/>
          <w:szCs w:val="16"/>
          <w:color w:val="auto"/>
        </w:rPr>
      </w:pPr>
    </w:p>
    <w:p>
      <w:pPr>
        <w:ind w:left="1020" w:right="140" w:hanging="504"/>
        <w:spacing w:after="0" w:line="284"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29" w:lineRule="exact"/>
        <w:rPr>
          <w:sz w:val="20"/>
          <w:szCs w:val="20"/>
          <w:color w:val="auto"/>
        </w:rPr>
      </w:pPr>
    </w:p>
    <w:p>
      <w:pPr>
        <w:ind w:right="80" w:firstLine="374"/>
        <w:spacing w:after="0" w:line="265"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177"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518" w:right="4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Result of operations</w:t>
      </w:r>
    </w:p>
    <w:p>
      <w:pPr>
        <w:spacing w:after="0" w:line="193" w:lineRule="exact"/>
        <w:rPr>
          <w:sz w:val="20"/>
          <w:szCs w:val="20"/>
          <w:color w:val="auto"/>
        </w:rPr>
      </w:pPr>
    </w:p>
    <w:p>
      <w:pPr>
        <w:ind w:right="140" w:firstLine="374"/>
        <w:spacing w:after="0" w:line="265"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months ended March 31, 2023 and 2022 included as Exhibit 99.3 to this Report on Form 6-K. The discussion below should be read along with these condensed consolidated interim financial statements, and it is qualified in its entirety by reference to them.</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March 31, 2023 and March 31, 2022</w:t>
      </w:r>
    </w:p>
    <w:p>
      <w:pPr>
        <w:spacing w:after="0" w:line="200" w:lineRule="exact"/>
        <w:rPr>
          <w:sz w:val="20"/>
          <w:szCs w:val="20"/>
          <w:color w:val="auto"/>
        </w:rPr>
      </w:pPr>
    </w:p>
    <w:p>
      <w:pPr>
        <w:spacing w:after="0" w:line="211"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0" w:type="dxa"/>
            <w:vAlign w:val="bottom"/>
          </w:tcPr>
          <w:p>
            <w:pPr>
              <w:spacing w:after="0"/>
              <w:rPr>
                <w:sz w:val="21"/>
                <w:szCs w:val="21"/>
                <w:color w:val="auto"/>
              </w:rPr>
            </w:pPr>
          </w:p>
        </w:tc>
        <w:tc>
          <w:tcPr>
            <w:tcW w:w="16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36"/>
        </w:trPr>
        <w:tc>
          <w:tcPr>
            <w:tcW w:w="42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(13,744,431 )</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(13,514,488 )</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(229,943 )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(7,331,596 )</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(5,865,006 )</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(1,466,590 )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(21,076,027 )</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(19,379,494 )</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(1,696,533 )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(21,076,027 )</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(19,379,494 )</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(1,696,533 )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 income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(1,494,265 )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3,391,179</w:t>
            </w:r>
          </w:p>
        </w:tc>
        <w:tc>
          <w:tcPr>
            <w:tcW w:w="220" w:type="dxa"/>
            <w:vAlign w:val="bottom"/>
          </w:tcPr>
          <w:p>
            <w:pPr>
              <w:spacing w:after="0"/>
              <w:rPr>
                <w:sz w:val="21"/>
                <w:szCs w:val="21"/>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(4,885,444 )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(22,570,292 )</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(15,988,315 )</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(6,581,977 )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(60,657 )</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(38,715 )</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(21,942 )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(22,630,949 )</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(16,027,030 )</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(6,603,919 )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-1221105</wp:posOffset>
            </wp:positionV>
            <wp:extent cx="7132955" cy="153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-913765</wp:posOffset>
            </wp:positionV>
            <wp:extent cx="7132955" cy="153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955" cy="153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955" cy="153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38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March 31, 2023 and March 31, 2022.</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84"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0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(4,217,700 )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(2,529,171 )</w:t>
            </w:r>
          </w:p>
        </w:tc>
        <w:tc>
          <w:tcPr>
            <w:tcW w:w="3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(1,688,529 )</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expenses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(4,868,447 )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(6,566,065 )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1,697,618</w:t>
            </w: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Nonclinical expenses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(2,751,198 )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(816,125 )</w:t>
            </w:r>
          </w:p>
        </w:tc>
        <w:tc>
          <w:tcPr>
            <w:tcW w:w="3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(1,935,073 )</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costs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(1,907,086 )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(3,464,524 )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1,557,438</w:t>
            </w: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(138,603 )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138,603</w:t>
            </w: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00" w:type="dxa"/>
            <w:vAlign w:val="bottom"/>
            <w:vMerge w:val="continue"/>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(13,744,431 )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(13,514,488 )</w:t>
            </w:r>
          </w:p>
        </w:tc>
        <w:tc>
          <w:tcPr>
            <w:tcW w:w="3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(229,943 )</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b w:val="1"/>
                <w:bCs w:val="1"/>
                <w:color w:val="auto"/>
                <w:highlight w:val="white"/>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-956310</wp:posOffset>
            </wp:positionV>
            <wp:extent cx="6910705" cy="153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0705" cy="15367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-648335</wp:posOffset>
            </wp:positionV>
            <wp:extent cx="6910705" cy="153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0705" cy="15367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-340995</wp:posOffset>
            </wp:positionV>
            <wp:extent cx="6910705" cy="341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0705" cy="341630"/>
                    </a:xfrm>
                    <a:prstGeom prst="rect">
                      <a:avLst/>
                    </a:prstGeom>
                    <a:noFill/>
                  </pic:spPr>
                </pic:pic>
              </a:graphicData>
            </a:graphic>
          </wp:anchor>
        </w:drawing>
      </w:r>
    </w:p>
    <w:p>
      <w:pPr>
        <w:spacing w:after="0" w:line="369" w:lineRule="exact"/>
        <w:rPr>
          <w:sz w:val="20"/>
          <w:szCs w:val="20"/>
          <w:color w:val="auto"/>
        </w:rPr>
      </w:pPr>
    </w:p>
    <w:p>
      <w:pPr>
        <w:ind w:right="440" w:firstLine="374"/>
        <w:spacing w:after="0" w:line="265" w:lineRule="auto"/>
        <w:rPr>
          <w:sz w:val="20"/>
          <w:szCs w:val="20"/>
          <w:color w:val="auto"/>
        </w:rPr>
      </w:pPr>
      <w:r>
        <w:rPr>
          <w:rFonts w:ascii="Arial" w:cs="Arial" w:eastAsia="Arial" w:hAnsi="Arial"/>
          <w:sz w:val="16"/>
          <w:szCs w:val="16"/>
          <w:color w:val="auto"/>
        </w:rPr>
        <w:t>Research and development expenses increased from €13,514,488 for the three months ended March 31, 2022 to €13,744,431 for the three months ended March 31, 2023. The increase in the research and development expenses is mainly driven by the progress made in the PHVS416 and PHVS719 development programs in the three months ended March 31, 2023.</w:t>
      </w:r>
    </w:p>
    <w:p>
      <w:pPr>
        <w:spacing w:after="0" w:line="144" w:lineRule="exact"/>
        <w:rPr>
          <w:sz w:val="20"/>
          <w:szCs w:val="20"/>
          <w:color w:val="auto"/>
        </w:rPr>
      </w:pPr>
    </w:p>
    <w:p>
      <w:pPr>
        <w:jc w:val="both"/>
        <w:ind w:right="260" w:firstLine="374"/>
        <w:spacing w:after="0" w:line="265" w:lineRule="auto"/>
        <w:rPr>
          <w:sz w:val="20"/>
          <w:szCs w:val="20"/>
          <w:color w:val="auto"/>
        </w:rPr>
      </w:pPr>
      <w:r>
        <w:rPr>
          <w:rFonts w:ascii="Arial" w:cs="Arial" w:eastAsia="Arial" w:hAnsi="Arial"/>
          <w:sz w:val="16"/>
          <w:szCs w:val="16"/>
          <w:color w:val="auto"/>
        </w:rPr>
        <w:t>Clinical expenses decreased by €1,697,618 for the three months ended March 31, 2023 compared to the three months ended March 31, 2022, due to the progression and read-out of the RAPIDe-1 on demand and progression of the CHAPTER-1 prophylactic Phase 2 studies and their open-label extension studies.</w:t>
      </w:r>
    </w:p>
    <w:p>
      <w:pPr>
        <w:spacing w:after="0" w:line="144" w:lineRule="exact"/>
        <w:rPr>
          <w:sz w:val="20"/>
          <w:szCs w:val="20"/>
          <w:color w:val="auto"/>
        </w:rPr>
      </w:pPr>
    </w:p>
    <w:p>
      <w:pPr>
        <w:ind w:right="540" w:firstLine="419"/>
        <w:spacing w:after="0" w:line="284" w:lineRule="auto"/>
        <w:rPr>
          <w:sz w:val="20"/>
          <w:szCs w:val="20"/>
          <w:color w:val="auto"/>
        </w:rPr>
      </w:pPr>
      <w:r>
        <w:rPr>
          <w:rFonts w:ascii="Arial" w:cs="Arial" w:eastAsia="Arial" w:hAnsi="Arial"/>
          <w:sz w:val="16"/>
          <w:szCs w:val="16"/>
          <w:color w:val="auto"/>
        </w:rPr>
        <w:t>Nonclinical expenses increased by €1,935,073 for the three months ended March 31, 2023 compared to the three months ended March 31, 2022, primarily due to studies related to the 26-week rodent toxicology study intended to address the clinical hold in the U.S.</w:t>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13" w:name="page14"/>
    <w:bookmarkEnd w:id="13"/>
    <w:p>
      <w:pPr>
        <w:ind w:firstLine="374"/>
        <w:spacing w:after="0" w:line="265" w:lineRule="auto"/>
        <w:rPr>
          <w:sz w:val="20"/>
          <w:szCs w:val="20"/>
          <w:color w:val="auto"/>
        </w:rPr>
      </w:pPr>
      <w:r>
        <w:rPr>
          <w:rFonts w:ascii="Arial" w:cs="Arial" w:eastAsia="Arial" w:hAnsi="Arial"/>
          <w:sz w:val="16"/>
          <w:szCs w:val="16"/>
          <w:color w:val="auto"/>
        </w:rPr>
        <w:t>Manufacturing costs relating to the Active Pharmaceutical Ingredient ("API") and pharmaceutical development of PHVS416 and PHVS719 decreased by €1,557,438 for the three months ended March 31, 2023 compared to the three months ended March 31, 2022, due to the procurement of raw materials in Q1-2022. Activities are ongoing to support the clinical programs and preparations for the pre-commercialization phase.</w:t>
      </w:r>
    </w:p>
    <w:p>
      <w:pPr>
        <w:spacing w:after="0" w:line="144" w:lineRule="exact"/>
        <w:rPr>
          <w:sz w:val="20"/>
          <w:szCs w:val="20"/>
          <w:color w:val="auto"/>
        </w:rPr>
      </w:pPr>
    </w:p>
    <w:p>
      <w:pPr>
        <w:ind w:firstLine="374"/>
        <w:spacing w:after="0" w:line="258" w:lineRule="auto"/>
        <w:rPr>
          <w:sz w:val="20"/>
          <w:szCs w:val="20"/>
          <w:color w:val="auto"/>
        </w:rPr>
      </w:pPr>
      <w:r>
        <w:rPr>
          <w:rFonts w:ascii="Arial" w:cs="Arial" w:eastAsia="Arial" w:hAnsi="Arial"/>
          <w:sz w:val="16"/>
          <w:szCs w:val="16"/>
          <w:color w:val="auto"/>
        </w:rPr>
        <w:t>In the personnel expenses for the three months ended March 31, 2023 and 2022 an amount of €1,212,616 and €928,911, respectively, was included which related to share-based compensation arrangements. The increase in the share-based payments for the three months ended March 31, 2023, relates to the new grants awarded in the period after March 31, 2022 up to and including March 31, 2023. The remaining increase in personnel expenses is driven by the growth of our organization resulting in additional employees hired, and yearly merit adjustments.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4020" w:type="dxa"/>
            <w:vAlign w:val="bottom"/>
          </w:tcPr>
          <w:p>
            <w:pPr>
              <w:ind w:left="80"/>
              <w:spacing w:after="0"/>
              <w:rPr>
                <w:sz w:val="20"/>
                <w:szCs w:val="20"/>
                <w:color w:val="auto"/>
              </w:rPr>
            </w:pPr>
            <w:r>
              <w:rPr>
                <w:rFonts w:ascii="Arial" w:cs="Arial" w:eastAsia="Arial" w:hAnsi="Arial"/>
                <w:sz w:val="16"/>
                <w:szCs w:val="16"/>
                <w:i w:val="1"/>
                <w:iCs w:val="1"/>
                <w:color w:val="auto"/>
              </w:rPr>
              <w:t>General and administrative expenses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96"/>
        </w:trPr>
        <w:tc>
          <w:tcPr>
            <w:tcW w:w="4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4"/>
        </w:trPr>
        <w:tc>
          <w:tcPr>
            <w:tcW w:w="4020" w:type="dxa"/>
            <w:vAlign w:val="bottom"/>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8"/>
        </w:trPr>
        <w:tc>
          <w:tcPr>
            <w:tcW w:w="40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36"/>
        </w:trPr>
        <w:tc>
          <w:tcPr>
            <w:tcW w:w="40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(3,301,584 )</w:t>
            </w: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(2,444,883 )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(856,701 )</w:t>
            </w:r>
          </w:p>
        </w:tc>
        <w:tc>
          <w:tcPr>
            <w:tcW w:w="10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r>
      <w:tr>
        <w:trPr>
          <w:trHeight w:val="24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(177,869 )</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(177,912 )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(882,470 )</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(884,000 )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(359,353 )</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(304,498 )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(54,855 )</w:t>
            </w:r>
          </w:p>
        </w:tc>
        <w:tc>
          <w:tcPr>
            <w:tcW w:w="10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r>
      <w:tr>
        <w:trPr>
          <w:trHeight w:val="24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Facilities, communication and office expenses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(1,491,273 )</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(1,628,098 )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(322,733 )</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(143,754 )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(178,979 )</w:t>
            </w:r>
          </w:p>
        </w:tc>
        <w:tc>
          <w:tcPr>
            <w:tcW w:w="10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r>
      <w:tr>
        <w:trPr>
          <w:trHeight w:val="24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(796,314 )</w:t>
            </w:r>
          </w:p>
        </w:tc>
        <w:tc>
          <w:tcPr>
            <w:tcW w:w="1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(281,861 )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(514,453 )</w:t>
            </w:r>
          </w:p>
        </w:tc>
        <w:tc>
          <w:tcPr>
            <w:tcW w:w="10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183 %</w:t>
            </w:r>
          </w:p>
        </w:tc>
      </w:tr>
      <w:tr>
        <w:trPr>
          <w:trHeight w:val="20"/>
        </w:trPr>
        <w:tc>
          <w:tcPr>
            <w:tcW w:w="40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0"/>
        </w:trPr>
        <w:tc>
          <w:tcPr>
            <w:tcW w:w="4020" w:type="dxa"/>
            <w:vAlign w:val="bottom"/>
          </w:tcPr>
          <w:p>
            <w:pPr>
              <w:spacing w:after="0" w:line="236" w:lineRule="exact"/>
              <w:rPr>
                <w:sz w:val="20"/>
                <w:szCs w:val="20"/>
                <w:color w:val="auto"/>
              </w:rPr>
            </w:pPr>
            <w:r>
              <w:rPr>
                <w:rFonts w:ascii="Calibri" w:cs="Calibri" w:eastAsia="Calibri" w:hAnsi="Calibri"/>
                <w:sz w:val="20"/>
                <w:szCs w:val="20"/>
                <w:color w:val="auto"/>
              </w:rPr>
              <w:t>Total general and administratve expenses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(7,331,596 )</w:t>
            </w: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(5,865,006 )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(1,466,590 )</w:t>
            </w:r>
          </w:p>
        </w:tc>
        <w:tc>
          <w:tcPr>
            <w:tcW w:w="1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25 %</w:t>
            </w:r>
          </w:p>
        </w:tc>
      </w:tr>
      <w:tr>
        <w:trPr>
          <w:trHeight w:val="20"/>
        </w:trPr>
        <w:tc>
          <w:tcPr>
            <w:tcW w:w="40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-1263650</wp:posOffset>
            </wp:positionV>
            <wp:extent cx="6774180" cy="153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4180" cy="15367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-956310</wp:posOffset>
            </wp:positionV>
            <wp:extent cx="6774180" cy="153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4180" cy="15367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-648335</wp:posOffset>
            </wp:positionV>
            <wp:extent cx="6774180" cy="153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4180" cy="15367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-340995</wp:posOffset>
            </wp:positionV>
            <wp:extent cx="6774180" cy="341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4180" cy="341630"/>
                    </a:xfrm>
                    <a:prstGeom prst="rect">
                      <a:avLst/>
                    </a:prstGeom>
                    <a:noFill/>
                  </pic:spPr>
                </pic:pic>
              </a:graphicData>
            </a:graphic>
          </wp:anchor>
        </w:drawing>
      </w:r>
    </w:p>
    <w:p>
      <w:pPr>
        <w:spacing w:after="0" w:line="369" w:lineRule="exact"/>
        <w:rPr>
          <w:sz w:val="20"/>
          <w:szCs w:val="20"/>
          <w:color w:val="auto"/>
        </w:rPr>
      </w:pPr>
    </w:p>
    <w:p>
      <w:pPr>
        <w:ind w:right="40" w:firstLine="374"/>
        <w:spacing w:after="0" w:line="253" w:lineRule="auto"/>
        <w:rPr>
          <w:sz w:val="20"/>
          <w:szCs w:val="20"/>
          <w:color w:val="auto"/>
        </w:rPr>
      </w:pPr>
      <w:r>
        <w:rPr>
          <w:rFonts w:ascii="Arial" w:cs="Arial" w:eastAsia="Arial" w:hAnsi="Arial"/>
          <w:sz w:val="16"/>
          <w:szCs w:val="16"/>
          <w:color w:val="auto"/>
        </w:rPr>
        <w:t>General and administrative expenses increased from €5,865,006 for the three months ended March 31, 2022 to €7,331,596 for the three months ended March 31, 2023. The increase in general and administrative expenses was mainly driven by the growth of the Company and increasing costs related to our commercial buildout. In the personnel expenses for the three months ended March 31,2023 and 2022 an amount of €1,370,271 and €1,018,027 respectively, was included which related to share-based compensation arrangements. The increase in the share-based payments for the three months ended March 31, 2023, relates to the new grants awarded in the period after March 31, 2022 up to and including March 31, 2023. The remaining increase in personnel expenses is driven by the growth of our organization resulting in additional employees hired, and yearly merit adjustments.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(expense) income</w:t>
      </w:r>
    </w:p>
    <w:p>
      <w:pPr>
        <w:spacing w:after="0" w:line="177" w:lineRule="exact"/>
        <w:rPr>
          <w:sz w:val="20"/>
          <w:szCs w:val="20"/>
          <w:color w:val="auto"/>
        </w:rPr>
      </w:pPr>
    </w:p>
    <w:p>
      <w:pPr>
        <w:ind w:right="60" w:firstLine="374"/>
        <w:spacing w:after="0" w:line="284" w:lineRule="auto"/>
        <w:rPr>
          <w:sz w:val="20"/>
          <w:szCs w:val="20"/>
          <w:color w:val="auto"/>
        </w:rPr>
      </w:pPr>
      <w:r>
        <w:rPr>
          <w:rFonts w:ascii="Arial" w:cs="Arial" w:eastAsia="Arial" w:hAnsi="Arial"/>
          <w:sz w:val="16"/>
          <w:szCs w:val="16"/>
          <w:color w:val="auto"/>
        </w:rPr>
        <w:t>Finance (expense) income for the three months ended March 31, 2023 and 2022 were (€1,494,265) and €3,391,179, respectively. The amount mainly relates to unrealized foreign exchange (losses)/income, which is mostly the result of translating the Company’s bank balances held in USD to EUR.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1"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The tax expense over the three months ended March 31, 2023 and 2022 relates to the Company's U.S. subsidiary as the result of a cost-plus agreement between the U.S. and the Company’s principal entity, resulting in an estimated taxable profit in the U.S.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Since inception, we have incurred significant operating losses. For the three months ended March 31, 2023 and 2022 we incurred losses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€22,630,949 and €16,027,030, respectively. Since inception, we have not generated any revenues or net cash flows from sales. We will not receive any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revenues or net cash flows from sales until we successfully develop a product candidate, obtain regulatory approval and successfully commercialize it. There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is no assurance that we will be able to do so.</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200" w:firstLine="374"/>
        <w:spacing w:after="0" w:line="255"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On March 1, 2022, we entered into a sales agreement with SVB Securities LLC, or SVB Securities, pursuant to which we may sell ordinary shares having an aggregate offering price of up to $75 million from time to time through SVB Securities. During 2022, we sold a total of 588,100 ordinary shares in two different transactions under the sales agreement generating total net proceeds of $9,698,504, after deducting $299,954 which was payable to SVB Securities as commission in respect of such sales. Our understanding is that SVB Securities is not impacted by the Silicon Valley Bank ("SVB") receivership proceedings.</w:t>
      </w:r>
    </w:p>
    <w:p>
      <w:pPr>
        <w:spacing w:after="0" w:line="153" w:lineRule="exact"/>
        <w:rPr>
          <w:sz w:val="20"/>
          <w:szCs w:val="20"/>
          <w:color w:val="auto"/>
        </w:rPr>
      </w:pPr>
    </w:p>
    <w:p>
      <w:pPr>
        <w:ind w:right="480" w:firstLine="374"/>
        <w:spacing w:after="0" w:line="284" w:lineRule="auto"/>
        <w:rPr>
          <w:sz w:val="20"/>
          <w:szCs w:val="20"/>
          <w:color w:val="auto"/>
        </w:rPr>
      </w:pPr>
      <w:r>
        <w:rPr>
          <w:rFonts w:ascii="Arial" w:cs="Arial" w:eastAsia="Arial" w:hAnsi="Arial"/>
          <w:sz w:val="16"/>
          <w:szCs w:val="16"/>
          <w:color w:val="auto"/>
        </w:rPr>
        <w:t>As of March 31, 2023 we had cash and cash equivalents of €135,181,223. Of the cash on hand, €65,567 relates to guarantees. Our cash and cash equivalents consist solely of cash at bank.</w:t>
      </w:r>
    </w:p>
    <w:p>
      <w:pPr>
        <w:spacing w:after="0" w:line="130" w:lineRule="exact"/>
        <w:rPr>
          <w:sz w:val="20"/>
          <w:szCs w:val="20"/>
          <w:color w:val="auto"/>
        </w:rPr>
      </w:pPr>
    </w:p>
    <w:p>
      <w:pPr>
        <w:ind w:right="240" w:firstLine="374"/>
        <w:spacing w:after="0" w:line="255" w:lineRule="auto"/>
        <w:rPr>
          <w:sz w:val="20"/>
          <w:szCs w:val="20"/>
          <w:color w:val="auto"/>
        </w:rPr>
      </w:pPr>
      <w:r>
        <w:rPr>
          <w:rFonts w:ascii="Arial" w:cs="Arial" w:eastAsia="Arial" w:hAnsi="Arial"/>
          <w:sz w:val="16"/>
          <w:szCs w:val="16"/>
          <w:color w:val="auto"/>
        </w:rPr>
        <w:t>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our unaudited condensed consolidated interim financial statements for the three months ended March 31, 2023 and 2022. Accordingly, the unaudited condensed consolidated interim financial statements have been prepared on a going concern basis.</w:t>
      </w:r>
    </w:p>
    <w:p>
      <w:pPr>
        <w:spacing w:after="0" w:line="139" w:lineRule="exact"/>
        <w:rPr>
          <w:sz w:val="20"/>
          <w:szCs w:val="20"/>
          <w:color w:val="auto"/>
        </w:rPr>
      </w:pPr>
    </w:p>
    <w:p>
      <w:pPr>
        <w:ind w:right="140" w:firstLine="374"/>
        <w:spacing w:after="0" w:line="253"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50" w:lineRule="exact"/>
        <w:rPr>
          <w:sz w:val="20"/>
          <w:szCs w:val="20"/>
          <w:color w:val="auto"/>
        </w:rPr>
      </w:pPr>
    </w:p>
    <w:p>
      <w:pPr>
        <w:ind w:right="940" w:firstLine="374"/>
        <w:spacing w:after="0" w:line="309" w:lineRule="auto"/>
        <w:rPr>
          <w:sz w:val="20"/>
          <w:szCs w:val="20"/>
          <w:color w:val="auto"/>
        </w:rPr>
      </w:pPr>
      <w:r>
        <w:rPr>
          <w:rFonts w:ascii="Arial" w:cs="Arial" w:eastAsia="Arial" w:hAnsi="Arial"/>
          <w:sz w:val="16"/>
          <w:szCs w:val="16"/>
          <w:color w:val="auto"/>
        </w:rPr>
        <w:t>Our contractual obligations and commitments as of March 31, 2023 amounted to €</w:t>
      </w:r>
      <w:r>
        <w:rPr>
          <w:rFonts w:ascii="Times New Roman" w:cs="Times New Roman" w:eastAsia="Times New Roman" w:hAnsi="Times New Roman"/>
          <w:sz w:val="17"/>
          <w:szCs w:val="17"/>
          <w:color w:val="auto"/>
        </w:rPr>
        <w:t>26,736,388</w:t>
      </w:r>
      <w:r>
        <w:rPr>
          <w:rFonts w:ascii="Arial" w:cs="Arial" w:eastAsia="Arial" w:hAnsi="Arial"/>
          <w:sz w:val="16"/>
          <w:szCs w:val="16"/>
          <w:color w:val="auto"/>
        </w:rPr>
        <w:t xml:space="preserve"> primarily related to research and development commitments.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three months ended March 31, 2023 and 2022.</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4080" w:type="dxa"/>
            <w:vAlign w:val="bottom"/>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40"/>
        </w:trPr>
        <w:tc>
          <w:tcPr>
            <w:tcW w:w="4080" w:type="dxa"/>
            <w:vAlign w:val="bottom"/>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7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r>
      <w:tr>
        <w:trPr>
          <w:trHeight w:val="233"/>
        </w:trPr>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(in €)</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(25,204,785 )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(17,881,192 )</w:t>
            </w:r>
          </w:p>
        </w:tc>
        <w:tc>
          <w:tcPr>
            <w:tcW w:w="460" w:type="dxa"/>
            <w:vAlign w:val="bottom"/>
          </w:tcPr>
          <w:p>
            <w:pPr>
              <w:spacing w:after="0"/>
              <w:rPr>
                <w:sz w:val="20"/>
                <w:szCs w:val="20"/>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(7,323,593 )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(19,038 )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(26,372 )</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2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(56,752 )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(110,126 )</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22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(25,280,575 )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(18,017,690 )</w:t>
            </w:r>
          </w:p>
        </w:tc>
        <w:tc>
          <w:tcPr>
            <w:tcW w:w="460" w:type="dxa"/>
            <w:vAlign w:val="bottom"/>
          </w:tcPr>
          <w:p>
            <w:pPr>
              <w:spacing w:after="0"/>
              <w:rPr>
                <w:sz w:val="21"/>
                <w:szCs w:val="21"/>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(7,262,885 )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161,837,429</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209,353,132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(47,515,703 )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(1,375,631 )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3,439,302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(4,814,933 )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4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135,181,223</w:t>
            </w:r>
          </w:p>
        </w:tc>
        <w:tc>
          <w:tcPr>
            <w:tcW w:w="120" w:type="dxa"/>
            <w:vAlign w:val="bottom"/>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194,774,744</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(59,593,521</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4"/>
              </w:rPr>
              <w:t>)%</w:t>
            </w:r>
          </w:p>
        </w:tc>
      </w:tr>
      <w:tr>
        <w:trPr>
          <w:trHeight w:val="20"/>
        </w:trPr>
        <w:tc>
          <w:tcPr>
            <w:tcW w:w="40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-1246505</wp:posOffset>
            </wp:positionV>
            <wp:extent cx="7132955" cy="153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-939165</wp:posOffset>
            </wp:positionV>
            <wp:extent cx="7132955" cy="153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955" cy="290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29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95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35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91" w:lineRule="exact"/>
        <w:rPr>
          <w:sz w:val="20"/>
          <w:szCs w:val="20"/>
          <w:color w:val="auto"/>
        </w:rPr>
      </w:pPr>
    </w:p>
    <w:p>
      <w:pPr>
        <w:ind w:right="120" w:firstLine="374"/>
        <w:spacing w:after="0" w:line="255"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15" w:name="page16"/>
    <w:bookmarkEnd w:id="15"/>
    <w:p>
      <w:pPr>
        <w:ind w:firstLine="374"/>
        <w:spacing w:after="0" w:line="265" w:lineRule="auto"/>
        <w:rPr>
          <w:sz w:val="20"/>
          <w:szCs w:val="20"/>
          <w:color w:val="auto"/>
        </w:rPr>
      </w:pPr>
      <w:r>
        <w:rPr>
          <w:rFonts w:ascii="Arial" w:cs="Arial" w:eastAsia="Arial" w:hAnsi="Arial"/>
          <w:sz w:val="16"/>
          <w:szCs w:val="16"/>
          <w:color w:val="auto"/>
        </w:rPr>
        <w:t>Net cash used in operating activities was €25,204,785 for the three months ended March 31, 2023, an increase of €7,323,593 compared to €17,881,192 for the three months ended March 31, 2022, primarily reflecting the increase in research and development expenses and other operating expenses, due to progression made in the PHVS416 and PHVS719 development programs and the growth of our organization in 2022.</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77" w:lineRule="exact"/>
        <w:rPr>
          <w:sz w:val="20"/>
          <w:szCs w:val="20"/>
          <w:color w:val="auto"/>
        </w:rPr>
      </w:pPr>
    </w:p>
    <w:p>
      <w:pPr>
        <w:ind w:right="440" w:firstLine="374"/>
        <w:spacing w:after="0" w:line="284" w:lineRule="auto"/>
        <w:rPr>
          <w:sz w:val="20"/>
          <w:szCs w:val="20"/>
          <w:color w:val="auto"/>
        </w:rPr>
      </w:pPr>
      <w:r>
        <w:rPr>
          <w:rFonts w:ascii="Arial" w:cs="Arial" w:eastAsia="Arial" w:hAnsi="Arial"/>
          <w:sz w:val="16"/>
          <w:szCs w:val="16"/>
          <w:color w:val="auto"/>
        </w:rPr>
        <w:t>Net cash flows used in investing activities decreased by €7,334 from €26,372 for the three months ended March 31, 2022, to €19,038 for the three months ended March 31, 2023, primarily as a result of lower capital expenditure related to office equipment in 2023.</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91" w:lineRule="exact"/>
        <w:rPr>
          <w:sz w:val="20"/>
          <w:szCs w:val="20"/>
          <w:color w:val="auto"/>
        </w:rPr>
      </w:pPr>
    </w:p>
    <w:p>
      <w:pPr>
        <w:ind w:right="100" w:firstLine="374"/>
        <w:spacing w:after="0" w:line="265" w:lineRule="auto"/>
        <w:rPr>
          <w:sz w:val="20"/>
          <w:szCs w:val="20"/>
          <w:color w:val="auto"/>
        </w:rPr>
      </w:pPr>
      <w:r>
        <w:rPr>
          <w:rFonts w:ascii="Arial" w:cs="Arial" w:eastAsia="Arial" w:hAnsi="Arial"/>
          <w:sz w:val="16"/>
          <w:szCs w:val="16"/>
          <w:color w:val="auto"/>
        </w:rPr>
        <w:t>Net cash flows provided by financing activities decreased by €53,374 from €110,126 for the three months ended March 31, 2022, to €56,752 for the three months ended March 31, 2023. The cash outflow in three months ended March 31, 2023 relates to the financial leases only, while for the three months ended March 31, 2022 it relates to the financial lease and transaction costs.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2023, we did not have any off-balance sheet arrangements other than the disclosed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79" w:lineRule="exact"/>
        <w:rPr>
          <w:sz w:val="20"/>
          <w:szCs w:val="20"/>
          <w:color w:val="auto"/>
        </w:rPr>
      </w:pPr>
    </w:p>
    <w:p>
      <w:pPr>
        <w:ind w:right="60" w:firstLine="374"/>
        <w:spacing w:after="0" w:line="284" w:lineRule="auto"/>
        <w:rPr>
          <w:sz w:val="20"/>
          <w:szCs w:val="20"/>
          <w:color w:val="auto"/>
        </w:rPr>
      </w:pPr>
      <w:r>
        <w:rPr>
          <w:rFonts w:ascii="Arial" w:cs="Arial" w:eastAsia="Arial" w:hAnsi="Arial"/>
          <w:sz w:val="16"/>
          <w:szCs w:val="16"/>
          <w:color w:val="auto"/>
        </w:rPr>
        <w:t>During the three months ended March 31, 2023, there were no significant changes to our quantitative and qualitative disclosures about market risk from those reported in “Item 11. Quantitative and Qualitative Disclosures About Market Risk” in the Annual Report.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93" w:lineRule="exact"/>
        <w:rPr>
          <w:sz w:val="20"/>
          <w:szCs w:val="20"/>
          <w:color w:val="auto"/>
        </w:rPr>
      </w:pPr>
    </w:p>
    <w:p>
      <w:pPr>
        <w:ind w:right="760" w:firstLine="374"/>
        <w:spacing w:after="0" w:line="284"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79"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91" w:lineRule="exact"/>
        <w:rPr>
          <w:sz w:val="20"/>
          <w:szCs w:val="20"/>
          <w:color w:val="auto"/>
        </w:rPr>
      </w:pPr>
    </w:p>
    <w:p>
      <w:pPr>
        <w:ind w:left="1020" w:right="60" w:hanging="504"/>
        <w:spacing w:after="0" w:line="254"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the clinical hold on PHA121, or deucrictibant, clinical trials in the U.S.;</w:t>
      </w:r>
    </w:p>
    <w:p>
      <w:pPr>
        <w:spacing w:after="0" w:line="70" w:lineRule="exact"/>
        <w:rPr>
          <w:rFonts w:ascii="Times New Roman" w:cs="Times New Roman" w:eastAsia="Times New Roman" w:hAnsi="Times New Roman"/>
          <w:sz w:val="18"/>
          <w:szCs w:val="18"/>
          <w:color w:val="auto"/>
        </w:rPr>
      </w:pPr>
    </w:p>
    <w:p>
      <w:pPr>
        <w:ind w:left="1020" w:right="400" w:hanging="504"/>
        <w:spacing w:after="0" w:line="284"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PHVS416 and PHVS719, which are in mid-stage global clinical trials and are currently on hold in the U.S. as a result of the clinical hold;</w:t>
      </w:r>
    </w:p>
    <w:p>
      <w:pPr>
        <w:spacing w:after="0" w:line="48" w:lineRule="exact"/>
        <w:rPr>
          <w:rFonts w:ascii="Times New Roman" w:cs="Times New Roman" w:eastAsia="Times New Roman" w:hAnsi="Times New Roman"/>
          <w:sz w:val="16"/>
          <w:szCs w:val="16"/>
          <w:color w:val="auto"/>
        </w:rPr>
      </w:pPr>
    </w:p>
    <w:p>
      <w:pPr>
        <w:ind w:left="1020" w:right="400" w:hanging="504"/>
        <w:spacing w:after="0" w:line="284"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380" w:hanging="504"/>
        <w:spacing w:after="0" w:line="25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6" w:name="page17"/>
    <w:bookmarkEnd w:id="16"/>
    <w:p>
      <w:pPr>
        <w:ind w:left="1020" w:right="26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4" w:lineRule="exact"/>
        <w:rPr>
          <w:rFonts w:ascii="Times New Roman" w:cs="Times New Roman" w:eastAsia="Times New Roman" w:hAnsi="Times New Roman"/>
          <w:sz w:val="16"/>
          <w:szCs w:val="16"/>
          <w:color w:val="auto"/>
        </w:rPr>
      </w:pPr>
    </w:p>
    <w:p>
      <w:pPr>
        <w:ind w:left="1020" w:right="4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4" w:lineRule="exact"/>
        <w:rPr>
          <w:rFonts w:ascii="Times New Roman" w:cs="Times New Roman" w:eastAsia="Times New Roman" w:hAnsi="Times New Roman"/>
          <w:sz w:val="16"/>
          <w:szCs w:val="16"/>
          <w:color w:val="auto"/>
        </w:rPr>
      </w:pPr>
    </w:p>
    <w:p>
      <w:pPr>
        <w:ind w:left="1020" w:right="2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and with competitive generic products;</w:t>
      </w:r>
    </w:p>
    <w:p>
      <w:pPr>
        <w:spacing w:after="0" w:line="124" w:lineRule="exact"/>
        <w:rPr>
          <w:rFonts w:ascii="Times New Roman" w:cs="Times New Roman" w:eastAsia="Times New Roman" w:hAnsi="Times New Roman"/>
          <w:sz w:val="16"/>
          <w:szCs w:val="16"/>
          <w:color w:val="auto"/>
        </w:rPr>
      </w:pPr>
    </w:p>
    <w:p>
      <w:pPr>
        <w:ind w:left="1020" w:right="54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4" w:lineRule="exact"/>
        <w:rPr>
          <w:rFonts w:ascii="Times New Roman" w:cs="Times New Roman" w:eastAsia="Times New Roman" w:hAnsi="Times New Roman"/>
          <w:sz w:val="16"/>
          <w:szCs w:val="16"/>
          <w:color w:val="auto"/>
        </w:rPr>
      </w:pPr>
    </w:p>
    <w:p>
      <w:pPr>
        <w:ind w:left="102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4" w:lineRule="exact"/>
        <w:rPr>
          <w:rFonts w:ascii="Times New Roman" w:cs="Times New Roman" w:eastAsia="Times New Roman" w:hAnsi="Times New Roman"/>
          <w:sz w:val="16"/>
          <w:szCs w:val="16"/>
          <w:color w:val="auto"/>
        </w:rPr>
      </w:pPr>
    </w:p>
    <w:p>
      <w:pPr>
        <w:ind w:left="1020" w:right="4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48" w:lineRule="exact"/>
        <w:rPr>
          <w:rFonts w:ascii="Times New Roman" w:cs="Times New Roman" w:eastAsia="Times New Roman" w:hAnsi="Times New Roman"/>
          <w:sz w:val="16"/>
          <w:szCs w:val="16"/>
          <w:color w:val="auto"/>
        </w:rPr>
      </w:pPr>
    </w:p>
    <w:p>
      <w:pPr>
        <w:ind w:left="1020" w:right="8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or a foreign private issuer; and</w:t>
      </w:r>
    </w:p>
    <w:p>
      <w:pPr>
        <w:spacing w:after="0" w:line="48" w:lineRule="exact"/>
        <w:rPr>
          <w:rFonts w:ascii="Times New Roman" w:cs="Times New Roman" w:eastAsia="Times New Roman" w:hAnsi="Times New Roman"/>
          <w:sz w:val="16"/>
          <w:szCs w:val="16"/>
          <w:color w:val="auto"/>
        </w:rPr>
      </w:pPr>
    </w:p>
    <w:p>
      <w:pPr>
        <w:ind w:left="1020" w:right="80" w:hanging="504"/>
        <w:spacing w:after="0" w:line="284"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w:t>
      </w:r>
    </w:p>
    <w:p>
      <w:pPr>
        <w:spacing w:after="0" w:line="129" w:lineRule="exact"/>
        <w:rPr>
          <w:sz w:val="20"/>
          <w:szCs w:val="20"/>
          <w:color w:val="auto"/>
        </w:rPr>
      </w:pPr>
    </w:p>
    <w:p>
      <w:pPr>
        <w:ind w:right="80" w:firstLine="374"/>
        <w:spacing w:after="0" w:line="258" w:lineRule="auto"/>
        <w:rPr>
          <w:sz w:val="20"/>
          <w:szCs w:val="20"/>
          <w:color w:val="auto"/>
        </w:rPr>
      </w:pPr>
      <w:r>
        <w:rPr>
          <w:rFonts w:ascii="Arial" w:cs="Arial" w:eastAsia="Arial" w:hAnsi="Arial"/>
          <w:sz w:val="16"/>
          <w:szCs w:val="16"/>
          <w:color w:val="auto"/>
        </w:rPr>
        <w:t>You should refer to “ITEM 3. Key information—D. Risk factors.” section of our Annual Report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7" w:lineRule="exact"/>
        <w:rPr>
          <w:sz w:val="20"/>
          <w:szCs w:val="20"/>
          <w:color w:val="auto"/>
        </w:rPr>
      </w:pPr>
    </w:p>
    <w:p>
      <w:pPr>
        <w:ind w:right="200" w:firstLine="374"/>
        <w:spacing w:after="0" w:line="255"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7" w:name="page18"/>
    <w:bookmarkEnd w:id="17"/>
    <w:p>
      <w:pPr>
        <w:ind w:right="360" w:firstLine="374"/>
        <w:spacing w:after="0" w:line="284"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30" w:lineRule="exact"/>
        <w:rPr>
          <w:sz w:val="20"/>
          <w:szCs w:val="20"/>
          <w:color w:val="auto"/>
        </w:rPr>
      </w:pPr>
    </w:p>
    <w:p>
      <w:pPr>
        <w:ind w:firstLine="374"/>
        <w:spacing w:after="0" w:line="255"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516" w:right="4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Contents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Loss and Comprehensive Loss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r>
      <w:tr>
        <w:trPr>
          <w:trHeight w:val="464"/>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r>
      <w:tr>
        <w:trPr>
          <w:trHeight w:val="464"/>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464"/>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464"/>
        </w:trPr>
        <w:tc>
          <w:tcPr>
            <w:tcW w:w="1112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7</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loss and other comprehensive loss</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gridSpan w:val="4"/>
          </w:tcPr>
          <w:p>
            <w:pPr>
              <w:jc w:val="right"/>
              <w:ind w:right="622"/>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40"/>
        </w:trPr>
        <w:tc>
          <w:tcPr>
            <w:tcW w:w="6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r>
      <w:tr>
        <w:trPr>
          <w:trHeight w:val="238"/>
        </w:trPr>
        <w:tc>
          <w:tcPr>
            <w:tcW w:w="6420" w:type="dxa"/>
            <w:vAlign w:val="bottom"/>
          </w:tcPr>
          <w:p>
            <w:pPr>
              <w:spacing w:after="0"/>
              <w:rPr>
                <w:sz w:val="20"/>
                <w:szCs w:val="20"/>
                <w:color w:val="auto"/>
              </w:rPr>
            </w:pPr>
          </w:p>
        </w:tc>
        <w:tc>
          <w:tcPr>
            <w:tcW w:w="8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Notes</w:t>
            </w:r>
          </w:p>
        </w:tc>
        <w:tc>
          <w:tcPr>
            <w:tcW w:w="4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r>
      <w:tr>
        <w:trPr>
          <w:trHeight w:val="24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(13,744,431 )</w:t>
            </w:r>
          </w:p>
        </w:tc>
        <w:tc>
          <w:tcPr>
            <w:tcW w:w="172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(13,514,488 )</w:t>
            </w:r>
          </w:p>
        </w:tc>
      </w:tr>
      <w:tr>
        <w:trPr>
          <w:trHeight w:val="242"/>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(7,331,596 )</w:t>
            </w:r>
          </w:p>
        </w:tc>
        <w:tc>
          <w:tcPr>
            <w:tcW w:w="17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(5,865,006 )</w:t>
            </w:r>
          </w:p>
        </w:tc>
      </w:tr>
      <w:tr>
        <w:trPr>
          <w:trHeight w:val="233"/>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(21,076,027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(19,379,494</w:t>
            </w:r>
          </w:p>
        </w:tc>
        <w:tc>
          <w:tcPr>
            <w:tcW w:w="26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income</w:t>
            </w:r>
          </w:p>
        </w:tc>
        <w:tc>
          <w:tcPr>
            <w:tcW w:w="8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(1,494,265 </w:t>
            </w:r>
            <w:r>
              <w:rPr>
                <w:rFonts w:ascii="Times New Roman" w:cs="Times New Roman" w:eastAsia="Times New Roman" w:hAnsi="Times New Roman"/>
                <w:sz w:val="18"/>
                <w:szCs w:val="18"/>
                <w:color w:val="auto"/>
                <w:highlight w:val="white"/>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3,391,179</w:t>
            </w:r>
          </w:p>
        </w:tc>
        <w:tc>
          <w:tcPr>
            <w:tcW w:w="260" w:type="dxa"/>
            <w:vAlign w:val="bottom"/>
          </w:tcPr>
          <w:p>
            <w:pPr>
              <w:spacing w:after="0"/>
              <w:rPr>
                <w:sz w:val="20"/>
                <w:szCs w:val="20"/>
                <w:color w:val="auto"/>
              </w:rPr>
            </w:pPr>
          </w:p>
        </w:tc>
      </w:tr>
      <w:tr>
        <w:trPr>
          <w:trHeight w:val="233"/>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8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(22,570,292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(15,988,315</w:t>
            </w:r>
          </w:p>
        </w:tc>
        <w:tc>
          <w:tcPr>
            <w:tcW w:w="26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(60,657 </w:t>
            </w:r>
            <w:r>
              <w:rPr>
                <w:rFonts w:ascii="Times New Roman" w:cs="Times New Roman" w:eastAsia="Times New Roman" w:hAnsi="Times New Roman"/>
                <w:sz w:val="18"/>
                <w:szCs w:val="18"/>
                <w:color w:val="auto"/>
                <w:highlight w:val="white"/>
              </w:rPr>
              <w:t>)</w:t>
            </w:r>
          </w:p>
        </w:tc>
        <w:tc>
          <w:tcPr>
            <w:tcW w:w="17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 xml:space="preserve">(38,715 </w:t>
            </w:r>
            <w:r>
              <w:rPr>
                <w:rFonts w:ascii="Times New Roman" w:cs="Times New Roman" w:eastAsia="Times New Roman" w:hAnsi="Times New Roman"/>
                <w:sz w:val="18"/>
                <w:szCs w:val="18"/>
                <w:color w:val="auto"/>
                <w:highlight w:val="white"/>
              </w:rPr>
              <w:t>)</w:t>
            </w:r>
          </w:p>
        </w:tc>
      </w:tr>
      <w:tr>
        <w:trPr>
          <w:trHeight w:val="273"/>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(22,630,949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(16,027,030</w:t>
            </w:r>
          </w:p>
        </w:tc>
        <w:tc>
          <w:tcPr>
            <w:tcW w:w="26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8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(losses) gains arising on translation of foreign operations</w:t>
            </w:r>
          </w:p>
        </w:tc>
        <w:tc>
          <w:tcPr>
            <w:tcW w:w="8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(30,509 )</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260" w:type="dxa"/>
            <w:vAlign w:val="bottom"/>
            <w:shd w:val="clear" w:color="auto" w:fill="CFF0FC"/>
          </w:tcPr>
          <w:p>
            <w:pPr>
              <w:spacing w:after="0"/>
              <w:rPr>
                <w:sz w:val="24"/>
                <w:szCs w:val="24"/>
                <w:color w:val="auto"/>
              </w:rPr>
            </w:pPr>
          </w:p>
        </w:tc>
      </w:tr>
      <w:tr>
        <w:trPr>
          <w:trHeight w:val="224"/>
        </w:trPr>
        <w:tc>
          <w:tcPr>
            <w:tcW w:w="6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w:t>
            </w:r>
          </w:p>
        </w:tc>
        <w:tc>
          <w:tcPr>
            <w:tcW w:w="88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r>
      <w:tr>
        <w:trPr>
          <w:trHeight w:val="28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holders of the Company</w:t>
            </w:r>
          </w:p>
        </w:tc>
        <w:tc>
          <w:tcPr>
            <w:tcW w:w="8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(22,661,458 )</w:t>
            </w:r>
          </w:p>
        </w:tc>
        <w:tc>
          <w:tcPr>
            <w:tcW w:w="172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(16,018,350 )</w:t>
            </w:r>
          </w:p>
        </w:tc>
      </w:tr>
      <w:tr>
        <w:trPr>
          <w:trHeight w:val="223"/>
        </w:trPr>
        <w:tc>
          <w:tcPr>
            <w:tcW w:w="6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per share attributable to the equity holders of the Company during the periods</w:t>
            </w:r>
          </w:p>
        </w:tc>
        <w:tc>
          <w:tcPr>
            <w:tcW w:w="88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r>
      <w:tr>
        <w:trPr>
          <w:trHeight w:val="24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(0.67 )</w:t>
            </w:r>
          </w:p>
        </w:tc>
        <w:tc>
          <w:tcPr>
            <w:tcW w:w="172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(0.48 )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6932930</wp:posOffset>
            </wp:positionH>
            <wp:positionV relativeFrom="paragraph">
              <wp:posOffset>-1647825</wp:posOffset>
            </wp:positionV>
            <wp:extent cx="68580" cy="170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-998855</wp:posOffset>
            </wp:positionV>
            <wp:extent cx="112776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7760" cy="17970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-665480</wp:posOffset>
            </wp:positionV>
            <wp:extent cx="112776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27760" cy="17970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-332740</wp:posOffset>
            </wp:positionV>
            <wp:extent cx="112776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7760" cy="179705"/>
                    </a:xfrm>
                    <a:prstGeom prst="rect">
                      <a:avLst/>
                    </a:prstGeom>
                    <a:noFill/>
                  </pic:spPr>
                </pic:pic>
              </a:graphicData>
            </a:graphic>
          </wp:anchor>
        </w:drawing>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44" w:right="39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Unaudited condensed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0"/>
        </w:trPr>
        <w:tc>
          <w:tcPr>
            <w:tcW w:w="7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38"/>
        </w:trPr>
        <w:tc>
          <w:tcPr>
            <w:tcW w:w="7180" w:type="dxa"/>
            <w:vAlign w:val="bottom"/>
          </w:tcPr>
          <w:p>
            <w:pPr>
              <w:ind w:left="6740"/>
              <w:spacing w:after="0"/>
              <w:rPr>
                <w:sz w:val="20"/>
                <w:szCs w:val="20"/>
                <w:color w:val="auto"/>
              </w:rPr>
            </w:pPr>
            <w:r>
              <w:rPr>
                <w:rFonts w:ascii="Times New Roman" w:cs="Times New Roman" w:eastAsia="Times New Roman" w:hAnsi="Times New Roman"/>
                <w:sz w:val="18"/>
                <w:szCs w:val="18"/>
                <w:color w:val="auto"/>
                <w:w w:val="99"/>
              </w:rPr>
              <w:t>Notes</w:t>
            </w:r>
          </w:p>
        </w:tc>
        <w:tc>
          <w:tcPr>
            <w:tcW w:w="4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199,224</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193,474</w:t>
            </w: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381,652</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432,965</w:t>
            </w:r>
          </w:p>
        </w:tc>
        <w:tc>
          <w:tcPr>
            <w:tcW w:w="100" w:type="dxa"/>
            <w:vAlign w:val="bottom"/>
          </w:tcPr>
          <w:p>
            <w:pPr>
              <w:spacing w:after="0"/>
              <w:rPr>
                <w:sz w:val="20"/>
                <w:szCs w:val="20"/>
                <w:color w:val="auto"/>
              </w:rPr>
            </w:pPr>
          </w:p>
        </w:tc>
      </w:tr>
      <w:tr>
        <w:trPr>
          <w:trHeight w:val="24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90,062</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259,803</w:t>
            </w:r>
          </w:p>
        </w:tc>
        <w:tc>
          <w:tcPr>
            <w:tcW w:w="100" w:type="dxa"/>
            <w:vAlign w:val="bottom"/>
            <w:shd w:val="clear" w:color="auto" w:fill="CFF0FC"/>
          </w:tcPr>
          <w:p>
            <w:pPr>
              <w:spacing w:after="0"/>
              <w:rPr>
                <w:sz w:val="21"/>
                <w:szCs w:val="21"/>
                <w:color w:val="auto"/>
              </w:rPr>
            </w:pP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10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394,082</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382,468</w:t>
            </w: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11,554,398</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4,626,844</w:t>
            </w:r>
          </w:p>
        </w:tc>
        <w:tc>
          <w:tcPr>
            <w:tcW w:w="100" w:type="dxa"/>
            <w:vAlign w:val="bottom"/>
          </w:tcPr>
          <w:p>
            <w:pPr>
              <w:spacing w:after="0"/>
              <w:rPr>
                <w:sz w:val="20"/>
                <w:szCs w:val="20"/>
                <w:color w:val="auto"/>
              </w:rPr>
            </w:pPr>
          </w:p>
        </w:tc>
      </w:tr>
      <w:tr>
        <w:trPr>
          <w:trHeight w:val="24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12</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135,181,223</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161,837,429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147,800,641</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167,732,983</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13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4,059,724</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4,057,976</w:t>
            </w:r>
          </w:p>
        </w:tc>
        <w:tc>
          <w:tcPr>
            <w:tcW w:w="100" w:type="dxa"/>
            <w:vAlign w:val="bottom"/>
          </w:tcPr>
          <w:p>
            <w:pPr>
              <w:spacing w:after="0"/>
              <w:rPr>
                <w:sz w:val="20"/>
                <w:szCs w:val="20"/>
                <w:color w:val="auto"/>
              </w:rPr>
            </w:pPr>
          </w:p>
        </w:tc>
      </w:tr>
      <w:tr>
        <w:trPr>
          <w:trHeight w:val="24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4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289,452,258</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289,177,197</w:t>
            </w: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22,475,537</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20,169,459</w:t>
            </w:r>
          </w:p>
        </w:tc>
        <w:tc>
          <w:tcPr>
            <w:tcW w:w="100" w:type="dxa"/>
            <w:vAlign w:val="bottom"/>
          </w:tcPr>
          <w:p>
            <w:pPr>
              <w:spacing w:after="0"/>
              <w:rPr>
                <w:sz w:val="20"/>
                <w:szCs w:val="20"/>
                <w:color w:val="auto"/>
              </w:rPr>
            </w:pPr>
          </w:p>
        </w:tc>
      </w:tr>
      <w:tr>
        <w:trPr>
          <w:trHeight w:val="24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4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43,290</w:t>
            </w: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w:t>
            </w:r>
          </w:p>
        </w:tc>
        <w:tc>
          <w:tcPr>
            <w:tcW w:w="46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(186,852,641 )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(164,188,892 )</w:t>
            </w:r>
          </w:p>
        </w:tc>
      </w:tr>
      <w:tr>
        <w:trPr>
          <w:trHeight w:val="27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129,147,659</w:t>
            </w:r>
          </w:p>
        </w:tc>
        <w:tc>
          <w:tcPr>
            <w:tcW w:w="2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149,259,030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4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158,398</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249,418</w:t>
            </w:r>
          </w:p>
        </w:tc>
        <w:tc>
          <w:tcPr>
            <w:tcW w:w="100" w:type="dxa"/>
            <w:vAlign w:val="bottom"/>
          </w:tcPr>
          <w:p>
            <w:pPr>
              <w:spacing w:after="0"/>
              <w:rPr>
                <w:sz w:val="20"/>
                <w:szCs w:val="20"/>
                <w:color w:val="auto"/>
              </w:rPr>
            </w:pPr>
          </w:p>
        </w:tc>
      </w:tr>
      <w:tr>
        <w:trPr>
          <w:trHeight w:val="24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8,030,293</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6,685,080</w:t>
            </w:r>
          </w:p>
        </w:tc>
        <w:tc>
          <w:tcPr>
            <w:tcW w:w="100" w:type="dxa"/>
            <w:vAlign w:val="bottom"/>
          </w:tcPr>
          <w:p>
            <w:pPr>
              <w:spacing w:after="0"/>
              <w:rPr>
                <w:sz w:val="20"/>
                <w:szCs w:val="20"/>
                <w:color w:val="auto"/>
              </w:rPr>
            </w:pPr>
          </w:p>
        </w:tc>
      </w:tr>
      <w:tr>
        <w:trPr>
          <w:trHeight w:val="24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15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9,883,925</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10,890,749</w:t>
            </w: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228,120</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187,404</w:t>
            </w:r>
          </w:p>
        </w:tc>
        <w:tc>
          <w:tcPr>
            <w:tcW w:w="100" w:type="dxa"/>
            <w:vAlign w:val="bottom"/>
          </w:tcPr>
          <w:p>
            <w:pPr>
              <w:spacing w:after="0"/>
              <w:rPr>
                <w:sz w:val="20"/>
                <w:szCs w:val="20"/>
                <w:color w:val="auto"/>
              </w:rPr>
            </w:pPr>
          </w:p>
        </w:tc>
      </w:tr>
      <w:tr>
        <w:trPr>
          <w:trHeight w:val="242"/>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payable</w:t>
            </w:r>
          </w:p>
        </w:tc>
        <w:tc>
          <w:tcPr>
            <w:tcW w:w="4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352,246</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18,652,982</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18,473,953</w:t>
            </w:r>
          </w:p>
        </w:tc>
        <w:tc>
          <w:tcPr>
            <w:tcW w:w="100" w:type="dxa"/>
            <w:vAlign w:val="bottom"/>
          </w:tcPr>
          <w:p>
            <w:pPr>
              <w:spacing w:after="0"/>
              <w:rPr>
                <w:sz w:val="20"/>
                <w:szCs w:val="20"/>
                <w:color w:val="auto"/>
              </w:rPr>
            </w:pPr>
          </w:p>
        </w:tc>
      </w:tr>
      <w:tr>
        <w:trPr>
          <w:trHeight w:val="27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6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147,800,641</w:t>
            </w:r>
          </w:p>
        </w:tc>
        <w:tc>
          <w:tcPr>
            <w:tcW w:w="2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167,732,983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-3185795</wp:posOffset>
            </wp:positionV>
            <wp:extent cx="68580" cy="187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-3185795</wp:posOffset>
            </wp:positionV>
            <wp:extent cx="59690" cy="187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187960"/>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-1605280</wp:posOffset>
            </wp:positionV>
            <wp:extent cx="105092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50925" cy="1797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-349885</wp:posOffset>
            </wp:positionV>
            <wp:extent cx="68580" cy="170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-349885</wp:posOffset>
            </wp:positionV>
            <wp:extent cx="59690" cy="170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17081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-24765</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-7620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9"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60"/>
          </w:cols>
          <w:pgMar w:left="320" w:top="447" w:right="61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2023 and March 31, 2022</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Share</w:t>
            </w: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Currency</w:t>
            </w:r>
          </w:p>
        </w:tc>
        <w:tc>
          <w:tcPr>
            <w:tcW w:w="122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Accumulated</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color w:val="auto"/>
              </w:rPr>
              <w:t>translation</w:t>
            </w:r>
          </w:p>
        </w:tc>
        <w:tc>
          <w:tcPr>
            <w:tcW w:w="12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capital</w:t>
            </w:r>
          </w:p>
        </w:tc>
        <w:tc>
          <w:tcPr>
            <w:tcW w:w="24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premium</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reserves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reserve</w:t>
            </w:r>
          </w:p>
        </w:tc>
        <w:tc>
          <w:tcPr>
            <w:tcW w:w="122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color w:val="auto"/>
              </w:rPr>
              <w:t>losses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68"/>
        </w:trPr>
        <w:tc>
          <w:tcPr>
            <w:tcW w:w="3500" w:type="dxa"/>
            <w:vAlign w:val="bottom"/>
          </w:tcPr>
          <w:p>
            <w:pPr>
              <w:ind w:left="3160"/>
              <w:spacing w:after="0"/>
              <w:rPr>
                <w:sz w:val="20"/>
                <w:szCs w:val="20"/>
                <w:color w:val="auto"/>
              </w:rPr>
            </w:pPr>
            <w:r>
              <w:rPr>
                <w:rFonts w:ascii="Times New Roman" w:cs="Times New Roman" w:eastAsia="Times New Roman" w:hAnsi="Times New Roman"/>
                <w:sz w:val="14"/>
                <w:szCs w:val="14"/>
                <w:color w:val="auto"/>
                <w:w w:val="97"/>
              </w:rPr>
              <w:t>Notes</w:t>
            </w:r>
          </w:p>
        </w:tc>
        <w:tc>
          <w:tcPr>
            <w:tcW w:w="400" w:type="dxa"/>
            <w:vAlign w:val="bottom"/>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4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3,978,226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278,742,900</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9,774,416</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25,928</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(87,568,401 )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204,953,069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(16,027,030 )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(16,027,030 )</w:t>
            </w:r>
          </w:p>
        </w:tc>
        <w:tc>
          <w:tcPr>
            <w:tcW w:w="0" w:type="dxa"/>
            <w:vAlign w:val="bottom"/>
          </w:tcPr>
          <w:p>
            <w:pPr>
              <w:spacing w:after="0"/>
              <w:rPr>
                <w:sz w:val="1"/>
                <w:szCs w:val="1"/>
                <w:color w:val="auto"/>
              </w:rPr>
            </w:pPr>
          </w:p>
        </w:tc>
      </w:tr>
      <w:tr>
        <w:trPr>
          <w:trHeight w:val="17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Issue of share capital</w:t>
            </w:r>
          </w:p>
        </w:tc>
        <w:tc>
          <w:tcPr>
            <w:tcW w:w="40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99"/>
              </w:rPr>
              <w:t>13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8,279</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 on issue of shares</w:t>
            </w: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(250 )</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(250 )</w:t>
            </w:r>
          </w:p>
        </w:tc>
        <w:tc>
          <w:tcPr>
            <w:tcW w:w="0" w:type="dxa"/>
            <w:vAlign w:val="bottom"/>
          </w:tcPr>
          <w:p>
            <w:pPr>
              <w:spacing w:after="0"/>
              <w:rPr>
                <w:sz w:val="1"/>
                <w:szCs w:val="1"/>
                <w:color w:val="auto"/>
              </w:rPr>
            </w:pPr>
          </w:p>
        </w:tc>
      </w:tr>
      <w:tr>
        <w:trPr>
          <w:trHeight w:val="17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Currency translation reserve</w:t>
            </w:r>
          </w:p>
        </w:tc>
        <w:tc>
          <w:tcPr>
            <w:tcW w:w="4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9"/>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1,946,938</w:t>
            </w: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1,946,938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4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3,978,286</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278,750,929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11,721,354</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34,608</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(103,595,431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190,889,746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4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4,057,976</w:t>
            </w:r>
          </w:p>
        </w:tc>
        <w:tc>
          <w:tcPr>
            <w:tcW w:w="12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289,177,197</w:t>
            </w:r>
          </w:p>
        </w:tc>
        <w:tc>
          <w:tcPr>
            <w:tcW w:w="2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20,169,459</w:t>
            </w:r>
          </w:p>
        </w:tc>
        <w:tc>
          <w:tcPr>
            <w:tcW w:w="2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43,290</w:t>
            </w:r>
          </w:p>
        </w:tc>
        <w:tc>
          <w:tcPr>
            <w:tcW w:w="220" w:type="dxa"/>
            <w:vAlign w:val="bottom"/>
          </w:tcPr>
          <w:p>
            <w:pPr>
              <w:spacing w:after="0"/>
              <w:rPr>
                <w:sz w:val="13"/>
                <w:szCs w:val="13"/>
                <w:color w:val="auto"/>
              </w:rPr>
            </w:pPr>
          </w:p>
        </w:tc>
        <w:tc>
          <w:tcPr>
            <w:tcW w:w="122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(164,188,892 )</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149,259,030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(22,630,949 )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(22,630,949 )</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reserve</w:t>
            </w: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(30,509 )</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(30,509 )</w:t>
            </w:r>
          </w:p>
        </w:tc>
        <w:tc>
          <w:tcPr>
            <w:tcW w:w="0" w:type="dxa"/>
            <w:vAlign w:val="bottom"/>
          </w:tcPr>
          <w:p>
            <w:pPr>
              <w:spacing w:after="0"/>
              <w:rPr>
                <w:sz w:val="1"/>
                <w:szCs w:val="1"/>
                <w:color w:val="auto"/>
              </w:rPr>
            </w:pPr>
          </w:p>
        </w:tc>
      </w:tr>
      <w:tr>
        <w:trPr>
          <w:trHeight w:val="17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Settlement of share-based payments</w:t>
            </w:r>
          </w:p>
        </w:tc>
        <w:tc>
          <w:tcPr>
            <w:tcW w:w="4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275,061</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(276,809 )</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(32,800 )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(32,800 )</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9"/>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2,582,887</w:t>
            </w: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2,582,887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4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4,059,724</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289,452,258</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22,475,537</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12,781</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(186,852,641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129,147,659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-725170</wp:posOffset>
            </wp:positionV>
            <wp:extent cx="3997960" cy="13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97960" cy="13652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38"/>
        </w:trPr>
        <w:tc>
          <w:tcPr>
            <w:tcW w:w="6640" w:type="dxa"/>
            <w:vAlign w:val="bottom"/>
          </w:tcPr>
          <w:p>
            <w:pPr>
              <w:spacing w:after="0"/>
              <w:rPr>
                <w:sz w:val="20"/>
                <w:szCs w:val="20"/>
                <w:color w:val="auto"/>
              </w:rPr>
            </w:pPr>
          </w:p>
        </w:tc>
        <w:tc>
          <w:tcPr>
            <w:tcW w:w="1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(22,570,292 )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(15,988,315 )</w:t>
            </w: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Non-cash adjustments to reconcile loss before tax to net cash flows from operations:</w:t>
            </w:r>
          </w:p>
        </w:tc>
        <w:tc>
          <w:tcPr>
            <w:tcW w:w="1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18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2,582,887</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1,946,938</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4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61,869</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1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1,595,478</w:t>
            </w:r>
          </w:p>
        </w:tc>
        <w:tc>
          <w:tcPr>
            <w:tcW w:w="22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(3,436,187 )</w:t>
            </w: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expense (income)</w:t>
            </w:r>
          </w:p>
        </w:tc>
        <w:tc>
          <w:tcPr>
            <w:tcW w:w="14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6</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(101,213 )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00" w:type="dxa"/>
            <w:vAlign w:val="bottom"/>
            <w:shd w:val="clear" w:color="auto" w:fill="CFF0FC"/>
          </w:tcPr>
          <w:p>
            <w:pPr>
              <w:spacing w:after="0"/>
              <w:rPr>
                <w:sz w:val="21"/>
                <w:szCs w:val="21"/>
                <w:color w:val="auto"/>
              </w:rPr>
            </w:pPr>
          </w:p>
        </w:tc>
      </w:tr>
      <w:tr>
        <w:trPr>
          <w:trHeight w:val="242"/>
        </w:trPr>
        <w:tc>
          <w:tcPr>
            <w:tcW w:w="66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receivables</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(11,614 )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4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(6,927,554 )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(3,275,589 )</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trade and other payables</w:t>
            </w:r>
          </w:p>
        </w:tc>
        <w:tc>
          <w:tcPr>
            <w:tcW w:w="1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1,215,762</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854,291</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 accrued liabilities</w:t>
            </w:r>
          </w:p>
        </w:tc>
        <w:tc>
          <w:tcPr>
            <w:tcW w:w="14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(1,101,550 )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1,963,578</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(2,270 )</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(Paid) received interest</w:t>
            </w:r>
          </w:p>
        </w:tc>
        <w:tc>
          <w:tcPr>
            <w:tcW w:w="1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53,712</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(50,134 )</w:t>
            </w:r>
          </w:p>
        </w:tc>
      </w:tr>
      <w:tr>
        <w:trPr>
          <w:trHeight w:val="20"/>
        </w:trPr>
        <w:tc>
          <w:tcPr>
            <w:tcW w:w="664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(25,204,785 )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(17,881,192 )</w:t>
            </w:r>
          </w:p>
        </w:tc>
      </w:tr>
      <w:tr>
        <w:trPr>
          <w:trHeight w:val="20"/>
        </w:trPr>
        <w:tc>
          <w:tcPr>
            <w:tcW w:w="6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6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8</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(19,038 )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(26,372 )</w:t>
            </w:r>
          </w:p>
        </w:tc>
      </w:tr>
      <w:tr>
        <w:trPr>
          <w:trHeight w:val="20"/>
        </w:trPr>
        <w:tc>
          <w:tcPr>
            <w:tcW w:w="664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(19,038 )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(26,372 )</w:t>
            </w:r>
          </w:p>
        </w:tc>
      </w:tr>
      <w:tr>
        <w:trPr>
          <w:trHeight w:val="20"/>
        </w:trPr>
        <w:tc>
          <w:tcPr>
            <w:tcW w:w="6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6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issue of shares</w:t>
            </w:r>
          </w:p>
        </w:tc>
        <w:tc>
          <w:tcPr>
            <w:tcW w:w="14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13</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142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(102,443 )</w:t>
            </w: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principal portion of lease liabilities</w:t>
            </w:r>
          </w:p>
        </w:tc>
        <w:tc>
          <w:tcPr>
            <w:tcW w:w="14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9</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(56,752 )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(16,022 )</w:t>
            </w:r>
          </w:p>
        </w:tc>
      </w:tr>
      <w:tr>
        <w:trPr>
          <w:trHeight w:val="20"/>
        </w:trPr>
        <w:tc>
          <w:tcPr>
            <w:tcW w:w="664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by financing activities</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(56,752 )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(110,126 )</w:t>
            </w:r>
          </w:p>
        </w:tc>
      </w:tr>
      <w:tr>
        <w:trPr>
          <w:trHeight w:val="20"/>
        </w:trPr>
        <w:tc>
          <w:tcPr>
            <w:tcW w:w="6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6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spacing w:after="0"/>
              <w:rPr>
                <w:sz w:val="19"/>
                <w:szCs w:val="19"/>
                <w:color w:val="auto"/>
              </w:rPr>
            </w:pPr>
          </w:p>
        </w:tc>
        <w:tc>
          <w:tcPr>
            <w:tcW w:w="1520" w:type="dxa"/>
            <w:vAlign w:val="bottom"/>
            <w:gridSpan w:val="2"/>
            <w:shd w:val="clear" w:color="auto" w:fill="CFF0FC"/>
          </w:tcPr>
          <w:p>
            <w:pPr>
              <w:spacing w:after="0"/>
              <w:rPr>
                <w:sz w:val="19"/>
                <w:szCs w:val="19"/>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(25,280,575 )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(18,017,690 )</w:t>
            </w: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161,837,429</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209,353,132</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(1,375,631 )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3,439,302</w:t>
            </w:r>
          </w:p>
        </w:tc>
        <w:tc>
          <w:tcPr>
            <w:tcW w:w="100" w:type="dxa"/>
            <w:vAlign w:val="bottom"/>
          </w:tcPr>
          <w:p>
            <w:pPr>
              <w:spacing w:after="0"/>
              <w:rPr>
                <w:sz w:val="20"/>
                <w:szCs w:val="20"/>
                <w:color w:val="auto"/>
              </w:rPr>
            </w:pPr>
          </w:p>
        </w:tc>
      </w:tr>
      <w:tr>
        <w:trPr>
          <w:trHeight w:val="28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20" w:type="dxa"/>
            <w:vAlign w:val="bottom"/>
            <w:tcBorders>
              <w:bottom w:val="single" w:sz="8" w:color="CFF0FC"/>
            </w:tcBorders>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12</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135,181,223</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194,774,744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-2596515</wp:posOffset>
            </wp:positionV>
            <wp:extent cx="68580" cy="187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-2596515</wp:posOffset>
            </wp:positionV>
            <wp:extent cx="68580" cy="1879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-1946910</wp:posOffset>
            </wp:positionV>
            <wp:extent cx="68580" cy="1879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-1946910</wp:posOffset>
            </wp:positionV>
            <wp:extent cx="68580" cy="187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-989965</wp:posOffset>
            </wp:positionV>
            <wp:extent cx="68580" cy="187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-989965</wp:posOffset>
            </wp:positionV>
            <wp:extent cx="68580" cy="187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19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4" w:name="page25"/>
    <w:bookmarkEnd w:id="24"/>
    <w:p>
      <w:pPr>
        <w:ind w:right="3360"/>
        <w:spacing w:after="0" w:line="370"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2" w:lineRule="exact"/>
        <w:rPr>
          <w:sz w:val="20"/>
          <w:szCs w:val="20"/>
          <w:color w:val="auto"/>
        </w:rPr>
      </w:pPr>
    </w:p>
    <w:p>
      <w:pPr>
        <w:ind w:right="700"/>
        <w:spacing w:after="0" w:line="284" w:lineRule="auto"/>
        <w:rPr>
          <w:sz w:val="20"/>
          <w:szCs w:val="20"/>
          <w:color w:val="auto"/>
        </w:rPr>
      </w:pPr>
      <w:r>
        <w:rPr>
          <w:rFonts w:ascii="Arial" w:cs="Arial" w:eastAsia="Arial" w:hAnsi="Arial"/>
          <w:sz w:val="16"/>
          <w:szCs w:val="16"/>
          <w:color w:val="auto"/>
        </w:rPr>
        <w:t>The Company’s registered office is located at Emmy Noetherweg 2, Leiden. It has been registered at the Chamber of Commerce under file number 64239411.</w:t>
      </w:r>
    </w:p>
    <w:p>
      <w:pPr>
        <w:spacing w:after="0" w:line="49"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49"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March 31, 2023 and December 31, 2022, and for the three months ended March 31, 2023 and 2022 were authorized for issue in accordance with a resolution of the directors on May 8,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 of equity interest as</w:t>
            </w:r>
          </w:p>
        </w:tc>
      </w:tr>
      <w:tr>
        <w:trPr>
          <w:trHeight w:val="247"/>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 of</w:t>
            </w:r>
          </w:p>
        </w:tc>
        <w:tc>
          <w:tcPr>
            <w:tcW w:w="1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center"/>
              <w:ind w:right="113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31"/>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seat</w:t>
            </w:r>
          </w:p>
        </w:tc>
        <w:tc>
          <w:tcPr>
            <w:tcW w:w="18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12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2023</w:t>
            </w:r>
          </w:p>
        </w:tc>
        <w:tc>
          <w:tcPr>
            <w:tcW w:w="2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40"/>
        </w:trPr>
        <w:tc>
          <w:tcPr>
            <w:tcW w:w="80" w:type="dxa"/>
            <w:vAlign w:val="bottom"/>
          </w:tcPr>
          <w:p>
            <w:pPr>
              <w:spacing w:after="0"/>
              <w:rPr>
                <w:sz w:val="20"/>
                <w:szCs w:val="20"/>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Pharvaris Holdings B.V.</w:t>
            </w:r>
          </w:p>
        </w:tc>
        <w:tc>
          <w:tcPr>
            <w:tcW w:w="18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Leiden</w:t>
            </w:r>
          </w:p>
        </w:tc>
        <w:tc>
          <w:tcPr>
            <w:tcW w:w="180" w:type="dxa"/>
            <w:vAlign w:val="bottom"/>
            <w:shd w:val="clear" w:color="auto" w:fill="CFF0FC"/>
          </w:tcPr>
          <w:p>
            <w:pPr>
              <w:spacing w:after="0"/>
              <w:rPr>
                <w:sz w:val="20"/>
                <w:szCs w:val="20"/>
                <w:color w:val="auto"/>
              </w:rPr>
            </w:pPr>
          </w:p>
        </w:tc>
        <w:tc>
          <w:tcPr>
            <w:tcW w:w="2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0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8"/>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Pharvaris Netherlands B.V.</w:t>
            </w:r>
          </w:p>
        </w:tc>
        <w:tc>
          <w:tcPr>
            <w:tcW w:w="18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Leiden</w:t>
            </w:r>
          </w:p>
        </w:tc>
        <w:tc>
          <w:tcPr>
            <w:tcW w:w="18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22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6"/>
        </w:trPr>
        <w:tc>
          <w:tcPr>
            <w:tcW w:w="80" w:type="dxa"/>
            <w:vAlign w:val="bottom"/>
          </w:tcPr>
          <w:p>
            <w:pPr>
              <w:spacing w:after="0"/>
              <w:rPr>
                <w:sz w:val="21"/>
                <w:szCs w:val="21"/>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Pharvaris GmbH</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Zug</w:t>
            </w:r>
          </w:p>
        </w:tc>
        <w:tc>
          <w:tcPr>
            <w:tcW w:w="180" w:type="dxa"/>
            <w:vAlign w:val="bottom"/>
            <w:shd w:val="clear" w:color="auto" w:fill="CFF0FC"/>
          </w:tcPr>
          <w:p>
            <w:pPr>
              <w:spacing w:after="0"/>
              <w:rPr>
                <w:sz w:val="21"/>
                <w:szCs w:val="21"/>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200" w:type="dxa"/>
            <w:vAlign w:val="bottom"/>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2280" w:type="dxa"/>
            <w:vAlign w:val="bottom"/>
            <w:gridSpan w:val="3"/>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2"/>
        </w:trPr>
        <w:tc>
          <w:tcPr>
            <w:tcW w:w="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Pharvaris, Inc.</w:t>
            </w:r>
          </w:p>
        </w:tc>
        <w:tc>
          <w:tcPr>
            <w:tcW w:w="18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8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22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ultimate parent company</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07"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The unaudited condensed consolidated interim financial statements of the Group have been prepared in accordance with International Financial Reporting Standards (IFRS) as issued by the International Accounting Standards Board (IASB).</w:t>
      </w:r>
    </w:p>
    <w:p>
      <w:pPr>
        <w:spacing w:after="0" w:line="4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and should be read in conjunction with the Group’s annual consolidated financial statements for the year ended December 31, 2022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0"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49" w:lineRule="exact"/>
        <w:rPr>
          <w:sz w:val="20"/>
          <w:szCs w:val="20"/>
          <w:color w:val="auto"/>
        </w:rPr>
      </w:pPr>
    </w:p>
    <w:p>
      <w:pPr>
        <w:jc w:val="both"/>
        <w:ind w:right="220"/>
        <w:spacing w:after="0" w:line="284"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 of prior period loss per share</w:t>
      </w:r>
    </w:p>
    <w:p>
      <w:pPr>
        <w:spacing w:after="0" w:line="22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In the period ended June 30, 2022, the Company determined that it had incorrectly computed the weighted average number of ordinary shares outstanding used as denominator in calculating its basic and diluted loss per share in previously issued interim financial statements. This error had no impact on the Company’s operating expenses, or loss for the period, and had no impact on the Company’s consolidated statements of financial position, consolidated statements of changes in equity or consolidated statements of cash flows.</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Company assessed the materiality of these errors on the previously issued condensed consolidated interim financial statements and concluded that the errors were not material to any period presented. The impact of the revision of the previously issued interim financial statements is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reported vs revised ‘weighted average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 reported weighted average</w:t>
            </w:r>
          </w:p>
        </w:tc>
        <w:tc>
          <w:tcPr>
            <w:tcW w:w="28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Revision of weighted</w:t>
            </w:r>
          </w:p>
        </w:tc>
        <w:tc>
          <w:tcPr>
            <w:tcW w:w="100" w:type="dxa"/>
            <w:vAlign w:val="bottom"/>
          </w:tcPr>
          <w:p>
            <w:pPr>
              <w:spacing w:after="0"/>
              <w:rPr>
                <w:sz w:val="13"/>
                <w:szCs w:val="13"/>
                <w:color w:val="auto"/>
              </w:rPr>
            </w:pPr>
          </w:p>
        </w:tc>
      </w:tr>
      <w:tr>
        <w:trPr>
          <w:trHeight w:val="148"/>
        </w:trPr>
        <w:tc>
          <w:tcPr>
            <w:tcW w:w="6020" w:type="dxa"/>
            <w:vAlign w:val="bottom"/>
          </w:tcPr>
          <w:p>
            <w:pPr>
              <w:spacing w:after="0"/>
              <w:rPr>
                <w:sz w:val="12"/>
                <w:szCs w:val="12"/>
                <w:color w:val="auto"/>
              </w:rPr>
            </w:pPr>
          </w:p>
        </w:tc>
        <w:tc>
          <w:tcPr>
            <w:tcW w:w="22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number of</w:t>
            </w:r>
          </w:p>
        </w:tc>
        <w:tc>
          <w:tcPr>
            <w:tcW w:w="280" w:type="dxa"/>
            <w:vAlign w:val="bottom"/>
          </w:tcPr>
          <w:p>
            <w:pPr>
              <w:spacing w:after="0"/>
              <w:rPr>
                <w:sz w:val="12"/>
                <w:szCs w:val="12"/>
                <w:color w:val="auto"/>
              </w:rPr>
            </w:pPr>
          </w:p>
        </w:tc>
        <w:tc>
          <w:tcPr>
            <w:tcW w:w="26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average number of shares</w:t>
            </w:r>
          </w:p>
        </w:tc>
        <w:tc>
          <w:tcPr>
            <w:tcW w:w="100" w:type="dxa"/>
            <w:vAlign w:val="bottom"/>
          </w:tcPr>
          <w:p>
            <w:pPr>
              <w:spacing w:after="0"/>
              <w:rPr>
                <w:sz w:val="12"/>
                <w:szCs w:val="12"/>
                <w:color w:val="auto"/>
              </w:rPr>
            </w:pPr>
          </w:p>
        </w:tc>
      </w:tr>
      <w:tr>
        <w:trPr>
          <w:trHeight w:val="184"/>
        </w:trPr>
        <w:tc>
          <w:tcPr>
            <w:tcW w:w="60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 (YTD)</w:t>
            </w:r>
          </w:p>
        </w:tc>
        <w:tc>
          <w:tcPr>
            <w:tcW w:w="28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(YTD)</w:t>
            </w:r>
          </w:p>
        </w:tc>
        <w:tc>
          <w:tcPr>
            <w:tcW w:w="100" w:type="dxa"/>
            <w:vAlign w:val="bottom"/>
          </w:tcPr>
          <w:p>
            <w:pPr>
              <w:spacing w:after="0"/>
              <w:rPr>
                <w:sz w:val="16"/>
                <w:szCs w:val="16"/>
                <w:color w:val="auto"/>
              </w:rPr>
            </w:pPr>
          </w:p>
        </w:tc>
      </w:tr>
      <w:tr>
        <w:trPr>
          <w:trHeight w:val="168"/>
        </w:trPr>
        <w:tc>
          <w:tcPr>
            <w:tcW w:w="6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9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33,135,821</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33,151,892</w:t>
            </w:r>
          </w:p>
        </w:tc>
        <w:tc>
          <w:tcPr>
            <w:tcW w:w="100" w:type="dxa"/>
            <w:vAlign w:val="bottom"/>
            <w:shd w:val="clear" w:color="auto" w:fill="CFF0FC"/>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reported vs revised ‘basic and diluted loss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As reported weighted average</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Revision of weighted</w:t>
            </w:r>
          </w:p>
        </w:tc>
      </w:tr>
      <w:tr>
        <w:trPr>
          <w:trHeight w:val="148"/>
        </w:trPr>
        <w:tc>
          <w:tcPr>
            <w:tcW w:w="6020" w:type="dxa"/>
            <w:vAlign w:val="bottom"/>
          </w:tcPr>
          <w:p>
            <w:pPr>
              <w:spacing w:after="0"/>
              <w:rPr>
                <w:sz w:val="12"/>
                <w:szCs w:val="12"/>
                <w:color w:val="auto"/>
              </w:rPr>
            </w:pPr>
          </w:p>
        </w:tc>
        <w:tc>
          <w:tcPr>
            <w:tcW w:w="248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color w:val="auto"/>
              </w:rPr>
              <w:t>number of</w:t>
            </w:r>
          </w:p>
        </w:tc>
        <w:tc>
          <w:tcPr>
            <w:tcW w:w="274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color w:val="auto"/>
              </w:rPr>
              <w:t>average number of shares</w:t>
            </w:r>
          </w:p>
        </w:tc>
      </w:tr>
      <w:tr>
        <w:trPr>
          <w:trHeight w:val="184"/>
        </w:trPr>
        <w:tc>
          <w:tcPr>
            <w:tcW w:w="6020" w:type="dxa"/>
            <w:vAlign w:val="bottom"/>
          </w:tcPr>
          <w:p>
            <w:pPr>
              <w:spacing w:after="0"/>
              <w:rPr>
                <w:sz w:val="16"/>
                <w:szCs w:val="16"/>
                <w:color w:val="auto"/>
              </w:rPr>
            </w:pPr>
          </w:p>
        </w:tc>
        <w:tc>
          <w:tcPr>
            <w:tcW w:w="2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shares (YTD)</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(YTD)</w:t>
            </w:r>
          </w:p>
        </w:tc>
      </w:tr>
      <w:tr>
        <w:trPr>
          <w:trHeight w:val="168"/>
        </w:trPr>
        <w:tc>
          <w:tcPr>
            <w:tcW w:w="6020" w:type="dxa"/>
            <w:vAlign w:val="bottom"/>
          </w:tcPr>
          <w:p>
            <w:pPr>
              <w:spacing w:after="0"/>
              <w:rPr>
                <w:sz w:val="14"/>
                <w:szCs w:val="14"/>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5"/>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(0.48 )</w:t>
            </w:r>
          </w:p>
        </w:tc>
        <w:tc>
          <w:tcPr>
            <w:tcW w:w="2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(0.48 )</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07"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such, Pharvaris anticipates on-going negative operating cash</w:t>
      </w:r>
    </w:p>
    <w:p>
      <w:pPr>
        <w:spacing w:after="0" w:line="1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6" w:name="page27"/>
    <w:bookmarkEnd w:id="26"/>
    <w:p>
      <w:pPr>
        <w:jc w:val="both"/>
        <w:ind w:right="500"/>
        <w:spacing w:after="0" w:line="284" w:lineRule="auto"/>
        <w:rPr>
          <w:sz w:val="20"/>
          <w:szCs w:val="20"/>
          <w:color w:val="auto"/>
        </w:rPr>
      </w:pPr>
      <w:r>
        <w:rPr>
          <w:rFonts w:ascii="Arial" w:cs="Arial" w:eastAsia="Arial" w:hAnsi="Arial"/>
          <w:sz w:val="16"/>
          <w:szCs w:val="16"/>
          <w:color w:val="auto"/>
        </w:rPr>
        <w:t>flows for the foreseeable future before the company has a product candidate ready for commercialization, if at all. This makes the Group dependent on external capital sources, debt capital and equity capital. Historically, the Group has obtained financing primary through the offering of equity securities.</w:t>
      </w:r>
    </w:p>
    <w:p>
      <w:pPr>
        <w:spacing w:after="0" w:line="49"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As of March 31, 2023 and December 31, 2022 the Group had cash of €135.2 million and €161.8 million, respectively. The Group incurred net losses of €22.6 million in the three months ended March 31, 2023 and €16.0 million in the same period in 2022 and negative operating cash flows of €25.2 million and €17.9 million in the three months ended March 31, 2023 and the three months ended March 31, 2022 respectively.</w:t>
      </w:r>
    </w:p>
    <w:p>
      <w:pPr>
        <w:spacing w:after="0" w:line="130"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The Group does not expect positive operating cash flows in the foreseeable future and remains dependent on additional financing to fund its research and development expenses, general and administrative expenses and financing costs. The Group believes that the available cash balances are sufficient to execute the Group’s operating plan and strategies and to meet the anticipated working capital requirements and settle all expected liabilities for at least twelve months from the issuance date of these unaudited interim financial statements. Accordingly, the unaudited interim financial statements have been prepared on a going concern basis.</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future viability of the Group is dependent on its ability to successfully develop and commercialize its products and its ability to raise additional capital to finance its operations. The Group will need to finance its operations through public or private securities offerings, debt financings or other sources, which may include licensing, collaborations or other strategic transactions or arrangements. Although the Group has been successful in raising capital in the past, there is no assurance that it will be successful in obtaining such additional financing on terms acceptable to the Group, if at all. If the Group is unable to obtain funding, the Group could be forced to delay, reduce, or eliminate some or all of its research and development programs for product candidates, product portfolio expansion or commercialization efforts, which could adversely affect its business prospects, or the Group may be unable to continue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07"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49"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significant accounting policies</w:t>
      </w:r>
    </w:p>
    <w:p>
      <w:pPr>
        <w:spacing w:after="0" w:line="107"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60" w:type="dxa"/>
            <w:vAlign w:val="bottom"/>
          </w:tcPr>
          <w:p>
            <w:pPr>
              <w:spacing w:after="0"/>
              <w:rPr>
                <w:sz w:val="20"/>
                <w:szCs w:val="20"/>
                <w:color w:val="auto"/>
              </w:rPr>
            </w:pPr>
          </w:p>
        </w:tc>
        <w:tc>
          <w:tcPr>
            <w:tcW w:w="40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8"/>
        </w:trPr>
        <w:tc>
          <w:tcPr>
            <w:tcW w:w="7160" w:type="dxa"/>
            <w:vAlign w:val="bottom"/>
          </w:tcPr>
          <w:p>
            <w:pPr>
              <w:spacing w:after="0"/>
              <w:rPr>
                <w:sz w:val="20"/>
                <w:szCs w:val="20"/>
                <w:color w:val="auto"/>
              </w:rPr>
            </w:pPr>
          </w:p>
        </w:tc>
        <w:tc>
          <w:tcPr>
            <w:tcW w:w="19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36"/>
        </w:trPr>
        <w:tc>
          <w:tcPr>
            <w:tcW w:w="71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expenses (Note 5)</w:t>
            </w:r>
          </w:p>
        </w:tc>
        <w:tc>
          <w:tcPr>
            <w:tcW w:w="2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(4,217,700 )</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(2,529,171 )</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expenses</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(4,868,447 )</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(6,566,065 )</w:t>
            </w:r>
          </w:p>
        </w:tc>
      </w:tr>
      <w:tr>
        <w:trPr>
          <w:trHeight w:val="24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Nonclinical expenses</w:t>
            </w:r>
          </w:p>
        </w:tc>
        <w:tc>
          <w:tcPr>
            <w:tcW w:w="2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(2,751,198 )</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(816,125 )</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costs</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(1,907,086 )</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(3,464,524 )</w:t>
            </w:r>
          </w:p>
        </w:tc>
      </w:tr>
      <w:tr>
        <w:trPr>
          <w:trHeight w:val="242"/>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(138,603 )</w:t>
            </w:r>
          </w:p>
        </w:tc>
      </w:tr>
      <w:tr>
        <w:trPr>
          <w:trHeight w:val="20"/>
        </w:trPr>
        <w:tc>
          <w:tcPr>
            <w:tcW w:w="7160" w:type="dxa"/>
            <w:vAlign w:val="bottom"/>
            <w:shd w:val="clear" w:color="auto" w:fill="CFF0F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160" w:type="dxa"/>
            <w:vAlign w:val="bottom"/>
          </w:tcPr>
          <w:p>
            <w:pPr>
              <w:spacing w:after="0"/>
              <w:rPr>
                <w:sz w:val="20"/>
                <w:szCs w:val="20"/>
                <w:color w:val="auto"/>
              </w:rPr>
            </w:pP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(13,744,431 )</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(13,514,488 )</w:t>
            </w:r>
          </w:p>
        </w:tc>
      </w:tr>
      <w:tr>
        <w:trPr>
          <w:trHeight w:val="20"/>
        </w:trPr>
        <w:tc>
          <w:tcPr>
            <w:tcW w:w="716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-187325</wp:posOffset>
            </wp:positionV>
            <wp:extent cx="76835" cy="1879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289" w:lineRule="exact"/>
        <w:rPr>
          <w:sz w:val="20"/>
          <w:szCs w:val="20"/>
          <w:color w:val="auto"/>
        </w:rPr>
      </w:pPr>
    </w:p>
    <w:p>
      <w:pPr>
        <w:ind w:right="660"/>
        <w:spacing w:after="0" w:line="284" w:lineRule="auto"/>
        <w:rPr>
          <w:sz w:val="20"/>
          <w:szCs w:val="20"/>
          <w:color w:val="auto"/>
        </w:rPr>
      </w:pPr>
      <w:r>
        <w:rPr>
          <w:rFonts w:ascii="Arial" w:cs="Arial" w:eastAsia="Arial" w:hAnsi="Arial"/>
          <w:sz w:val="16"/>
          <w:szCs w:val="16"/>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49"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7" w:name="page28"/>
    <w:bookmarkEnd w:id="27"/>
    <w:p>
      <w:pPr>
        <w:ind w:right="220"/>
        <w:spacing w:after="0" w:line="284"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40" w:type="dxa"/>
            <w:vAlign w:val="bottom"/>
          </w:tcPr>
          <w:p>
            <w:pPr>
              <w:spacing w:after="0"/>
              <w:rPr>
                <w:sz w:val="20"/>
                <w:szCs w:val="20"/>
                <w:color w:val="auto"/>
              </w:rPr>
            </w:pPr>
          </w:p>
        </w:tc>
        <w:tc>
          <w:tcPr>
            <w:tcW w:w="40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8"/>
        </w:trPr>
        <w:tc>
          <w:tcPr>
            <w:tcW w:w="7240" w:type="dxa"/>
            <w:vAlign w:val="bottom"/>
          </w:tcPr>
          <w:p>
            <w:pPr>
              <w:spacing w:after="0"/>
              <w:rPr>
                <w:sz w:val="20"/>
                <w:szCs w:val="20"/>
                <w:color w:val="auto"/>
              </w:rPr>
            </w:pPr>
          </w:p>
        </w:tc>
        <w:tc>
          <w:tcPr>
            <w:tcW w:w="18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36"/>
        </w:trPr>
        <w:tc>
          <w:tcPr>
            <w:tcW w:w="72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expenses (Note 5)</w:t>
            </w: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(3,301,584 )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(2,444,883 )</w:t>
            </w: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fees</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(177,869 )</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(177,912 )</w:t>
            </w:r>
          </w:p>
        </w:tc>
      </w:tr>
      <w:tr>
        <w:trPr>
          <w:trHeight w:val="24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(882,470 )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(884,000 )</w:t>
            </w: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(359,353 )</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(304,498 )</w:t>
            </w:r>
          </w:p>
        </w:tc>
      </w:tr>
      <w:tr>
        <w:trPr>
          <w:trHeight w:val="24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Facilities, communication &amp; office expenses</w:t>
            </w: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(1,491,273 )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(1,628,098 )</w:t>
            </w: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expenses</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(322,733 )</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(143,754 )</w:t>
            </w:r>
          </w:p>
        </w:tc>
      </w:tr>
      <w:tr>
        <w:trPr>
          <w:trHeight w:val="242"/>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(796,314 )</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(281,861 )</w:t>
            </w:r>
          </w:p>
        </w:tc>
      </w:tr>
      <w:tr>
        <w:trPr>
          <w:trHeight w:val="20"/>
        </w:trPr>
        <w:tc>
          <w:tcPr>
            <w:tcW w:w="724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240" w:type="dxa"/>
            <w:vAlign w:val="bottom"/>
          </w:tcPr>
          <w:p>
            <w:pPr>
              <w:spacing w:after="0"/>
              <w:rPr>
                <w:sz w:val="20"/>
                <w:szCs w:val="20"/>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(7,331,596 )</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(5,865,006 )</w:t>
            </w:r>
          </w:p>
        </w:tc>
      </w:tr>
      <w:tr>
        <w:trPr>
          <w:trHeight w:val="20"/>
        </w:trPr>
        <w:tc>
          <w:tcPr>
            <w:tcW w:w="72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-187325</wp:posOffset>
            </wp:positionV>
            <wp:extent cx="68580" cy="1879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316"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In 2022 and 2021 the Group entered into a number of lease arrangements (refer to note 9. Leases), which were assessed to be short-term leases (with a lease term of 12 months equaling its non-cancellable period).</w:t>
      </w:r>
    </w:p>
    <w:p>
      <w:pPr>
        <w:spacing w:after="0" w:line="49" w:lineRule="exact"/>
        <w:rPr>
          <w:sz w:val="20"/>
          <w:szCs w:val="20"/>
          <w:color w:val="auto"/>
        </w:rPr>
      </w:pPr>
    </w:p>
    <w:p>
      <w:pPr>
        <w:ind w:right="520"/>
        <w:spacing w:after="0" w:line="284" w:lineRule="auto"/>
        <w:rPr>
          <w:sz w:val="20"/>
          <w:szCs w:val="20"/>
          <w:color w:val="auto"/>
        </w:rPr>
      </w:pPr>
      <w:r>
        <w:rPr>
          <w:rFonts w:ascii="Arial" w:cs="Arial" w:eastAsia="Arial" w:hAnsi="Arial"/>
          <w:sz w:val="16"/>
          <w:szCs w:val="16"/>
          <w:color w:val="auto"/>
        </w:rPr>
        <w:t>Depreciation expense in the first three months of 2023 was €61,869 (2022: €32,850), which related to property, plant and equipment and leases and is included in the 'Other expenses' line.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5800" w:type="dxa"/>
            <w:vAlign w:val="bottom"/>
          </w:tcPr>
          <w:p>
            <w:pPr>
              <w:spacing w:after="0"/>
              <w:rPr>
                <w:sz w:val="20"/>
                <w:szCs w:val="20"/>
                <w:color w:val="auto"/>
              </w:rPr>
            </w:pPr>
          </w:p>
        </w:tc>
        <w:tc>
          <w:tcPr>
            <w:tcW w:w="514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8"/>
        </w:trPr>
        <w:tc>
          <w:tcPr>
            <w:tcW w:w="5800" w:type="dxa"/>
            <w:vAlign w:val="bottom"/>
          </w:tcPr>
          <w:p>
            <w:pPr>
              <w:spacing w:after="0"/>
              <w:rPr>
                <w:sz w:val="20"/>
                <w:szCs w:val="20"/>
                <w:color w:val="auto"/>
              </w:rPr>
            </w:pPr>
          </w:p>
        </w:tc>
        <w:tc>
          <w:tcPr>
            <w:tcW w:w="238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top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r>
      <w:tr>
        <w:trPr>
          <w:trHeight w:val="236"/>
        </w:trPr>
        <w:tc>
          <w:tcPr>
            <w:tcW w:w="58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4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26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(4,204,384 )</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(2,565,583 )</w:t>
            </w:r>
          </w:p>
        </w:tc>
      </w:t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Pension charges</w:t>
            </w:r>
          </w:p>
        </w:tc>
        <w:tc>
          <w:tcPr>
            <w:tcW w:w="2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(288,883 )</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(178,544 )</w:t>
            </w:r>
          </w:p>
        </w:tc>
      </w:tr>
      <w:tr>
        <w:trPr>
          <w:trHeight w:val="24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social security charges</w:t>
            </w:r>
          </w:p>
        </w:tc>
        <w:tc>
          <w:tcPr>
            <w:tcW w:w="26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(443,130 )</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(282,989 )</w:t>
            </w:r>
          </w:p>
        </w:tc>
      </w:t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(2,582,887 )</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(1,946,938 )</w:t>
            </w:r>
          </w:p>
        </w:tc>
      </w:tr>
      <w:tr>
        <w:trPr>
          <w:trHeight w:val="276"/>
        </w:trPr>
        <w:tc>
          <w:tcPr>
            <w:tcW w:w="5800" w:type="dxa"/>
            <w:vAlign w:val="bottom"/>
            <w:tcBorders>
              <w:bottom w:val="single" w:sz="8" w:color="CFF0FC"/>
            </w:tcBorders>
            <w:shd w:val="clear" w:color="auto" w:fill="CFF0FC"/>
          </w:tcPr>
          <w:p>
            <w:pPr>
              <w:spacing w:after="0"/>
              <w:rPr>
                <w:sz w:val="23"/>
                <w:szCs w:val="23"/>
                <w:color w:val="auto"/>
              </w:rPr>
            </w:pP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(7,519,284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(4,974,054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three months ended March 31, 2023 was 66 (2022:41).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(expense)/income</w:t>
      </w: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5900" w:type="dxa"/>
            <w:vAlign w:val="bottom"/>
          </w:tcPr>
          <w:p>
            <w:pPr>
              <w:spacing w:after="0"/>
              <w:rPr>
                <w:sz w:val="20"/>
                <w:szCs w:val="20"/>
                <w:color w:val="auto"/>
              </w:rPr>
            </w:pPr>
          </w:p>
        </w:tc>
        <w:tc>
          <w:tcPr>
            <w:tcW w:w="520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8"/>
        </w:trPr>
        <w:tc>
          <w:tcPr>
            <w:tcW w:w="5900" w:type="dxa"/>
            <w:vAlign w:val="bottom"/>
          </w:tcPr>
          <w:p>
            <w:pPr>
              <w:spacing w:after="0"/>
              <w:rPr>
                <w:sz w:val="20"/>
                <w:szCs w:val="20"/>
                <w:color w:val="auto"/>
              </w:rPr>
            </w:pPr>
          </w:p>
        </w:tc>
        <w:tc>
          <w:tcPr>
            <w:tcW w:w="260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20"/>
                <w:szCs w:val="20"/>
                <w:color w:val="auto"/>
              </w:rPr>
            </w:pPr>
          </w:p>
        </w:tc>
        <w:tc>
          <w:tcPr>
            <w:tcW w:w="22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36"/>
        </w:trPr>
        <w:tc>
          <w:tcPr>
            <w:tcW w:w="59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(1,595,478 )</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3,436,187</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over bank balances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106,527</w:t>
            </w:r>
          </w:p>
        </w:tc>
        <w:tc>
          <w:tcPr>
            <w:tcW w:w="220" w:type="dxa"/>
            <w:vAlign w:val="bottom"/>
          </w:tcPr>
          <w:p>
            <w:pPr>
              <w:spacing w:after="0"/>
              <w:rPr>
                <w:sz w:val="20"/>
                <w:szCs w:val="20"/>
                <w:color w:val="auto"/>
              </w:rPr>
            </w:pPr>
          </w:p>
        </w:tc>
        <w:tc>
          <w:tcPr>
            <w:tcW w:w="2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(45,060 )</w:t>
            </w:r>
          </w:p>
        </w:tc>
      </w:tr>
      <w:tr>
        <w:trPr>
          <w:trHeight w:val="242"/>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2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(5,314 )</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900" w:type="dxa"/>
            <w:vAlign w:val="bottom"/>
          </w:tcPr>
          <w:p>
            <w:pPr>
              <w:spacing w:after="0"/>
              <w:rPr>
                <w:sz w:val="20"/>
                <w:szCs w:val="20"/>
                <w:color w:val="auto"/>
              </w:rPr>
            </w:pP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(1,494,265 </w:t>
            </w:r>
            <w:r>
              <w:rPr>
                <w:rFonts w:ascii="Times New Roman" w:cs="Times New Roman" w:eastAsia="Times New Roman" w:hAnsi="Times New Roman"/>
                <w:sz w:val="18"/>
                <w:szCs w:val="18"/>
                <w:color w:val="auto"/>
                <w:highlight w:val="white"/>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3,391,179</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7035165</wp:posOffset>
            </wp:positionH>
            <wp:positionV relativeFrom="paragraph">
              <wp:posOffset>-187325</wp:posOffset>
            </wp:positionV>
            <wp:extent cx="68580" cy="187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07"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 year</w:t>
      </w:r>
    </w:p>
    <w:p>
      <w:pPr>
        <w:spacing w:after="0" w:line="1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8" w:name="page29"/>
    <w:bookmarkEnd w:id="28"/>
    <w:p>
      <w:pPr>
        <w:ind w:right="120"/>
        <w:spacing w:after="0" w:line="284" w:lineRule="auto"/>
        <w:rPr>
          <w:sz w:val="20"/>
          <w:szCs w:val="20"/>
          <w:color w:val="auto"/>
        </w:rPr>
      </w:pPr>
      <w:r>
        <w:rPr>
          <w:rFonts w:ascii="Arial" w:cs="Arial" w:eastAsia="Arial" w:hAnsi="Arial"/>
          <w:sz w:val="16"/>
          <w:szCs w:val="16"/>
          <w:color w:val="auto"/>
        </w:rPr>
        <w:t>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38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For the three months ended March 31,</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r>
      <w:tr>
        <w:trPr>
          <w:trHeight w:val="236"/>
        </w:trPr>
        <w:tc>
          <w:tcPr>
            <w:tcW w:w="5800" w:type="dxa"/>
            <w:vAlign w:val="bottom"/>
          </w:tcPr>
          <w:p>
            <w:pPr>
              <w:spacing w:after="0"/>
              <w:rPr>
                <w:sz w:val="20"/>
                <w:szCs w:val="20"/>
                <w:color w:val="auto"/>
              </w:rPr>
            </w:pPr>
          </w:p>
        </w:tc>
        <w:tc>
          <w:tcPr>
            <w:tcW w:w="19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r>
      <w:tr>
        <w:trPr>
          <w:trHeight w:val="246"/>
        </w:trPr>
        <w:tc>
          <w:tcPr>
            <w:tcW w:w="7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(60,657 )</w:t>
            </w:r>
          </w:p>
        </w:tc>
        <w:tc>
          <w:tcPr>
            <w:tcW w:w="10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(38,715 )</w:t>
            </w:r>
          </w:p>
        </w:tc>
      </w:tr>
      <w:tr>
        <w:trPr>
          <w:trHeight w:val="231"/>
        </w:trPr>
        <w:tc>
          <w:tcPr>
            <w:tcW w:w="5800" w:type="dxa"/>
            <w:vAlign w:val="bottom"/>
          </w:tcPr>
          <w:p>
            <w:pPr>
              <w:spacing w:after="0"/>
              <w:rPr>
                <w:sz w:val="20"/>
                <w:szCs w:val="20"/>
                <w:color w:val="auto"/>
              </w:rPr>
            </w:pPr>
            <w:r>
              <w:rPr>
                <w:rFonts w:ascii="Arial" w:cs="Arial" w:eastAsia="Arial" w:hAnsi="Arial"/>
                <w:sz w:val="16"/>
                <w:szCs w:val="16"/>
                <w:color w:val="auto"/>
              </w:rPr>
              <w:t>Income tax expense</w:t>
            </w:r>
          </w:p>
        </w:tc>
        <w:tc>
          <w:tcPr>
            <w:tcW w:w="19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The tax expense over the three months ended March 31, 2023 and 2022 relates to the Company's U.S. subsidiary as the result of a cost-plus agreement between the U.S. and the Company’s principal entity, resulting in an estimated taxable profit in the U.S.</w:t>
      </w:r>
    </w:p>
    <w:p>
      <w:pPr>
        <w:spacing w:after="0" w:line="4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860" w:type="dxa"/>
            <w:vAlign w:val="bottom"/>
          </w:tcPr>
          <w:p>
            <w:pPr>
              <w:spacing w:after="0"/>
              <w:rPr>
                <w:sz w:val="20"/>
                <w:szCs w:val="20"/>
                <w:color w:val="auto"/>
              </w:rPr>
            </w:pPr>
          </w:p>
        </w:tc>
        <w:tc>
          <w:tcPr>
            <w:tcW w:w="33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8"/>
        </w:trPr>
        <w:tc>
          <w:tcPr>
            <w:tcW w:w="786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36"/>
        </w:trPr>
        <w:tc>
          <w:tcPr>
            <w:tcW w:w="78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(22,570,292 )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(15,988,315 )</w:t>
            </w: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against statutory rate in The Netherlands (25.8%)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5,823,135</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4,124,985</w:t>
            </w:r>
          </w:p>
        </w:tc>
        <w:tc>
          <w:tcPr>
            <w:tcW w:w="100" w:type="dxa"/>
            <w:vAlign w:val="bottom"/>
          </w:tcPr>
          <w:p>
            <w:pPr>
              <w:spacing w:after="0"/>
              <w:rPr>
                <w:sz w:val="20"/>
                <w:szCs w:val="20"/>
                <w:color w:val="auto"/>
              </w:rPr>
            </w:pPr>
          </w:p>
        </w:tc>
      </w:tr>
      <w:tr>
        <w:trPr>
          <w:trHeight w:val="24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tax rates in other countries</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(3,244,604 )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(2,806,044 )</w:t>
            </w: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losses for which no deferred tax asset has been recognized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(2,516,131 )</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(1,252,290 )</w:t>
            </w:r>
          </w:p>
        </w:tc>
      </w:tr>
      <w:tr>
        <w:trPr>
          <w:trHeight w:val="242"/>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(123,057 )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(105,366 )</w:t>
            </w:r>
          </w:p>
        </w:tc>
      </w:tr>
      <w:tr>
        <w:trPr>
          <w:trHeight w:val="20"/>
        </w:trPr>
        <w:tc>
          <w:tcPr>
            <w:tcW w:w="78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tax charge</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(60,657 )</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(38,715 )</w:t>
            </w:r>
          </w:p>
        </w:tc>
      </w:tr>
      <w:tr>
        <w:trPr>
          <w:trHeight w:val="20"/>
        </w:trPr>
        <w:tc>
          <w:tcPr>
            <w:tcW w:w="78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-187325</wp:posOffset>
            </wp:positionV>
            <wp:extent cx="68580" cy="1879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28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for the applicable statutory tax rate.</w:t>
      </w:r>
    </w:p>
    <w:p>
      <w:pPr>
        <w:spacing w:after="0" w:line="70"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The (estimated) average annual tax rate used for the three months ended March 31, 2023 is (0.3)%, compared to (0.2)% for the three months ended March 31, 2022. For the three months ended March 31, 2023 and 2022 no discrete items are applicable. Hence, tax expense is in line with estimated effective tax rate.</w:t>
      </w:r>
    </w:p>
    <w:p>
      <w:pPr>
        <w:spacing w:after="0" w:line="63" w:lineRule="exact"/>
        <w:rPr>
          <w:sz w:val="20"/>
          <w:szCs w:val="20"/>
          <w:color w:val="auto"/>
        </w:rPr>
      </w:pPr>
    </w:p>
    <w:p>
      <w:pPr>
        <w:ind w:right="800"/>
        <w:spacing w:after="0" w:line="284"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differences in the overseas tax rates are due to the lower tax rate in Switzerland and the higher tax rate in the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USA compared to the statutory income tax rate in the Netherlands.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07" w:lineRule="exact"/>
        <w:rPr>
          <w:sz w:val="20"/>
          <w:szCs w:val="20"/>
          <w:color w:val="auto"/>
        </w:rPr>
      </w:pPr>
    </w:p>
    <w:p>
      <w:pPr>
        <w:ind w:right="480"/>
        <w:spacing w:after="0" w:line="284"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9"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9" w:name="page30"/>
    <w:bookmarkEnd w:id="29"/>
    <w:tbl>
      <w:tblPr>
        <w:tblLayout w:type="fixed"/>
        <w:tblInd w:w="1040" w:type="dxa"/>
        <w:tblCellMar>
          <w:top w:w="0" w:type="dxa"/>
          <w:left w:w="0" w:type="dxa"/>
          <w:bottom w:w="0" w:type="dxa"/>
          <w:right w:w="0" w:type="dxa"/>
        </w:tblCellMar>
      </w:tblPr>
      <w:tr>
        <w:trPr>
          <w:trHeight w:val="240"/>
        </w:trPr>
        <w:tc>
          <w:tcPr>
            <w:tcW w:w="488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2022</w:t>
            </w:r>
          </w:p>
        </w:tc>
      </w:tr>
      <w:tr>
        <w:trPr>
          <w:trHeight w:val="242"/>
        </w:trPr>
        <w:tc>
          <w:tcPr>
            <w:tcW w:w="4880" w:type="dxa"/>
            <w:vAlign w:val="bottom"/>
          </w:tcPr>
          <w:p>
            <w:pPr>
              <w:spacing w:after="0"/>
              <w:rPr>
                <w:sz w:val="20"/>
                <w:szCs w:val="20"/>
                <w:color w:val="auto"/>
              </w:rPr>
            </w:pPr>
            <w:r>
              <w:rPr>
                <w:rFonts w:ascii="Arial" w:cs="Arial" w:eastAsia="Arial" w:hAnsi="Arial"/>
                <w:sz w:val="13"/>
                <w:szCs w:val="13"/>
                <w:b w:val="1"/>
                <w:bCs w:val="1"/>
                <w:color w:val="auto"/>
              </w:rPr>
              <w:t>Net book value</w:t>
            </w: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r>
      <w:tr>
        <w:trPr>
          <w:trHeight w:val="242"/>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193,474</w:t>
            </w:r>
          </w:p>
        </w:tc>
        <w:tc>
          <w:tcPr>
            <w:tcW w:w="20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108,098</w:t>
            </w:r>
          </w:p>
        </w:tc>
        <w:tc>
          <w:tcPr>
            <w:tcW w:w="80" w:type="dxa"/>
            <w:vAlign w:val="bottom"/>
            <w:shd w:val="clear" w:color="auto" w:fill="CFF0FC"/>
          </w:tcPr>
          <w:p>
            <w:pPr>
              <w:spacing w:after="0"/>
              <w:rPr>
                <w:sz w:val="21"/>
                <w:szCs w:val="21"/>
                <w:color w:val="auto"/>
              </w:rPr>
            </w:pPr>
          </w:p>
        </w:tc>
      </w:tr>
      <w:tr>
        <w:trPr>
          <w:trHeight w:val="241"/>
        </w:trPr>
        <w:tc>
          <w:tcPr>
            <w:tcW w:w="4880" w:type="dxa"/>
            <w:vAlign w:val="bottom"/>
          </w:tcPr>
          <w:p>
            <w:pPr>
              <w:spacing w:after="0"/>
              <w:rPr>
                <w:sz w:val="20"/>
                <w:szCs w:val="20"/>
                <w:color w:val="auto"/>
              </w:rPr>
            </w:pPr>
            <w:r>
              <w:rPr>
                <w:rFonts w:ascii="Arial" w:cs="Arial" w:eastAsia="Arial" w:hAnsi="Arial"/>
                <w:sz w:val="16"/>
                <w:szCs w:val="16"/>
                <w:color w:val="auto"/>
              </w:rPr>
              <w:t>Additions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19,038</w:t>
            </w:r>
          </w:p>
        </w:tc>
        <w:tc>
          <w:tcPr>
            <w:tcW w:w="2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124,296</w:t>
            </w:r>
          </w:p>
        </w:tc>
        <w:tc>
          <w:tcPr>
            <w:tcW w:w="80" w:type="dxa"/>
            <w:vAlign w:val="bottom"/>
          </w:tcPr>
          <w:p>
            <w:pPr>
              <w:spacing w:after="0"/>
              <w:rPr>
                <w:sz w:val="20"/>
                <w:szCs w:val="20"/>
                <w:color w:val="auto"/>
              </w:rPr>
            </w:pPr>
          </w:p>
        </w:tc>
      </w:tr>
      <w:tr>
        <w:trPr>
          <w:trHeight w:val="243"/>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2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(13,288 )</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(38,920 )</w:t>
            </w:r>
          </w:p>
        </w:tc>
      </w:tr>
      <w:tr>
        <w:trPr>
          <w:trHeight w:val="236"/>
        </w:trPr>
        <w:tc>
          <w:tcPr>
            <w:tcW w:w="488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Balance at end of period</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199,224</w:t>
            </w:r>
          </w:p>
        </w:tc>
        <w:tc>
          <w:tcPr>
            <w:tcW w:w="200" w:type="dxa"/>
            <w:vAlign w:val="bottom"/>
            <w:tcBorders>
              <w:top w:val="single" w:sz="8" w:color="CFF0FC"/>
            </w:tcBorders>
          </w:tcPr>
          <w:p>
            <w:pPr>
              <w:spacing w:after="0"/>
              <w:rPr>
                <w:sz w:val="20"/>
                <w:szCs w:val="20"/>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193,474</w:t>
            </w:r>
          </w:p>
        </w:tc>
        <w:tc>
          <w:tcPr>
            <w:tcW w:w="80" w:type="dxa"/>
            <w:vAlign w:val="bottom"/>
            <w:tcBorders>
              <w:top w:val="single" w:sz="8" w:color="CFF0FC"/>
            </w:tcBorders>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8"/>
        </w:trPr>
        <w:tc>
          <w:tcPr>
            <w:tcW w:w="4880" w:type="dxa"/>
            <w:vAlign w:val="bottom"/>
          </w:tcPr>
          <w:p>
            <w:pPr>
              <w:spacing w:after="0"/>
              <w:rPr>
                <w:sz w:val="24"/>
                <w:szCs w:val="24"/>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2022</w:t>
            </w:r>
          </w:p>
        </w:tc>
      </w:tr>
      <w:tr>
        <w:trPr>
          <w:trHeight w:val="242"/>
        </w:trPr>
        <w:tc>
          <w:tcPr>
            <w:tcW w:w="48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Cumulative depreciation</w:t>
            </w:r>
          </w:p>
        </w:tc>
        <w:tc>
          <w:tcPr>
            <w:tcW w:w="1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1"/>
                <w:szCs w:val="21"/>
                <w:color w:val="auto"/>
              </w:rPr>
            </w:pPr>
          </w:p>
        </w:tc>
      </w:tr>
      <w:tr>
        <w:trPr>
          <w:trHeight w:val="241"/>
        </w:trPr>
        <w:tc>
          <w:tcPr>
            <w:tcW w:w="4880" w:type="dxa"/>
            <w:vAlign w:val="bottom"/>
          </w:tcPr>
          <w:p>
            <w:pPr>
              <w:spacing w:after="0"/>
              <w:rPr>
                <w:sz w:val="20"/>
                <w:szCs w:val="20"/>
                <w:color w:val="auto"/>
              </w:rPr>
            </w:pPr>
            <w:r>
              <w:rPr>
                <w:rFonts w:ascii="Arial" w:cs="Arial" w:eastAsia="Arial" w:hAnsi="Arial"/>
                <w:sz w:val="16"/>
                <w:szCs w:val="16"/>
                <w:color w:val="auto"/>
              </w:rPr>
              <w:t>Balance at beginning of period</w:t>
            </w:r>
          </w:p>
        </w:tc>
        <w:tc>
          <w:tcPr>
            <w:tcW w:w="2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(65,526 )</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(26,606 )</w:t>
            </w:r>
          </w:p>
        </w:tc>
      </w:tr>
      <w:tr>
        <w:trPr>
          <w:trHeight w:val="243"/>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Depreciation</w:t>
            </w:r>
          </w:p>
        </w:tc>
        <w:tc>
          <w:tcPr>
            <w:tcW w:w="2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(13,288 )</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(38,920 )</w:t>
            </w:r>
          </w:p>
        </w:tc>
      </w:tr>
      <w:tr>
        <w:trPr>
          <w:trHeight w:val="20"/>
        </w:trPr>
        <w:tc>
          <w:tcPr>
            <w:tcW w:w="4880" w:type="dxa"/>
            <w:vAlign w:val="bottom"/>
            <w:shd w:val="clear" w:color="auto" w:fill="CFF0F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88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(78,814 )</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(65,526 )</w:t>
            </w:r>
          </w:p>
        </w:tc>
      </w:tr>
      <w:tr>
        <w:trPr>
          <w:trHeight w:val="20"/>
        </w:trPr>
        <w:tc>
          <w:tcPr>
            <w:tcW w:w="48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8"/>
        </w:trPr>
        <w:tc>
          <w:tcPr>
            <w:tcW w:w="4880" w:type="dxa"/>
            <w:vAlign w:val="bottom"/>
          </w:tcPr>
          <w:p>
            <w:pPr>
              <w:spacing w:after="0"/>
              <w:rPr>
                <w:sz w:val="24"/>
                <w:szCs w:val="24"/>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2022</w:t>
            </w:r>
          </w:p>
        </w:tc>
      </w:tr>
      <w:tr>
        <w:trPr>
          <w:trHeight w:val="242"/>
        </w:trPr>
        <w:tc>
          <w:tcPr>
            <w:tcW w:w="48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Cumulative Costs</w:t>
            </w:r>
          </w:p>
        </w:tc>
        <w:tc>
          <w:tcPr>
            <w:tcW w:w="1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1"/>
                <w:szCs w:val="21"/>
                <w:color w:val="auto"/>
              </w:rPr>
            </w:pPr>
          </w:p>
        </w:tc>
      </w:tr>
      <w:tr>
        <w:trPr>
          <w:trHeight w:val="241"/>
        </w:trPr>
        <w:tc>
          <w:tcPr>
            <w:tcW w:w="4880" w:type="dxa"/>
            <w:vAlign w:val="bottom"/>
          </w:tcPr>
          <w:p>
            <w:pPr>
              <w:spacing w:after="0"/>
              <w:rPr>
                <w:sz w:val="20"/>
                <w:szCs w:val="20"/>
                <w:color w:val="auto"/>
              </w:rPr>
            </w:pPr>
            <w:r>
              <w:rPr>
                <w:rFonts w:ascii="Arial" w:cs="Arial" w:eastAsia="Arial" w:hAnsi="Arial"/>
                <w:sz w:val="16"/>
                <w:szCs w:val="16"/>
                <w:color w:val="auto"/>
              </w:rPr>
              <w:t>Balance at beginning of period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259,000</w:t>
            </w:r>
          </w:p>
        </w:tc>
        <w:tc>
          <w:tcPr>
            <w:tcW w:w="2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134,704</w:t>
            </w:r>
          </w:p>
        </w:tc>
        <w:tc>
          <w:tcPr>
            <w:tcW w:w="80" w:type="dxa"/>
            <w:vAlign w:val="bottom"/>
          </w:tcPr>
          <w:p>
            <w:pPr>
              <w:spacing w:after="0"/>
              <w:rPr>
                <w:sz w:val="20"/>
                <w:szCs w:val="20"/>
                <w:color w:val="auto"/>
              </w:rPr>
            </w:pPr>
          </w:p>
        </w:tc>
      </w:tr>
      <w:tr>
        <w:trPr>
          <w:trHeight w:val="24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Additions</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19,038</w:t>
            </w:r>
          </w:p>
        </w:tc>
        <w:tc>
          <w:tcPr>
            <w:tcW w:w="20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124,296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88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278,038</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259,000</w:t>
            </w:r>
          </w:p>
        </w:tc>
        <w:tc>
          <w:tcPr>
            <w:tcW w:w="8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-2117725</wp:posOffset>
            </wp:positionV>
            <wp:extent cx="59690" cy="5041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04190"/>
                    </a:xfrm>
                    <a:prstGeom prst="rect">
                      <a:avLst/>
                    </a:prstGeom>
                    <a:noFill/>
                  </pic:spPr>
                </pic:pic>
              </a:graphicData>
            </a:graphic>
          </wp:anchor>
        </w:drawing>
        <w:drawing>
          <wp:anchor simplePos="0" relativeHeight="251657728" behindDoc="1" locked="0" layoutInCell="0" allowOverlap="1">
            <wp:simplePos x="0" y="0"/>
            <wp:positionH relativeFrom="column">
              <wp:posOffset>6445885</wp:posOffset>
            </wp:positionH>
            <wp:positionV relativeFrom="paragraph">
              <wp:posOffset>-2117725</wp:posOffset>
            </wp:positionV>
            <wp:extent cx="51435" cy="504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0419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-1152525</wp:posOffset>
            </wp:positionV>
            <wp:extent cx="59690" cy="5041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04190"/>
                    </a:xfrm>
                    <a:prstGeom prst="rect">
                      <a:avLst/>
                    </a:prstGeom>
                    <a:noFill/>
                  </pic:spPr>
                </pic:pic>
              </a:graphicData>
            </a:graphic>
          </wp:anchor>
        </w:drawing>
        <w:drawing>
          <wp:anchor simplePos="0" relativeHeight="251657728" behindDoc="1" locked="0" layoutInCell="0" allowOverlap="1">
            <wp:simplePos x="0" y="0"/>
            <wp:positionH relativeFrom="column">
              <wp:posOffset>6445885</wp:posOffset>
            </wp:positionH>
            <wp:positionV relativeFrom="paragraph">
              <wp:posOffset>-1152525</wp:posOffset>
            </wp:positionV>
            <wp:extent cx="51435" cy="504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0419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-187325</wp:posOffset>
            </wp:positionV>
            <wp:extent cx="59690"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187960"/>
                    </a:xfrm>
                    <a:prstGeom prst="rect">
                      <a:avLst/>
                    </a:prstGeom>
                    <a:noFill/>
                  </pic:spPr>
                </pic:pic>
              </a:graphicData>
            </a:graphic>
          </wp:anchor>
        </w:drawing>
        <w:drawing>
          <wp:anchor simplePos="0" relativeHeight="251657728" behindDoc="1" locked="0" layoutInCell="0" allowOverlap="1">
            <wp:simplePos x="0" y="0"/>
            <wp:positionH relativeFrom="column">
              <wp:posOffset>6445885</wp:posOffset>
            </wp:positionH>
            <wp:positionV relativeFrom="paragraph">
              <wp:posOffset>-187325</wp:posOffset>
            </wp:positionV>
            <wp:extent cx="51435" cy="187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187960"/>
                    </a:xfrm>
                    <a:prstGeom prst="rect">
                      <a:avLst/>
                    </a:prstGeom>
                    <a:noFill/>
                  </pic:spPr>
                </pic:pic>
              </a:graphicData>
            </a:graphic>
          </wp:anchor>
        </w:drawing>
      </w:r>
    </w:p>
    <w:p>
      <w:pPr>
        <w:spacing w:after="0" w:line="316"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During the three months ended March 31, 2023, the Group acquired assets with a cost of €19,038 (December 31, 2022: €124,296). The acquisitions were mainly related to equipment, tools and installations.</w:t>
      </w:r>
    </w:p>
    <w:p>
      <w:pPr>
        <w:sectPr>
          <w:pgSz w:w="11900" w:h="16838" w:orient="portrait"/>
          <w:cols w:equalWidth="0" w:num="1">
            <w:col w:w="11200"/>
          </w:cols>
          <w:pgMar w:left="320" w:top="713" w:right="37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53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53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transaction of foreign currency</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about the Group’s lease liabilities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132955" cy="153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Office leases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955" cy="153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portion</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0"/>
        </w:trPr>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234"/>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r>
      <w:tr>
        <w:trPr>
          <w:trHeight w:val="237"/>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432,965</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243,251</w:t>
            </w:r>
          </w:p>
        </w:tc>
        <w:tc>
          <w:tcPr>
            <w:tcW w:w="60" w:type="dxa"/>
            <w:vAlign w:val="bottom"/>
          </w:tcPr>
          <w:p>
            <w:pPr>
              <w:spacing w:after="0"/>
              <w:rPr>
                <w:sz w:val="20"/>
                <w:szCs w:val="20"/>
                <w:color w:val="auto"/>
              </w:rPr>
            </w:pPr>
          </w:p>
        </w:tc>
      </w:tr>
      <w:tr>
        <w:trPr>
          <w:trHeight w:val="242"/>
        </w:trPr>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303,734</w:t>
            </w:r>
          </w:p>
        </w:tc>
        <w:tc>
          <w:tcPr>
            <w:tcW w:w="60" w:type="dxa"/>
            <w:vAlign w:val="bottom"/>
          </w:tcPr>
          <w:p>
            <w:pPr>
              <w:spacing w:after="0"/>
              <w:rPr>
                <w:sz w:val="21"/>
                <w:szCs w:val="21"/>
                <w:color w:val="auto"/>
              </w:rPr>
            </w:pPr>
          </w:p>
        </w:tc>
      </w:tr>
      <w:tr>
        <w:trPr>
          <w:trHeight w:val="242"/>
        </w:trPr>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(48,581 )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(114,020 )</w:t>
            </w:r>
          </w:p>
        </w:tc>
      </w:tr>
      <w:tr>
        <w:trPr>
          <w:trHeight w:val="249"/>
        </w:trPr>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(2,732 )</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381,652</w:t>
            </w:r>
          </w:p>
        </w:tc>
        <w:tc>
          <w:tcPr>
            <w:tcW w:w="26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432,965</w:t>
            </w:r>
          </w:p>
        </w:tc>
        <w:tc>
          <w:tcPr>
            <w:tcW w:w="60" w:type="dxa"/>
            <w:vAlign w:val="bottom"/>
          </w:tcPr>
          <w:p>
            <w:pPr>
              <w:spacing w:after="0"/>
              <w:rPr>
                <w:sz w:val="20"/>
                <w:szCs w:val="20"/>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December 31,</w:t>
            </w:r>
          </w:p>
        </w:tc>
      </w:tr>
      <w:tr>
        <w:trPr>
          <w:trHeight w:val="240"/>
        </w:trPr>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234"/>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r>
      <w:tr>
        <w:trPr>
          <w:trHeight w:val="237"/>
        </w:trPr>
        <w:tc>
          <w:tcPr>
            <w:tcW w:w="1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(386,518 )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(436,822 )</w:t>
            </w:r>
          </w:p>
        </w:tc>
      </w:tr>
      <w:tr>
        <w:trPr>
          <w:trHeight w:val="242"/>
        </w:trPr>
        <w:tc>
          <w:tcPr>
            <w:tcW w:w="1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(386,518 )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(436,822 )</w:t>
            </w:r>
          </w:p>
        </w:tc>
      </w:tr>
      <w:tr>
        <w:trPr>
          <w:trHeight w:val="249"/>
        </w:trPr>
        <w:tc>
          <w:tcPr>
            <w:tcW w:w="1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(228,120 )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(187,404 )</w:t>
            </w:r>
          </w:p>
        </w:tc>
      </w:tr>
      <w:tr>
        <w:trPr>
          <w:trHeight w:val="240"/>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(158,398</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(249,418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60" w:space="720"/>
            <w:col w:w="3520"/>
          </w:cols>
          <w:pgMar w:left="320" w:top="713" w:right="379" w:bottom="1440" w:gutter="0" w:footer="0" w:header="0"/>
          <w:type w:val="continuous"/>
        </w:sectPr>
      </w:pPr>
    </w:p>
    <w:p>
      <w:pPr>
        <w:spacing w:after="0" w:line="208" w:lineRule="exact"/>
        <w:rPr>
          <w:sz w:val="20"/>
          <w:szCs w:val="20"/>
          <w:color w:val="auto"/>
        </w:rPr>
      </w:pPr>
    </w:p>
    <w:p>
      <w:pPr>
        <w:jc w:val="center"/>
        <w:ind w:right="-59"/>
        <w:spacing w:after="0"/>
        <w:rPr>
          <w:sz w:val="20"/>
          <w:szCs w:val="20"/>
          <w:color w:val="auto"/>
        </w:rPr>
      </w:pPr>
      <w:r>
        <w:rPr>
          <w:rFonts w:ascii="Calibri" w:cs="Calibri" w:eastAsia="Calibri" w:hAnsi="Calibri"/>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713" w:right="379" w:bottom="1440" w:gutter="0" w:footer="0" w:header="0"/>
          <w:type w:val="continuous"/>
        </w:sectPr>
      </w:pPr>
    </w:p>
    <w:bookmarkStart w:id="30" w:name="page31"/>
    <w:bookmarkEnd w:id="30"/>
    <w:p>
      <w:pPr>
        <w:jc w:val="both"/>
        <w:ind w:right="340"/>
        <w:spacing w:after="0" w:line="284" w:lineRule="auto"/>
        <w:rPr>
          <w:sz w:val="20"/>
          <w:szCs w:val="20"/>
          <w:color w:val="auto"/>
        </w:rPr>
      </w:pPr>
      <w:r>
        <w:rPr>
          <w:rFonts w:ascii="Arial" w:cs="Arial" w:eastAsia="Arial" w:hAnsi="Arial"/>
          <w:sz w:val="16"/>
          <w:szCs w:val="16"/>
          <w:color w:val="auto"/>
        </w:rPr>
        <w:t>Office leases consist of a lease agreement entered into on June 1, 2021 for office space in Lexington, United States of America, or the U.S., and a lease entered into on December 1, 2022, for offices in Leiden, The Netherlands. Both leases have terms of three years and were assessed as being long-term.</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average incremental borrowing rate applied to the lease liabilities was 7.77% during the three months ended March 31, 2023 (March 31, 2022: 2.91%).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three months ended March 31, 2023 and 2022 were €56,752 and €16,022,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Pr>
          <w:p>
            <w:pPr>
              <w:spacing w:after="0"/>
              <w:rPr>
                <w:sz w:val="18"/>
                <w:szCs w:val="18"/>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6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VAT receivables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394,082</w:t>
            </w:r>
          </w:p>
        </w:tc>
        <w:tc>
          <w:tcPr>
            <w:tcW w:w="2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6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11. Other current assets</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6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680" w:type="dxa"/>
            <w:vAlign w:val="bottom"/>
          </w:tcPr>
          <w:p>
            <w:pPr>
              <w:spacing w:after="0"/>
              <w:rPr>
                <w:sz w:val="24"/>
                <w:szCs w:val="24"/>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Pr>
          <w:p>
            <w:pPr>
              <w:spacing w:after="0"/>
              <w:rPr>
                <w:sz w:val="24"/>
                <w:szCs w:val="24"/>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10,858,680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4,044,255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695,718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11,554,398</w:t>
            </w:r>
          </w:p>
        </w:tc>
        <w:tc>
          <w:tcPr>
            <w:tcW w:w="24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4,626,844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-1682115</wp:posOffset>
            </wp:positionV>
            <wp:extent cx="68580" cy="1879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-1682115</wp:posOffset>
            </wp:positionV>
            <wp:extent cx="68580" cy="1879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R&amp;D expenses and rent.</w:t>
      </w:r>
    </w:p>
    <w:p>
      <w:pPr>
        <w:spacing w:after="0" w:line="112"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Other assets mainly consist of deferred transaction costs related to Group’s in-process equity financing. The company defers the transaction costs related to any in-process financing. Upon recognition of the equity instruments, the related transaction costs are deducted from share premium.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of cash in bank and are not subject to any restriction.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07" w:lineRule="exact"/>
        <w:rPr>
          <w:sz w:val="20"/>
          <w:szCs w:val="20"/>
          <w:color w:val="auto"/>
        </w:rPr>
      </w:pPr>
    </w:p>
    <w:p>
      <w:pPr>
        <w:jc w:val="both"/>
        <w:ind w:right="300"/>
        <w:spacing w:after="0" w:line="265" w:lineRule="auto"/>
        <w:rPr>
          <w:sz w:val="20"/>
          <w:szCs w:val="20"/>
          <w:color w:val="auto"/>
        </w:rPr>
      </w:pPr>
      <w:r>
        <w:rPr>
          <w:rFonts w:ascii="Arial" w:cs="Arial" w:eastAsia="Arial" w:hAnsi="Arial"/>
          <w:sz w:val="16"/>
          <w:szCs w:val="16"/>
          <w:color w:val="auto"/>
        </w:rPr>
        <w:t>On March 31, 2023, the Company’s authorized share capital amounted to €14,100,000 divided into 58,750,000 ordinary shares and 58,750,000 preferred shares, each with a nominal value of €0.12. As of March 31, 2023 and 2022, the total number of ordinary shares issued was 33,831,029 and 33,152,381, respectively. As of December 31, 2022, the total number of issued shares was 33,816,459.</w:t>
      </w:r>
    </w:p>
    <w:p>
      <w:pPr>
        <w:spacing w:after="0" w:line="63"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As of March 31, 2023 and 2022, the issued share capital totaled €4,059,723 and €3,978,286, respectively. On December 31, 2022, the issued share capital totaled €4,057,976.</w:t>
      </w:r>
    </w:p>
    <w:p>
      <w:pPr>
        <w:spacing w:after="0" w:line="4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relating to an at-the-market program providing for the sales from time to time of up to $75,000,000 of its ordinary shares pursuant to a Sales Agreement with SVB Securities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As of March 31, 2023, the Company sold a total of 588,100 ordinary shares in two different transactions under the sales agreement generating total net proceeds of $9,698,504 (€9.2 million), after deducting $299,954 (€308,000), which was payable to SVB Securities as commission in respect of such sales. No ordinary shares were sold in the first quarter of 2023.</w:t>
      </w:r>
    </w:p>
    <w:p>
      <w:pPr>
        <w:spacing w:after="0" w:line="1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6"/>
        </w:trPr>
        <w:tc>
          <w:tcPr>
            <w:tcW w:w="7680" w:type="dxa"/>
            <w:vAlign w:val="bottom"/>
          </w:tcPr>
          <w:p>
            <w:pPr>
              <w:spacing w:after="0"/>
              <w:rPr>
                <w:sz w:val="20"/>
                <w:szCs w:val="20"/>
                <w:color w:val="auto"/>
              </w:rPr>
            </w:pPr>
            <w:r>
              <w:rPr>
                <w:rFonts w:ascii="Arial" w:cs="Arial" w:eastAsia="Arial" w:hAnsi="Arial"/>
                <w:sz w:val="18"/>
                <w:szCs w:val="18"/>
                <w:b w:val="1"/>
                <w:bCs w:val="1"/>
                <w:color w:val="auto"/>
              </w:rPr>
              <w:t>Issued shares</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7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24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33,831,029</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33,816,459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6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33,831,029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33,816,459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14. Trade and other payables</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6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7,406,237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5,979,168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and social security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624,056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68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8,030,293</w:t>
            </w:r>
          </w:p>
        </w:tc>
        <w:tc>
          <w:tcPr>
            <w:tcW w:w="24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15. Accrued liabilities</w:t>
            </w: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6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763,963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3,129,631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3,824,468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2,815,499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2,285,584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1,798,678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 accruals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1,323,739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2,971,068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281,937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9,883,925</w:t>
            </w:r>
          </w:p>
        </w:tc>
        <w:tc>
          <w:tcPr>
            <w:tcW w:w="24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10,890,749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-3399155</wp:posOffset>
            </wp:positionV>
            <wp:extent cx="68580" cy="1879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-3399155</wp:posOffset>
            </wp:positionV>
            <wp:extent cx="68580" cy="187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07" w:lineRule="exact"/>
        <w:rPr>
          <w:sz w:val="20"/>
          <w:szCs w:val="20"/>
          <w:color w:val="auto"/>
        </w:rPr>
      </w:pPr>
    </w:p>
    <w:p>
      <w:pPr>
        <w:ind w:right="440"/>
        <w:spacing w:after="0" w:line="284"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0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Fair values of cash and cash equivalents, trade receivables, trade payables, and other current liabilities approximate their carrying amounts largely due to the short-term maturities of these instruments.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07"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three months ended March 31, 2023.</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0"/>
        </w:trPr>
        <w:tc>
          <w:tcPr>
            <w:tcW w:w="6620" w:type="dxa"/>
            <w:vAlign w:val="bottom"/>
          </w:tcPr>
          <w:p>
            <w:pPr>
              <w:spacing w:after="0"/>
              <w:rPr>
                <w:sz w:val="20"/>
                <w:szCs w:val="20"/>
                <w:color w:val="auto"/>
              </w:rPr>
            </w:pPr>
          </w:p>
        </w:tc>
        <w:tc>
          <w:tcPr>
            <w:tcW w:w="29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RSUs</w:t>
            </w:r>
          </w:p>
        </w:tc>
      </w:tr>
      <w:tr>
        <w:trPr>
          <w:trHeight w:val="210"/>
        </w:trPr>
        <w:tc>
          <w:tcPr>
            <w:tcW w:w="66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average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2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exercise</w:t>
            </w: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40"/>
        </w:trPr>
        <w:tc>
          <w:tcPr>
            <w:tcW w:w="66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options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price</w:t>
            </w:r>
          </w:p>
        </w:tc>
        <w:tc>
          <w:tcPr>
            <w:tcW w:w="2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RSUs</w:t>
            </w:r>
          </w:p>
        </w:tc>
      </w:tr>
      <w:tr>
        <w:trPr>
          <w:trHeight w:val="242"/>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3,181,538</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795,694</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00" w:type="dxa"/>
            <w:vAlign w:val="bottom"/>
          </w:tcPr>
          <w:p>
            <w:pPr>
              <w:spacing w:after="0"/>
              <w:rPr>
                <w:sz w:val="20"/>
                <w:szCs w:val="20"/>
                <w:color w:val="auto"/>
              </w:rPr>
            </w:pPr>
          </w:p>
        </w:tc>
      </w:tr>
      <w:tr>
        <w:trPr>
          <w:trHeight w:val="24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(17,695 )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(21,893 )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March 31, 2023</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3,181,538</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767,386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5070475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a total number of 1,737,785 stock options are exercisable (March 31, 2022: 524,906).</w:t>
      </w:r>
    </w:p>
    <w:p>
      <w:pPr>
        <w:spacing w:after="0" w:line="11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During the three months ended March 31, 2023 a total of 11,280 RSUs were granted to employees that joined the Group in the same period. The RSUs shall vest equally over a four-year period on each of the four anniversaries of the vesting start date until either the RSUs are fully vested or the RSUs holders’ continuous service terminates.</w:t>
      </w:r>
    </w:p>
    <w:p>
      <w:pPr>
        <w:spacing w:after="0" w:line="6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were February 1, 2023 and March 1, 2023. The share closing price was $9.50 and $8.29 at February 1, 2023 and March 1, 2023, respectively.</w:t>
      </w:r>
    </w:p>
    <w:p>
      <w:pPr>
        <w:spacing w:after="0" w:line="63"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For the three months ended March 31, 2023, the Group recognized €2,582,887 of share-based payment expense in the unaudited condensed consolidated statement of income or loss and other comprehensive income (three months ended March 31, 2022: €1,946,938).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07"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months ended March 31, 2023 and March 31, 2022.</w:t>
      </w:r>
    </w:p>
    <w:p>
      <w:pPr>
        <w:spacing w:after="0" w:line="49"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7080" w:type="dxa"/>
            <w:vAlign w:val="bottom"/>
          </w:tcPr>
          <w:p>
            <w:pPr>
              <w:spacing w:after="0"/>
              <w:rPr>
                <w:sz w:val="20"/>
                <w:szCs w:val="20"/>
                <w:color w:val="auto"/>
              </w:rPr>
            </w:pPr>
          </w:p>
        </w:tc>
        <w:tc>
          <w:tcPr>
            <w:tcW w:w="2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8"/>
        </w:trPr>
        <w:tc>
          <w:tcPr>
            <w:tcW w:w="7080" w:type="dxa"/>
            <w:vAlign w:val="bottom"/>
          </w:tcPr>
          <w:p>
            <w:pPr>
              <w:spacing w:after="0"/>
              <w:rPr>
                <w:sz w:val="20"/>
                <w:szCs w:val="20"/>
                <w:color w:val="auto"/>
              </w:rPr>
            </w:pPr>
          </w:p>
        </w:tc>
        <w:tc>
          <w:tcPr>
            <w:tcW w:w="21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r>
      <w:tr>
        <w:trPr>
          <w:trHeight w:val="236"/>
        </w:trPr>
        <w:tc>
          <w:tcPr>
            <w:tcW w:w="70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r>
      <w:tr>
        <w:trPr>
          <w:trHeight w:val="24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(22,630,949 )</w:t>
            </w:r>
          </w:p>
        </w:tc>
        <w:tc>
          <w:tcPr>
            <w:tcW w:w="3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(16,027,030 )</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33,823,924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33,151,892</w:t>
            </w:r>
          </w:p>
        </w:tc>
        <w:tc>
          <w:tcPr>
            <w:tcW w:w="200" w:type="dxa"/>
            <w:vAlign w:val="bottom"/>
          </w:tcPr>
          <w:p>
            <w:pPr>
              <w:spacing w:after="0"/>
              <w:rPr>
                <w:sz w:val="20"/>
                <w:szCs w:val="20"/>
                <w:color w:val="auto"/>
              </w:rPr>
            </w:pPr>
          </w:p>
        </w:tc>
      </w:tr>
      <w:tr>
        <w:trPr>
          <w:trHeight w:val="24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(0.67 )</w:t>
            </w:r>
          </w:p>
        </w:tc>
        <w:tc>
          <w:tcPr>
            <w:tcW w:w="3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(0.48 )</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This has been revised. Refer to Note 2.1.</w:t>
      </w:r>
    </w:p>
    <w:p>
      <w:pPr>
        <w:spacing w:after="0" w:line="120"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claims known to management related to the activities of the Group.</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Group’s contractual obligations and commitments as of March 31, 2023 amounted to €26,7 million, (December 31, 2022: €28 million) primarily related to research and development commitments.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March 31, 2023 and 2022.</w:t>
      </w: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21. Related parties</w:t>
      </w:r>
    </w:p>
    <w:p>
      <w:pPr>
        <w:spacing w:after="0" w:line="107"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Charité Research Organisation GmbH (Charité CRO)</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Dr. Knolle, who has served as Chief Scientific Officer and Chief Operating Officer since the Company's inception, was a member of the board of Charité Research Organisation GmbH, or Charité CRO until February 28, 2022. The Company has entered into a service contract with Charité CRO according to which Charité CRO provides services supporting research for the Company. The aggregate transaction value of the transactions with Charité CRO during the three months ended March 31, 2023 and 2022 were €357,528 and €nil, respectively. The outstanding balances with Charité CRO amount to €332,608 on March 31, 2023 and €111,208 at December 31, 2022, respectively.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1"/>
        </w:trPr>
        <w:tc>
          <w:tcPr>
            <w:tcW w:w="7720" w:type="dxa"/>
            <w:vAlign w:val="bottom"/>
          </w:tcPr>
          <w:p>
            <w:pPr>
              <w:spacing w:after="0"/>
              <w:rPr>
                <w:sz w:val="24"/>
                <w:szCs w:val="24"/>
                <w:color w:val="auto"/>
              </w:rPr>
            </w:pPr>
          </w:p>
        </w:tc>
        <w:tc>
          <w:tcPr>
            <w:tcW w:w="34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100" w:type="dxa"/>
            <w:vAlign w:val="bottom"/>
          </w:tcPr>
          <w:p>
            <w:pPr>
              <w:spacing w:after="0"/>
              <w:rPr>
                <w:sz w:val="24"/>
                <w:szCs w:val="24"/>
                <w:color w:val="auto"/>
              </w:rPr>
            </w:pPr>
          </w:p>
        </w:tc>
      </w:tr>
      <w:tr>
        <w:trPr>
          <w:trHeight w:val="238"/>
        </w:trPr>
        <w:tc>
          <w:tcPr>
            <w:tcW w:w="77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36"/>
        </w:trPr>
        <w:tc>
          <w:tcPr>
            <w:tcW w:w="77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r>
      <w:tr>
        <w:trPr>
          <w:trHeight w:val="24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employee benefits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1,083,441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749,165</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 employee benefits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45,382</w:t>
            </w:r>
          </w:p>
        </w:tc>
        <w:tc>
          <w:tcPr>
            <w:tcW w:w="100" w:type="dxa"/>
            <w:vAlign w:val="bottom"/>
          </w:tcPr>
          <w:p>
            <w:pPr>
              <w:spacing w:after="0"/>
              <w:rPr>
                <w:sz w:val="20"/>
                <w:szCs w:val="20"/>
                <w:color w:val="auto"/>
              </w:rPr>
            </w:pPr>
          </w:p>
        </w:tc>
      </w:tr>
      <w:tr>
        <w:trPr>
          <w:trHeight w:val="24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1,524,994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1,230,634</w:t>
            </w:r>
          </w:p>
        </w:tc>
        <w:tc>
          <w:tcPr>
            <w:tcW w:w="100" w:type="dxa"/>
            <w:vAlign w:val="bottom"/>
            <w:shd w:val="clear" w:color="auto" w:fill="CFF0FC"/>
          </w:tcPr>
          <w:p>
            <w:pPr>
              <w:spacing w:after="0"/>
              <w:rPr>
                <w:sz w:val="21"/>
                <w:szCs w:val="21"/>
                <w:color w:val="auto"/>
              </w:rPr>
            </w:pP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2,658,866</w:t>
            </w:r>
          </w:p>
        </w:tc>
        <w:tc>
          <w:tcPr>
            <w:tcW w:w="22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2,025,181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9"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No stock options were granted to key management during the three months ended March 31, 2023. Refer to note 18 for disclosures on the share-based payments.</w:t>
      </w:r>
    </w:p>
    <w:p>
      <w:pPr>
        <w:spacing w:after="0" w:line="4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Group engages several management entities for the purpose of providing key management services to the Group. The aggregate value of transactions related to key management personnel, or entities which they control were €261,502 and €268,493 in the three months ended March 31, 2023 and 2022 respectively.</w:t>
      </w:r>
    </w:p>
    <w:p>
      <w:pPr>
        <w:spacing w:after="0" w:line="63" w:lineRule="exact"/>
        <w:rPr>
          <w:sz w:val="20"/>
          <w:szCs w:val="20"/>
          <w:color w:val="auto"/>
        </w:rPr>
      </w:pPr>
    </w:p>
    <w:p>
      <w:pPr>
        <w:ind w:right="560"/>
        <w:spacing w:after="0" w:line="284"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March 31, 2023 and December 31, 2022 were €834,560 and €1,162,963,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29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Company has evaluated subsequent events through May 8, 2023, which is the date the condensed consolidated interim financial statements were authorized for issuance, and did not identify any significant event after reporting period that needs to be disclosed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34" w:name="page35"/>
    <w:bookmarkEnd w:id="34"/>
    <w:p>
      <w:pPr>
        <w:ind w:right="3139"/>
        <w:spacing w:after="0" w:line="441"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May 8,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7"/>
          <w:szCs w:val="17"/>
          <w:color w:val="auto"/>
        </w:rPr>
        <w:t>A.M. de Jonge Schuermans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E. Björk</w:t>
      </w:r>
      <w:r>
        <w:rPr>
          <w:sz w:val="20"/>
          <w:szCs w:val="20"/>
          <w:color w:val="auto"/>
        </w:rPr>
        <w:tab/>
      </w:r>
      <w:r>
        <w:rPr>
          <w:rFonts w:ascii="Arial" w:cs="Arial" w:eastAsia="Arial" w:hAnsi="Arial"/>
          <w:sz w:val="17"/>
          <w:szCs w:val="17"/>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7"/>
          <w:szCs w:val="17"/>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565" w:right="1440"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2023-05-08T05:55:16Z</dcterms:created>
  <dcterms:modified xsi:type="dcterms:W3CDTF">2023-05-08T05:55:16Z</dcterms:modified>
</cp:coreProperties>
</file>