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ectPr>
          <w:pgSz w:w="11900" w:h="16838" w:orient="portrait"/>
          <w:cols w:equalWidth="0" w:num="1">
            <w:col w:w="10260"/>
          </w:cols>
          <w:pgMar w:left="320" w:top="225" w:right="1319" w:bottom="1440" w:gutter="0" w:footer="0" w:header="0"/>
        </w:sectPr>
      </w:pPr>
    </w:p>
    <w:p>
      <w:pPr>
        <w:spacing w:after="0" w:line="200" w:lineRule="exact"/>
        <w:rPr>
          <w:sz w:val="24"/>
          <w:szCs w:val="24"/>
          <w:color w:val="auto"/>
        </w:rPr>
      </w:pPr>
    </w:p>
    <w:p>
      <w:pPr>
        <w:spacing w:after="0" w:line="377" w:lineRule="exact"/>
        <w:rPr>
          <w:sz w:val="24"/>
          <w:szCs w:val="24"/>
          <w:color w:val="auto"/>
        </w:rPr>
      </w:pPr>
    </w:p>
    <w:tbl>
      <w:tblPr>
        <w:tblLayout w:type="fixed"/>
        <w:tblInd w:w="112" w:type="dxa"/>
        <w:tblCellMar>
          <w:top w:w="0" w:type="dxa"/>
          <w:left w:w="0" w:type="dxa"/>
          <w:bottom w:w="0" w:type="dxa"/>
          <w:right w:w="0" w:type="dxa"/>
        </w:tblCellMar>
      </w:tblPr>
      <w:tr>
        <w:trPr>
          <w:trHeight w:val="120"/>
        </w:trPr>
        <w:tc>
          <w:tcPr>
            <w:tcW w:w="184" w:type="dxa"/>
            <w:vAlign w:val="bottom"/>
            <w:textDirection w:val="btLr"/>
          </w:tcPr>
          <w:p>
            <w:pPr>
              <w:spacing w:after="0"/>
              <w:rPr>
                <w:sz w:val="20"/>
                <w:szCs w:val="20"/>
                <w:color w:val="auto"/>
              </w:rPr>
            </w:pPr>
            <w:r>
              <w:rPr>
                <w:rFonts w:ascii="Arial" w:cs="Arial" w:eastAsia="Arial" w:hAnsi="Arial"/>
                <w:sz w:val="16"/>
                <w:szCs w:val="16"/>
                <w:b w:val="1"/>
                <w:bCs w:val="1"/>
                <w:color w:val="FF4338"/>
              </w:rPr>
              <w:t>A</w:t>
            </w:r>
          </w:p>
        </w:tc>
      </w:tr>
    </w:tbl>
    <w:p>
      <w:pPr>
        <w:spacing w:after="0" w:line="60" w:lineRule="exact"/>
        <w:rPr>
          <w:sz w:val="24"/>
          <w:szCs w:val="24"/>
          <w:color w:val="auto"/>
        </w:rPr>
      </w:pPr>
    </w:p>
    <w:tbl>
      <w:tblPr>
        <w:tblLayout w:type="fixed"/>
        <w:tblInd w:w="51" w:type="dxa"/>
        <w:tblCellMar>
          <w:top w:w="0" w:type="dxa"/>
          <w:left w:w="0" w:type="dxa"/>
          <w:bottom w:w="0" w:type="dxa"/>
          <w:right w:w="0" w:type="dxa"/>
        </w:tblCellMar>
      </w:tblPr>
      <w:tr>
        <w:trPr>
          <w:trHeight w:val="11300"/>
        </w:trPr>
        <w:tc>
          <w:tcPr>
            <w:tcW w:w="852" w:type="dxa"/>
            <w:vAlign w:val="bottom"/>
            <w:textDirection w:val="btLr"/>
          </w:tcPr>
          <w:p>
            <w:pPr>
              <w:spacing w:after="0" w:line="247" w:lineRule="auto"/>
              <w:rPr>
                <w:sz w:val="20"/>
                <w:szCs w:val="20"/>
                <w:color w:val="auto"/>
              </w:rPr>
            </w:pPr>
            <w:r>
              <w:rPr>
                <w:rFonts w:ascii="Arial" w:cs="Arial" w:eastAsia="Arial" w:hAnsi="Arial"/>
                <w:sz w:val="18"/>
                <w:szCs w:val="18"/>
                <w:b w:val="1"/>
                <w:bCs w:val="1"/>
                <w:color w:val="FF4338"/>
              </w:rPr>
              <w:t>securities in any state where the offer or sale is not permitted. supplement and the accompanying prospectus are not an offer to sell these securities and we are not soliciting an offer to buy these registration statement has been filed with the Securities and Exchange Commission and is effective. This preliminary prospectus The information in this preliminary prospectus supplement and the accompanying prospectus is not complete and may be changed.</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333-278650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SUBJECT TO COMPLETION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DATED JULY 22, 2025</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12, 2024)</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$150,000,000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1962785</wp:posOffset>
            </wp:positionH>
            <wp:positionV relativeFrom="paragraph">
              <wp:posOffset>182245</wp:posOffset>
            </wp:positionV>
            <wp:extent cx="1971675"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291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241935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left="380"/>
        <w:spacing w:after="0"/>
        <w:tabs>
          <w:tab w:leader="none" w:pos="2280" w:val="left"/>
        </w:tabs>
        <w:rPr>
          <w:sz w:val="20"/>
          <w:szCs w:val="20"/>
          <w:color w:val="auto"/>
        </w:rPr>
      </w:pPr>
      <w:r>
        <w:rPr>
          <w:rFonts w:ascii="Times New Roman" w:cs="Times New Roman" w:eastAsia="Times New Roman" w:hAnsi="Times New Roman"/>
          <w:sz w:val="18"/>
          <w:szCs w:val="18"/>
          <w:color w:val="auto"/>
        </w:rPr>
        <w:t xml:space="preserve">We are offering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
        <w:t>of our ordinary shares, par value €0.12 per ordinary share (“ordinary shares”).</w:t>
      </w:r>
    </w:p>
    <w:p>
      <w:pPr>
        <w:spacing w:after="0" w:line="189" w:lineRule="exact"/>
        <w:rPr>
          <w:sz w:val="24"/>
          <w:szCs w:val="24"/>
          <w:color w:val="auto"/>
        </w:rPr>
      </w:pPr>
    </w:p>
    <w:p>
      <w:pPr>
        <w:ind w:right="320" w:firstLine="371"/>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Global Select Market (“Nasdaq”) under the symbol “PHVS.” On July 21, 2025, the last sale price of our ordinary shares as reported on Nasdaq was $23.84 per ordinary share.</w:t>
      </w:r>
    </w:p>
    <w:p>
      <w:pPr>
        <w:spacing w:after="0" w:line="135" w:lineRule="exact"/>
        <w:rPr>
          <w:sz w:val="24"/>
          <w:szCs w:val="24"/>
          <w:color w:val="auto"/>
        </w:rPr>
      </w:pPr>
    </w:p>
    <w:p>
      <w:pPr>
        <w:ind w:right="20" w:firstLine="371"/>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under the Securities and Exchange Commission (“SEC”) rules and, as such, we have elected to comply with certain reduced public company reporting requirements for this prospectus supplement and future filings. Please see “Pharvaris N.V.—Summary—Implications of Being a Foreign Private Issuer”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191770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200" w:firstLine="371"/>
        <w:spacing w:after="0" w:line="256" w:lineRule="auto"/>
        <w:rPr>
          <w:sz w:val="20"/>
          <w:szCs w:val="20"/>
          <w:color w:val="auto"/>
        </w:rPr>
      </w:pPr>
      <w:r>
        <w:rPr>
          <w:rFonts w:ascii="Times New Roman" w:cs="Times New Roman" w:eastAsia="Times New Roman" w:hAnsi="Times New Roman"/>
          <w:sz w:val="21"/>
          <w:szCs w:val="21"/>
          <w:b w:val="1"/>
          <w:bCs w:val="1"/>
          <w:color w:val="auto"/>
        </w:rPr>
        <w:t>Investing in our ordinary shares involves a high degree of risk. You should review carefully the risks and uncertainties described under the header “</w:t>
      </w:r>
      <w:r>
        <w:rPr>
          <w:rFonts w:ascii="Times New Roman" w:cs="Times New Roman" w:eastAsia="Times New Roman" w:hAnsi="Times New Roman"/>
          <w:sz w:val="21"/>
          <w:szCs w:val="21"/>
          <w:b w:val="1"/>
          <w:bCs w:val="1"/>
          <w:u w:val="single" w:color="auto"/>
          <w:color w:val="0000EE"/>
        </w:rPr>
        <w:t>Risk Factors</w:t>
      </w:r>
      <w:r>
        <w:rPr>
          <w:rFonts w:ascii="Times New Roman" w:cs="Times New Roman" w:eastAsia="Times New Roman" w:hAnsi="Times New Roman"/>
          <w:sz w:val="21"/>
          <w:szCs w:val="21"/>
          <w:b w:val="1"/>
          <w:bCs w:val="1"/>
          <w:color w:val="auto"/>
        </w:rPr>
        <w:t>” contained in this prospectus supplement beginning on page S-5 and under similar headings in the other documents that are incorporated by reference into this prospectus supplement and the accompanying prospectus.</w:t>
      </w:r>
    </w:p>
    <w:p>
      <w:pPr>
        <w:spacing w:after="0" w:line="140" w:lineRule="exact"/>
        <w:rPr>
          <w:sz w:val="24"/>
          <w:szCs w:val="24"/>
          <w:color w:val="auto"/>
        </w:rPr>
      </w:pPr>
    </w:p>
    <w:p>
      <w:pPr>
        <w:ind w:right="340" w:firstLine="371"/>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read the entire prospectus supplement and the accompanying prospectus, including any information incorporated by reference herein or therein, carefully before you make your investment decision.</w:t>
      </w:r>
    </w:p>
    <w:p>
      <w:pPr>
        <w:spacing w:after="0" w:line="140"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36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5"/>
                <w:szCs w:val="25"/>
                <w:color w:val="auto"/>
                <w:vertAlign w:val="superscript"/>
              </w:rPr>
              <w:t>(1)</w:t>
            </w:r>
          </w:p>
        </w:tc>
        <w:tc>
          <w:tcPr>
            <w:tcW w:w="21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12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We refer you to “Underwriting” beginning on page S-21 for additional information regarding underwriting compensation.</w:t>
      </w:r>
    </w:p>
    <w:p>
      <w:pPr>
        <w:spacing w:after="0" w:line="185" w:lineRule="exact"/>
        <w:rPr>
          <w:sz w:val="24"/>
          <w:szCs w:val="24"/>
          <w:color w:val="auto"/>
        </w:rPr>
      </w:pPr>
    </w:p>
    <w:p>
      <w:pPr>
        <w:ind w:right="40" w:firstLine="371"/>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an additional $22,500,000 of ordinary shares from us, at the public offering price, less the underwriting discounts and commissions.</w:t>
      </w:r>
    </w:p>
    <w:p>
      <w:pPr>
        <w:spacing w:after="0" w:line="117" w:lineRule="exact"/>
        <w:rPr>
          <w:sz w:val="24"/>
          <w:szCs w:val="24"/>
          <w:color w:val="auto"/>
        </w:rPr>
      </w:pPr>
    </w:p>
    <w:p>
      <w:pPr>
        <w:ind w:right="80" w:firstLine="37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4" w:lineRule="exact"/>
        <w:rPr>
          <w:sz w:val="24"/>
          <w:szCs w:val="24"/>
          <w:color w:val="auto"/>
        </w:rPr>
      </w:pPr>
    </w:p>
    <w:p>
      <w:pPr>
        <w:jc w:val="right"/>
        <w:ind w:left="380" w:right="3480"/>
        <w:spacing w:after="0" w:line="472" w:lineRule="auto"/>
        <w:rPr>
          <w:sz w:val="20"/>
          <w:szCs w:val="20"/>
          <w:color w:val="auto"/>
        </w:rPr>
      </w:pPr>
      <w:r>
        <w:rPr>
          <w:rFonts w:ascii="Times New Roman" w:cs="Times New Roman" w:eastAsia="Times New Roman" w:hAnsi="Times New Roman"/>
          <w:sz w:val="18"/>
          <w:szCs w:val="18"/>
          <w:color w:val="auto"/>
        </w:rPr>
        <w:t xml:space="preserve">The ordinary shares will be ready for delivery on or about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 2025. </w:t>
      </w:r>
      <w:r>
        <w:rPr>
          <w:rFonts w:ascii="Times New Roman" w:cs="Times New Roman" w:eastAsia="Times New Roman" w:hAnsi="Times New Roman"/>
          <w:sz w:val="18"/>
          <w:szCs w:val="18"/>
          <w:i w:val="1"/>
          <w:iCs w:val="1"/>
          <w:color w:val="auto"/>
        </w:rPr>
        <w:t>Joint Book-Running Managers</w:t>
      </w:r>
    </w:p>
    <w:p>
      <w:pPr>
        <w:spacing w:after="0" w:line="1" w:lineRule="exact"/>
        <w:rPr>
          <w:sz w:val="24"/>
          <w:szCs w:val="24"/>
          <w:color w:val="auto"/>
        </w:rPr>
      </w:pPr>
    </w:p>
    <w:p>
      <w:pPr>
        <w:sectPr>
          <w:pgSz w:w="11900" w:h="16838" w:orient="portrait"/>
          <w:cols w:equalWidth="0" w:num="2">
            <w:col w:w="903" w:space="77"/>
            <w:col w:w="9280"/>
          </w:cols>
          <w:pgMar w:left="320" w:top="225" w:right="1319" w:bottom="1440" w:gutter="0" w:footer="0" w:header="0"/>
          <w:type w:val="continuous"/>
        </w:sectPr>
      </w:pPr>
    </w:p>
    <w:p>
      <w:pPr>
        <w:ind w:left="980"/>
        <w:spacing w:after="0"/>
        <w:tabs>
          <w:tab w:leader="none" w:pos="2780" w:val="left"/>
          <w:tab w:leader="none" w:pos="4680" w:val="left"/>
          <w:tab w:leader="none" w:pos="5800" w:val="left"/>
          <w:tab w:leader="none" w:pos="8140" w:val="left"/>
        </w:tabs>
        <w:rPr>
          <w:sz w:val="20"/>
          <w:szCs w:val="20"/>
          <w:color w:val="auto"/>
        </w:rPr>
      </w:pPr>
      <w:r>
        <w:rPr>
          <w:rFonts w:ascii="Times New Roman" w:cs="Times New Roman" w:eastAsia="Times New Roman" w:hAnsi="Times New Roman"/>
          <w:sz w:val="22"/>
          <w:szCs w:val="22"/>
          <w:b w:val="1"/>
          <w:bCs w:val="1"/>
          <w:color w:val="auto"/>
        </w:rPr>
        <w:t>Morgan Stanley</w:t>
        <w:tab/>
        <w:t>Leerink Partners</w:t>
        <w:tab/>
        <w:t>Cantor</w:t>
      </w:r>
      <w:r>
        <w:rPr>
          <w:sz w:val="20"/>
          <w:szCs w:val="20"/>
          <w:color w:val="auto"/>
        </w:rPr>
        <w:tab/>
      </w:r>
      <w:r>
        <w:rPr>
          <w:rFonts w:ascii="Times New Roman" w:cs="Times New Roman" w:eastAsia="Times New Roman" w:hAnsi="Times New Roman"/>
          <w:sz w:val="22"/>
          <w:szCs w:val="22"/>
          <w:b w:val="1"/>
          <w:bCs w:val="1"/>
          <w:color w:val="auto"/>
        </w:rPr>
        <w:t>Oppenheimer &amp; Co.</w:t>
      </w:r>
      <w:r>
        <w:rPr>
          <w:sz w:val="20"/>
          <w:szCs w:val="20"/>
          <w:color w:val="auto"/>
        </w:rPr>
        <w:tab/>
      </w:r>
      <w:r>
        <w:rPr>
          <w:rFonts w:ascii="Times New Roman" w:cs="Times New Roman" w:eastAsia="Times New Roman" w:hAnsi="Times New Roman"/>
          <w:sz w:val="21"/>
          <w:szCs w:val="21"/>
          <w:b w:val="1"/>
          <w:bCs w:val="1"/>
          <w:color w:val="auto"/>
        </w:rPr>
        <w:t>Van Lanschot Kempen</w:t>
      </w:r>
    </w:p>
    <w:p>
      <w:pPr>
        <w:spacing w:after="0" w:line="175"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 2025</w:t>
      </w:r>
    </w:p>
    <w:p>
      <w:pPr>
        <w:sectPr>
          <w:pgSz w:w="11900" w:h="16838" w:orient="portrait"/>
          <w:cols w:equalWidth="0" w:num="1">
            <w:col w:w="10260"/>
          </w:cols>
          <w:pgMar w:left="320" w:top="225"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1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PRESENTATION OF FINANCIAL INFORMATION</w:t>
            </w:r>
          </w:p>
        </w:tc>
        <w:tc>
          <w:tcPr>
            <w:tcW w:w="6100" w:type="dxa"/>
            <w:vAlign w:val="bottom"/>
            <w:gridSpan w:val="6"/>
            <w:vMerge w:val="restart"/>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0000EE"/>
            </w:tcBorders>
            <w:gridSpan w:val="22"/>
            <w:vMerge w:val="continue"/>
          </w:tcPr>
          <w:p>
            <w:pPr>
              <w:spacing w:after="0"/>
              <w:rPr>
                <w:sz w:val="17"/>
                <w:szCs w:val="17"/>
                <w:color w:val="auto"/>
              </w:rPr>
            </w:pPr>
          </w:p>
        </w:tc>
        <w:tc>
          <w:tcPr>
            <w:tcW w:w="6100" w:type="dxa"/>
            <w:vAlign w:val="bottom"/>
            <w:gridSpan w:val="6"/>
            <w:vMerge w:val="continue"/>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S-ii</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TRADEMARKS</w:t>
            </w:r>
          </w:p>
        </w:tc>
        <w:tc>
          <w:tcPr>
            <w:tcW w:w="8920" w:type="dxa"/>
            <w:vAlign w:val="bottom"/>
            <w:gridSpan w:val="2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S-ii</w:t>
            </w:r>
          </w:p>
        </w:tc>
        <w:tc>
          <w:tcPr>
            <w:tcW w:w="0" w:type="dxa"/>
            <w:vAlign w:val="bottom"/>
          </w:tcPr>
          <w:p>
            <w:pPr>
              <w:spacing w:after="0"/>
              <w:rPr>
                <w:sz w:val="1"/>
                <w:szCs w:val="1"/>
                <w:color w:val="auto"/>
              </w:rPr>
            </w:pPr>
          </w:p>
        </w:tc>
      </w:tr>
      <w:tr>
        <w:trPr>
          <w:trHeight w:val="196"/>
        </w:trPr>
        <w:tc>
          <w:tcPr>
            <w:tcW w:w="102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ABOUT THIS PROSPECTUS SUPPLEMENT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S-ii</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S-iv</w:t>
            </w:r>
          </w:p>
        </w:tc>
        <w:tc>
          <w:tcPr>
            <w:tcW w:w="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SPECIAL NOTE REGARDING FORWARD-LOOKING STATEMENTS</w:t>
            </w:r>
          </w:p>
        </w:tc>
        <w:tc>
          <w:tcPr>
            <w:tcW w:w="4560" w:type="dxa"/>
            <w:vAlign w:val="bottom"/>
            <w:gridSpan w:val="4"/>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PROSPECTUS SUPPLEMENT SUMMARY</w:t>
            </w:r>
          </w:p>
        </w:tc>
        <w:tc>
          <w:tcPr>
            <w:tcW w:w="6760" w:type="dxa"/>
            <w:vAlign w:val="bottom"/>
            <w:gridSpan w:val="10"/>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S-1</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THE OFFERING</w:t>
            </w:r>
          </w:p>
        </w:tc>
        <w:tc>
          <w:tcPr>
            <w:tcW w:w="8840" w:type="dxa"/>
            <w:vAlign w:val="bottom"/>
            <w:gridSpan w:val="2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S-4</w:t>
            </w:r>
          </w:p>
        </w:tc>
        <w:tc>
          <w:tcPr>
            <w:tcW w:w="0" w:type="dxa"/>
            <w:vAlign w:val="bottom"/>
          </w:tcPr>
          <w:p>
            <w:pPr>
              <w:spacing w:after="0"/>
              <w:rPr>
                <w:sz w:val="1"/>
                <w:szCs w:val="1"/>
                <w:color w:val="auto"/>
              </w:rPr>
            </w:pPr>
          </w:p>
        </w:tc>
      </w:tr>
      <w:tr>
        <w:trPr>
          <w:trHeight w:val="196"/>
        </w:trPr>
        <w:tc>
          <w:tcPr>
            <w:tcW w:w="102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S-5</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S-7</w:t>
            </w:r>
          </w:p>
        </w:tc>
        <w:tc>
          <w:tcPr>
            <w:tcW w:w="0" w:type="dxa"/>
            <w:vAlign w:val="bottom"/>
          </w:tcPr>
          <w:p>
            <w:pPr>
              <w:spacing w:after="0" w:line="20" w:lineRule="exact"/>
              <w:rPr>
                <w:sz w:val="1"/>
                <w:szCs w:val="1"/>
                <w:color w:val="auto"/>
              </w:rPr>
            </w:pPr>
          </w:p>
        </w:tc>
      </w:tr>
      <w:tr>
        <w:trPr>
          <w:trHeight w:val="196"/>
        </w:trPr>
        <w:tc>
          <w:tcPr>
            <w:tcW w:w="102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DIVIDEND POLICY</w:t>
            </w:r>
          </w:p>
        </w:tc>
        <w:tc>
          <w:tcPr>
            <w:tcW w:w="8560" w:type="dxa"/>
            <w:vAlign w:val="bottom"/>
            <w:gridSpan w:val="19"/>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S-8</w:t>
            </w:r>
          </w:p>
        </w:tc>
        <w:tc>
          <w:tcPr>
            <w:tcW w:w="0" w:type="dxa"/>
            <w:vAlign w:val="bottom"/>
          </w:tcPr>
          <w:p>
            <w:pPr>
              <w:spacing w:after="0"/>
              <w:rPr>
                <w:sz w:val="1"/>
                <w:szCs w:val="1"/>
                <w:color w:val="auto"/>
              </w:rPr>
            </w:pPr>
          </w:p>
        </w:tc>
      </w:tr>
      <w:tr>
        <w:trPr>
          <w:trHeight w:val="196"/>
        </w:trPr>
        <w:tc>
          <w:tcPr>
            <w:tcW w:w="102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DILUTION</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S-9</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S-10</w:t>
            </w:r>
          </w:p>
        </w:tc>
        <w:tc>
          <w:tcPr>
            <w:tcW w:w="0" w:type="dxa"/>
            <w:vAlign w:val="bottom"/>
          </w:tcPr>
          <w:p>
            <w:pPr>
              <w:spacing w:after="0" w:line="20" w:lineRule="exact"/>
              <w:rPr>
                <w:sz w:val="1"/>
                <w:szCs w:val="1"/>
                <w:color w:val="auto"/>
              </w:rPr>
            </w:pPr>
          </w:p>
        </w:tc>
      </w:tr>
      <w:tr>
        <w:trPr>
          <w:trHeight w:val="196"/>
        </w:trPr>
        <w:tc>
          <w:tcPr>
            <w:tcW w:w="102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MATERIAL UNITED STATES FEDERAL INCOME TAX AND DUTCH TAX CONSIDERATIONS OF ORDINARY SHARES</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4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UNDERWRITING</w:t>
            </w:r>
          </w:p>
        </w:tc>
        <w:tc>
          <w:tcPr>
            <w:tcW w:w="3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S-21</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S-30</w:t>
            </w:r>
          </w:p>
        </w:tc>
        <w:tc>
          <w:tcPr>
            <w:tcW w:w="0" w:type="dxa"/>
            <w:vAlign w:val="bottom"/>
          </w:tcPr>
          <w:p>
            <w:pPr>
              <w:spacing w:after="0" w:line="20" w:lineRule="exact"/>
              <w:rPr>
                <w:sz w:val="1"/>
                <w:szCs w:val="1"/>
                <w:color w:val="auto"/>
              </w:rPr>
            </w:pPr>
          </w:p>
        </w:tc>
      </w:tr>
      <w:tr>
        <w:trPr>
          <w:trHeight w:val="196"/>
        </w:trPr>
        <w:tc>
          <w:tcPr>
            <w:tcW w:w="102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EXPERTS</w:t>
            </w:r>
          </w:p>
        </w:tc>
        <w:tc>
          <w:tcPr>
            <w:tcW w:w="720" w:type="dxa"/>
            <w:vAlign w:val="bottom"/>
            <w:tcBorders>
              <w:top w:val="single" w:sz="8" w:color="0000EE"/>
            </w:tcBorders>
            <w:gridSpan w:val="7"/>
          </w:tcPr>
          <w:p>
            <w:pPr>
              <w:spacing w:after="0"/>
              <w:rPr>
                <w:sz w:val="17"/>
                <w:szCs w:val="17"/>
                <w:color w:val="auto"/>
              </w:rPr>
            </w:pPr>
          </w:p>
        </w:tc>
        <w:tc>
          <w:tcPr>
            <w:tcW w:w="8680" w:type="dxa"/>
            <w:vAlign w:val="bottom"/>
            <w:gridSpan w:val="20"/>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S-31</w:t>
            </w:r>
          </w:p>
        </w:tc>
        <w:tc>
          <w:tcPr>
            <w:tcW w:w="0" w:type="dxa"/>
            <w:vAlign w:val="bottom"/>
          </w:tcPr>
          <w:p>
            <w:pPr>
              <w:spacing w:after="0"/>
              <w:rPr>
                <w:sz w:val="1"/>
                <w:szCs w:val="1"/>
                <w:color w:val="auto"/>
              </w:rPr>
            </w:pPr>
          </w:p>
        </w:tc>
      </w:tr>
      <w:tr>
        <w:trPr>
          <w:trHeight w:val="196"/>
        </w:trPr>
        <w:tc>
          <w:tcPr>
            <w:tcW w:w="102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S-32</w:t>
            </w:r>
          </w:p>
        </w:tc>
        <w:tc>
          <w:tcPr>
            <w:tcW w:w="0" w:type="dxa"/>
            <w:vAlign w:val="bottom"/>
          </w:tcPr>
          <w:p>
            <w:pPr>
              <w:spacing w:after="0"/>
              <w:rPr>
                <w:sz w:val="1"/>
                <w:szCs w:val="1"/>
                <w:color w:val="auto"/>
              </w:rPr>
            </w:pPr>
          </w:p>
        </w:tc>
      </w:tr>
      <w:tr>
        <w:trPr>
          <w:trHeight w:val="196"/>
        </w:trPr>
        <w:tc>
          <w:tcPr>
            <w:tcW w:w="40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INCORPORATION BY REFERENCE</w:t>
            </w:r>
          </w:p>
        </w:tc>
        <w:tc>
          <w:tcPr>
            <w:tcW w:w="6200" w:type="dxa"/>
            <w:vAlign w:val="bottom"/>
            <w:gridSpan w:val="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S-33</w:t>
            </w:r>
          </w:p>
        </w:tc>
        <w:tc>
          <w:tcPr>
            <w:tcW w:w="0" w:type="dxa"/>
            <w:vAlign w:val="bottom"/>
          </w:tcPr>
          <w:p>
            <w:pPr>
              <w:spacing w:after="0"/>
              <w:rPr>
                <w:sz w:val="1"/>
                <w:szCs w:val="1"/>
                <w:color w:val="auto"/>
              </w:rPr>
            </w:pPr>
          </w:p>
        </w:tc>
      </w:tr>
      <w:tr>
        <w:trPr>
          <w:trHeight w:val="453"/>
        </w:trPr>
        <w:tc>
          <w:tcPr>
            <w:tcW w:w="300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7220" w:type="dxa"/>
            <w:vAlign w:val="bottom"/>
            <w:gridSpan w:val="12"/>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22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ABOUT THIS PROSPECTUS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8"/>
        </w:trPr>
        <w:tc>
          <w:tcPr>
            <w:tcW w:w="10220" w:type="dxa"/>
            <w:vAlign w:val="bottom"/>
            <w:gridSpan w:val="28"/>
            <w:vMerge w:val="continue"/>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line="20" w:lineRule="exact"/>
              <w:rPr>
                <w:sz w:val="1"/>
                <w:szCs w:val="1"/>
                <w:color w:val="auto"/>
              </w:rPr>
            </w:pPr>
          </w:p>
        </w:tc>
      </w:tr>
      <w:tr>
        <w:trPr>
          <w:trHeight w:val="196"/>
        </w:trPr>
        <w:tc>
          <w:tcPr>
            <w:tcW w:w="102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SPECIAL NOTE REGARDING FORWARD-LOOKING STATEMENTS</w:t>
            </w:r>
          </w:p>
        </w:tc>
        <w:tc>
          <w:tcPr>
            <w:tcW w:w="4560" w:type="dxa"/>
            <w:vAlign w:val="bottom"/>
            <w:gridSpan w:val="4"/>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PHARVARIS N.V.</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8760" w:type="dxa"/>
            <w:vAlign w:val="bottom"/>
            <w:gridSpan w:val="2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line="20" w:lineRule="exact"/>
              <w:rPr>
                <w:sz w:val="1"/>
                <w:szCs w:val="1"/>
                <w:color w:val="auto"/>
              </w:rPr>
            </w:pPr>
          </w:p>
        </w:tc>
      </w:tr>
      <w:tr>
        <w:trPr>
          <w:trHeight w:val="196"/>
        </w:trPr>
        <w:tc>
          <w:tcPr>
            <w:tcW w:w="102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line="20" w:lineRule="exact"/>
              <w:rPr>
                <w:sz w:val="1"/>
                <w:szCs w:val="1"/>
                <w:color w:val="auto"/>
              </w:rPr>
            </w:pPr>
          </w:p>
        </w:tc>
      </w:tr>
      <w:tr>
        <w:trPr>
          <w:trHeight w:val="196"/>
        </w:trPr>
        <w:tc>
          <w:tcPr>
            <w:tcW w:w="60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DESCRIPTION OF SHARE CAPITAL AND ARTICLES OF ASSOCIATION</w:t>
            </w:r>
          </w:p>
        </w:tc>
        <w:tc>
          <w:tcPr>
            <w:tcW w:w="4200" w:type="dxa"/>
            <w:vAlign w:val="bottom"/>
            <w:gridSpan w:val="3"/>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COMPARISON OF DUTCH LAW AND OUR ARTICLES OF ASSOCIATION AND U.S. CORPORATE LAW</w:t>
            </w:r>
          </w:p>
        </w:tc>
        <w:tc>
          <w:tcPr>
            <w:tcW w:w="168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DEBT SECURITIES</w:t>
            </w:r>
          </w:p>
        </w:tc>
        <w:tc>
          <w:tcPr>
            <w:tcW w:w="7000" w:type="dxa"/>
            <w:vAlign w:val="bottom"/>
            <w:gridSpan w:val="1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DESCRIPTION OF WARRANTS</w:t>
            </w:r>
          </w:p>
        </w:tc>
        <w:tc>
          <w:tcPr>
            <w:tcW w:w="7600" w:type="dxa"/>
            <w:vAlign w:val="bottom"/>
            <w:gridSpan w:val="1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196"/>
        </w:trPr>
        <w:tc>
          <w:tcPr>
            <w:tcW w:w="102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DESCRIPTION OF PURCHASE CONTRACTS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196"/>
        </w:trPr>
        <w:tc>
          <w:tcPr>
            <w:tcW w:w="214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UNITS</w:t>
            </w:r>
          </w:p>
        </w:tc>
        <w:tc>
          <w:tcPr>
            <w:tcW w:w="1600" w:type="dxa"/>
            <w:vAlign w:val="bottom"/>
            <w:tcBorders>
              <w:top w:val="single" w:sz="8" w:color="0000EE"/>
            </w:tcBorders>
            <w:gridSpan w:val="9"/>
          </w:tcPr>
          <w:p>
            <w:pPr>
              <w:spacing w:after="0"/>
              <w:rPr>
                <w:sz w:val="17"/>
                <w:szCs w:val="17"/>
                <w:color w:val="auto"/>
              </w:rPr>
            </w:pPr>
          </w:p>
        </w:tc>
        <w:tc>
          <w:tcPr>
            <w:tcW w:w="6480" w:type="dxa"/>
            <w:vAlign w:val="bottom"/>
            <w:gridSpan w:val="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FORMS OF SECURITIES</w:t>
            </w:r>
          </w:p>
        </w:tc>
        <w:tc>
          <w:tcPr>
            <w:tcW w:w="8140" w:type="dxa"/>
            <w:vAlign w:val="bottom"/>
            <w:gridSpan w:val="1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PLAN OF DISTRIBUTION</w:t>
            </w:r>
          </w:p>
        </w:tc>
        <w:tc>
          <w:tcPr>
            <w:tcW w:w="8060" w:type="dxa"/>
            <w:vAlign w:val="bottom"/>
            <w:gridSpan w:val="16"/>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196"/>
        </w:trPr>
        <w:tc>
          <w:tcPr>
            <w:tcW w:w="102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INCORPORATION OF CERTAIN INFORMATION BY REFERENCE</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196"/>
        </w:trPr>
        <w:tc>
          <w:tcPr>
            <w:tcW w:w="552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ENFORCEMENT OF JUDGMENTS</w:t>
            </w:r>
          </w:p>
        </w:tc>
        <w:tc>
          <w:tcPr>
            <w:tcW w:w="4700" w:type="dxa"/>
            <w:vAlign w:val="bottom"/>
            <w:gridSpan w:val="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EXPENSES</w:t>
            </w:r>
          </w:p>
        </w:tc>
        <w:tc>
          <w:tcPr>
            <w:tcW w:w="7340" w:type="dxa"/>
            <w:vAlign w:val="bottom"/>
            <w:gridSpan w:val="1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9300" w:type="dxa"/>
            <w:vAlign w:val="bottom"/>
            <w:gridSpan w:val="25"/>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line="20" w:lineRule="exact"/>
              <w:rPr>
                <w:sz w:val="1"/>
                <w:szCs w:val="1"/>
                <w:color w:val="auto"/>
              </w:rPr>
            </w:pPr>
          </w:p>
        </w:tc>
      </w:tr>
      <w:tr>
        <w:trPr>
          <w:trHeight w:val="196"/>
        </w:trPr>
        <w:tc>
          <w:tcPr>
            <w:tcW w:w="102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EXPERTS</w:t>
            </w:r>
          </w:p>
        </w:tc>
        <w:tc>
          <w:tcPr>
            <w:tcW w:w="720" w:type="dxa"/>
            <w:vAlign w:val="bottom"/>
            <w:tcBorders>
              <w:top w:val="single" w:sz="8" w:color="0000EE"/>
            </w:tcBorders>
            <w:gridSpan w:val="7"/>
          </w:tcPr>
          <w:p>
            <w:pPr>
              <w:spacing w:after="0"/>
              <w:rPr>
                <w:sz w:val="17"/>
                <w:szCs w:val="17"/>
                <w:color w:val="auto"/>
              </w:rPr>
            </w:pPr>
          </w:p>
        </w:tc>
        <w:tc>
          <w:tcPr>
            <w:tcW w:w="8680" w:type="dxa"/>
            <w:vAlign w:val="bottom"/>
            <w:gridSpan w:val="20"/>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report under IFRS Accounting Standards, or IFRS, as issued by the International Accounting Standards Board, or the IASB. None of the financial statements incorporated by reference herein were prepared in accordance with generally accepted accounting principles in the United States. We present our consolidated financial statements in euros and in accordance with IFRS as issued by the IASB. We have made rounding adjustments to some of the figures included in this prospectus supplement. Accordingly, numerical figures shown as totals in some tables may not be an arithmetic aggregation of the figures that preceded them.</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all references in this prospectus supplement to “€,” “euro,” “EUR” or “cents” are to the currency introduced at the start of the third stage of the European Economic and Monetary Union pursuant to the Treaty on the Functioning of the European Union, as amended. All references to “$,” “US$” or “U.S. dollars” are to the lawful currency of the United States.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Solely for the convenience of the reader, certain euro amounts herein have been translated into U.S. dollars at the rate of €1.00 to $1.0815, the average exchange rate quoted as of March 31, 2025 by the European Central Bank. These translations should not be considered representations that any such amounts have been, could have been or could be converted into U.S. dollars at that or any other exchange rate as at that or any other date.</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7"/>
          <w:szCs w:val="17"/>
          <w:color w:val="auto"/>
        </w:rPr>
        <w:t xml:space="preserve">All trademarks, trade names and service marks appearing in this prospectus supplement are the property of their respective owners. Solely for convenience, the trademarks and trade names in this prospectus supplement are referred to without the symbols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This document is part of the automatic shelf registration statement on Form F-3 (File No. 333-278650) that we filed with the Securities and Exchange Commission, or the SEC, as a “well-known seasoned issuer” as defined in Rule 405 under the Securities Act of 1933, as amended, or the Securities Act, using a “shelf” registration process. and consists of two parts. The first part is this prospectus supplement, including the documents incorporated by reference herein, which describes the specific terms of this offering of ordinary shares. The second part, the accompanying prospectus, including the documents incorporated by reference therein, gives more general information, some of which may not apply to this offering. Generally, when we refer to the “prospectus,” we are referring to both parts combined. This prospectus supplement and any free writing prospectus we authorize for use in connection with this offering may add to, update or change information in the accompanying prospectus and the documents incorporated by reference into this prospectus supplement or the accompanying prospectus.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Before buying any of the ordinary shares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in or incorporated by reference in this prospectus supplement and any related free writing prospectus filed by us with the SEC. We have not, and the underwriters have not, authorized anyone to provide you with different information.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supplement to “Pharvaris N.V.,” “Pharvaris,” the “Company,” “we,” “our,” “ours,” “us” or similar terms refer to Pharvaris N.V.</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financial statements and other documents incorporated by reference in this prospectus supplement and the accompanying prospectus contain forward-looking statements, including statements concerning our use of proceeds, industry, our operations, our anticipated financial performance and financial condition, and our business plans and growth strategy and product development efforts. These statements constitute forward-looking statements within the meaning of Section 27A of the Securities Act of 1933, as amended, or the Securities Act, and Section 21E of the Exchange Act. Many of the forward-looking statements contained in this prospectus supplement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88"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following represent some, but not necessarily all, of the factors that could cause actual results to differ from historical results or those anticipated or predicted by our forward-looking statements:</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spacing w:after="0" w:line="81"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progress, or success of our clinical development programs, especially for IR (immediate-release deucrictibant capsules) and XR (extended-release deucrictibant tablets), which are in late-stage global clinical trials;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the efficacy and safety demonstrated in the RAPIDe-1 and CHAPTER-1 Phase 2 study in ongoing and future nonclinical studies and clinical trials;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from epidemic diseases which may adversely impact our business, nonclinical studies and clinical trials, the outcome and timing of regulatory approvals and the value of our ordinary shares;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and other limitations involved in obtaining regulatory approval for our product candidates IR and XR or any other product candidate that we may develop in the future;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commercialize and achieve market acceptance for our product candidates IR and XR or any of our other product candidates that we may develop in the future, if approved;</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commercial capabilities or enter into agreements with third parties to market, sell and distribute our product candidates;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to perform critical activities related to the research, nonclinical safety and toxicology studies, development and manufacturing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and on acceptable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any new licensing agreements or to maintain any licensing agreements with respect to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collaboration partners and licensees, whose actions we cannot control;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private insurers and other payors to provide reimbursement for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the European Union and other jurisdictions;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 timing of price negotiations with governmental authorities;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5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pharmaceutical industry, including with respect to existing therapies, emerging potentially competitive therapies and with competitive generic products;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know-how and operate our business without infringing the intellectual property rights or regulatory exclusivity of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effects or adverse events associated with the use of our product candidates;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costly and damaging liability claims resulting from the testing of our product candidates in the clinic or, if, approved, any commercial sales;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sizes and anticipated uses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performance;</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anticipated operating losses, future revenues, expenses, capital requirements and our needs for additional financing;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or future laws and regulations in a cost-efficient manner;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negative consequences from changes in applicable laws and regulations, including tax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 over financial reporting;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 foreign private issuer;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uncertainty in general market, political and economic conditions, including as a result of inflation and geopolitical conflicts;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and customs, tariffs and trade barriers;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herein under “Risk Factors” or incorporated herein by reference.</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particular, you should consider the numerous risks described in our Annual Report on Form 20-F for the period ended December 31, 2024, as filed with the SEC on April 7, 2025, and as described or may be described in any subsequent Annual Report on Form 20-F under the heading “Item 3.D. Risk Factors,” which are incorporated by reference into this prospectus supplement, and any other documents we file with the SEC that are deemed incorporated by reference into this prospectus and in the “Risk Factors” section in the applicable prospectus supplement. See “Where You Can Find More Information.”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making an investment decision. You should read this entire prospectus supplement carefully, especially the risks related to this offering discussed under “Risk Factors” beginning on page S-5 of this prospectus supplement, along with the other risk factors, our consolidated financial statements and notes to those consolidated financial statements and the other information incorporated by reference in this prospectus supplement.</w:t>
      </w:r>
    </w:p>
    <w:p>
      <w:pPr>
        <w:spacing w:after="0" w:line="3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300" w:right="40" w:firstLine="426"/>
        <w:spacing w:after="0" w:line="270" w:lineRule="auto"/>
        <w:rPr>
          <w:sz w:val="20"/>
          <w:szCs w:val="20"/>
          <w:color w:val="auto"/>
        </w:rPr>
      </w:pPr>
      <w:r>
        <w:rPr>
          <w:rFonts w:ascii="Times New Roman" w:cs="Times New Roman" w:eastAsia="Times New Roman" w:hAnsi="Times New Roman"/>
          <w:sz w:val="17"/>
          <w:szCs w:val="17"/>
          <w:color w:val="auto"/>
        </w:rPr>
        <w:t>We are a late-stage biopharmaceutical company focused on the development and commercialization of innovative therapies for rare diseases with significant unmet need, initially focused on angioedema and other bradykinin-mediated diseases. Our first molecule, deucrictibant (previously referred to as PHA121 or PHA-022121), is a novel, oral, small-molecule bradykinin B2 receptor antagonist under development for the prevention or treatment of attacks due to bradykinin-mediated angioedema, including hereditary angioedema (“HAE”) and acquired angioedema due to</w:t>
      </w:r>
    </w:p>
    <w:p>
      <w:pPr>
        <w:spacing w:after="0" w:line="3" w:lineRule="exact"/>
        <w:rPr>
          <w:sz w:val="20"/>
          <w:szCs w:val="20"/>
          <w:color w:val="auto"/>
        </w:rPr>
      </w:pPr>
    </w:p>
    <w:p>
      <w:pPr>
        <w:ind w:left="300" w:right="160"/>
        <w:spacing w:after="0" w:line="253" w:lineRule="auto"/>
        <w:rPr>
          <w:sz w:val="20"/>
          <w:szCs w:val="20"/>
          <w:color w:val="auto"/>
        </w:rPr>
      </w:pPr>
      <w:r>
        <w:rPr>
          <w:rFonts w:ascii="Times New Roman" w:cs="Times New Roman" w:eastAsia="Times New Roman" w:hAnsi="Times New Roman"/>
          <w:sz w:val="18"/>
          <w:szCs w:val="18"/>
          <w:color w:val="auto"/>
        </w:rPr>
        <w:t>C1-inhibitor deficiency (“AAE-C1INH”). Deucrictibant has the potential to address unmet medical needs by improving upon the therapeutic profile of existing medicines and providing patients with quality of life and ease-of-administration that is superior to current standard-of-care. We believe deucrictibant has the potential to provide injectable-like efficacy and placebo-like tolerability with the convenience of an oral therapy for both the prophylactic and on-demand treatment of HAE attacks.</w:t>
      </w:r>
    </w:p>
    <w:p>
      <w:pPr>
        <w:spacing w:after="0" w:line="18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Deucrictibant may address unmet medical needs of people living with HAE by both preventing attacks from occurring, using an extended-release (“XR”) tablet formulation of deucrictibant (previously referred to as PHVS719), as well as treat the manifestations of HAE attacks, using an immediate-release (“IR”) capsule formulation of deucrictibant (previously referred to as PHVS416). The XR tablet formulation is designed to maintain therapeutic levels for at least 24 hours and to achieve a steady-state plasma concentration within 72 hours, supporting a once-daily dosing regimen. The IR capsule formulation is designed to rapidly reach therapeutic exposure in order to mitigate HAE attacks symptoms quickly and completely with a single oral dose.</w:t>
      </w:r>
    </w:p>
    <w:p>
      <w:pPr>
        <w:spacing w:after="0" w:line="187"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the other way around). This may be particularly valued by children or adolescents who typically begin therapy with on-demand only and gradually move to prophylaxis as attack frequency increases (commonly after puberty).</w:t>
      </w:r>
    </w:p>
    <w:p>
      <w:pPr>
        <w:spacing w:after="0" w:line="180"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In our Phase 1 clinical trials to-date, we have observed rapid exposure and predictable linear pharmacokinetics with and without food. In addition, we observed deucrictibant to be a potent antagonist of the bradykinin B2 receptor, in vitro and in vivo with healthy volunteers.</w:t>
      </w:r>
    </w:p>
    <w:p>
      <w:pPr>
        <w:spacing w:after="0" w:line="162"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A Phase 2 placebo-controlled trial evaluating the efficacy and tolerability of deucrictibant IR capsules for the on-demand treatment of attacks in patients with HAE type 1 and 2 (“RAPIDe-1”) commenced in February 2021 and reported positive topline Phase 2 data in December 2022, demonstrating the clinical efficacy and tolerability of deucrictibant. We believe these positive Phase 2 data support further development of deucrictibant as a potential oral on-demand therapy for HAE attacks. In March 2024, we initiated a global, pivotal, randomized, double-blind-placebo-controlled Phase 3 study, RAPIDe-3, of orally administered deucrictibant IR capsule (20 mg), for the on-demand treatment of HAE attacks in adults and adolescents (12 years and older), and enrolled</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96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00"/>
        <w:spacing w:after="0" w:line="282" w:lineRule="auto"/>
        <w:rPr>
          <w:sz w:val="20"/>
          <w:szCs w:val="20"/>
          <w:color w:val="auto"/>
        </w:rPr>
      </w:pPr>
      <w:r>
        <w:rPr>
          <w:rFonts w:ascii="Times New Roman" w:cs="Times New Roman" w:eastAsia="Times New Roman" w:hAnsi="Times New Roman"/>
          <w:sz w:val="18"/>
          <w:szCs w:val="18"/>
          <w:color w:val="auto"/>
        </w:rPr>
        <w:t>approximately 120 participants with HAE type 1, 2 and 3 (normal C1). Topline data from RAPIDe-3 is anticipated in the fourth quarter of 2025 and, pending positive data, we expect to submit a New Drug Application with the FDA in the first half of 2026.</w:t>
      </w:r>
    </w:p>
    <w:p>
      <w:pPr>
        <w:spacing w:after="0" w:line="162"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A Phase 2 placebo-controlled trial evaluating the efficacy and the safety and tolerability of deucrictibant for long-term prophylaxis against angioedema attacks in HAE type 1 and 2 (“CHAPTER-1”) commenced CHAPTER-1 in 2021 using twice-daily dosing of deucrictibant IR capsules as a proof-of-concept for once-daily deucrictibant XR tablets, and announced positive topline data in December 2023, demonstrating the clinical efficacy and tolerability of deucrictibant. We believe these positive Phase 2 data support further development of deucrictibant as a potential oral prophylactic therapy for HAE attacks. In December 2024, we initiated a global, pivotal, randomized, double-blind, placebo-controlled Phase 3 study, CHAPTER-3, of orally administered deucrictibant extended-release tablet for the prophylaxis against angioedema attacks in adults and adolescents (12 years and older) with HAE. The study aims to enroll approximately 81 participants with HAE type 1, 2 and 3 (normal C1) and randomize them in a 2:1 ratio to receive deucrictibant XR tablet (40 mg/day), which is the intended commercial dosage, or placebo, once daily for 24 weeks with HAE. Topline data from CHAPTER-3 is anticipated in the second half of 2026.</w:t>
      </w:r>
    </w:p>
    <w:p>
      <w:pPr>
        <w:spacing w:after="0" w:line="188"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In addition, we are also running open-label extension studies in both on-demand and prophylactic settings to collect long-term safety and efficacy data in HAE patients.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Balance</w:t>
      </w:r>
    </w:p>
    <w:p>
      <w:pPr>
        <w:spacing w:after="0" w:line="121"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The Company held cash and cash equivalents of approximately €199.6 million as of June 30, 2025. The preliminary financial data related to cash and cash equivalents as of June 30, 2025 included in this prospectus supplement has been prepared by, and is the responsibility of, Pharvaris management. PricewaterhouseCoopers Accountants N.V. has not audited, reviewed, examined, compiled, nor applied agreed-upon procedures with respect to this preliminary financial data. Accordingly, PricewaterhouseCoopers Accountants N.V. does not express an opinion or any other form of assurance with respect thereto.</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 xml:space="preserve">The offices of Pharvaris N.V. are located at Emmy Noetherweg 2, 2333 BK Leiden, The Netherlands. Our telephone number is +31 (0)71 203 6410. Investors should contact us for any inquiries at the address and telephone number of our principal executive office. Our principal website is </w:t>
      </w:r>
      <w:r>
        <w:rPr>
          <w:rFonts w:ascii="Times New Roman" w:cs="Times New Roman" w:eastAsia="Times New Roman" w:hAnsi="Times New Roman"/>
          <w:sz w:val="18"/>
          <w:szCs w:val="18"/>
          <w:i w:val="1"/>
          <w:iCs w:val="1"/>
          <w:color w:val="auto"/>
        </w:rPr>
        <w:t>www.pharvaris.com</w:t>
      </w:r>
      <w:r>
        <w:rPr>
          <w:rFonts w:ascii="Times New Roman" w:cs="Times New Roman" w:eastAsia="Times New Roman" w:hAnsi="Times New Roman"/>
          <w:sz w:val="18"/>
          <w:szCs w:val="18"/>
          <w:color w:val="auto"/>
        </w:rPr>
        <w:t>. The information contained on our website is not a part of this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21"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We report under the Securities Exchange Act of 1934, as amended, or the Exchange Act, as a non-U.S. company with foreign private issuer status. As such, we are permitted to follow certain governance practices of the Netherlands instead of those otherwise required under SEC or the Nasdaq Stock Market, or Nasdaq, rules for domestic issuers, including:</w:t>
      </w:r>
    </w:p>
    <w:p>
      <w:pPr>
        <w:spacing w:after="0" w:line="81" w:lineRule="exact"/>
        <w:rPr>
          <w:sz w:val="20"/>
          <w:szCs w:val="20"/>
          <w:color w:val="auto"/>
        </w:rPr>
      </w:pPr>
    </w:p>
    <w:p>
      <w:pPr>
        <w:ind w:left="1240" w:right="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and current reports on Form 8-K disclosing significant events within four days of their occurrence.</w:t>
      </w:r>
    </w:p>
    <w:p>
      <w:pPr>
        <w:spacing w:after="0" w:line="67"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rules regarding sales of ordinary shares by insiders, which will provide less data in this regard than to shareholders of U.S. companies that are subject to the Exchange Act.</w:t>
      </w:r>
    </w:p>
    <w:p>
      <w:pPr>
        <w:spacing w:after="0" w:line="67"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rules applicable to U.S. issuers requiring disclosure within four business days of any determination to grant a waiver of the code of business conduct and ethics to directors and officers.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310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2310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we provide in our bylaws for a generally applicable quorum and that such quorum not be less than one-third of the outstanding voting stock.</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we solicit proxies and provide proxy statements for all meetings of Shareholders and shall provide copies of such proxy solicitation to Nasdaq.</w:t>
      </w:r>
    </w:p>
    <w:p>
      <w:pPr>
        <w:spacing w:after="0" w:line="67"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for shareholder approval for the issuance of securities in connection with certain events such as the acquisition of shares or assets of another company, the establishment of or amendments to equity-based compensation plans for employees, a change of control of us and certain private placements.</w:t>
      </w:r>
    </w:p>
    <w:p>
      <w:pPr>
        <w:spacing w:after="0" w:line="176"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Nasdaq Rule 5615(a)(3) provides that a foreign private issuer may rely on home country corporate governance practices in lieu of certain of the rules in the Nasdaq Rule 5600 Series, Rule 5250(b)(3) and Rule 5250(d).</w:t>
      </w:r>
    </w:p>
    <w:p>
      <w:pPr>
        <w:spacing w:after="0" w:line="162"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Because we are a foreign private issuer, our directors and senior management are not subject to short-swing profit and insider trading reporting obligations under Section 16 of the Exchange Act. They are, however, be subject to the obligation to report changes in share ownership under Section 13 of the Exchange Act and related SEC rules.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800"/>
          </w:cols>
          <w:pgMar w:left="320" w:top="455" w:right="7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036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0361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offered by us</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ordinary shares.</w:t>
            </w:r>
          </w:p>
        </w:tc>
      </w:tr>
      <w:tr>
        <w:trPr>
          <w:trHeight w:val="45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to be outstanding after this offering</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ordinary shares, or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ordinary shares if the underwriters exercise their</w:t>
            </w:r>
          </w:p>
        </w:tc>
      </w:tr>
      <w:tr>
        <w:trPr>
          <w:trHeight w:val="234"/>
        </w:trPr>
        <w:tc>
          <w:tcPr>
            <w:tcW w:w="3960" w:type="dxa"/>
            <w:vAlign w:val="bottom"/>
          </w:tcPr>
          <w:p>
            <w:pPr>
              <w:spacing w:after="0"/>
              <w:rPr>
                <w:sz w:val="20"/>
                <w:szCs w:val="20"/>
                <w:color w:val="auto"/>
              </w:rPr>
            </w:pPr>
          </w:p>
        </w:tc>
        <w:tc>
          <w:tcPr>
            <w:tcW w:w="66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option to purchase additional ordinary shares in full.</w:t>
            </w:r>
          </w:p>
        </w:tc>
      </w:tr>
      <w:tr>
        <w:trPr>
          <w:trHeight w:val="441"/>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Underwriters’ option to Purchase Additional Ordinary</w:t>
            </w:r>
          </w:p>
        </w:tc>
        <w:tc>
          <w:tcPr>
            <w:tcW w:w="66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9"/>
              </w:rPr>
              <w:t>We have granted the underwriters an option to purchase up to an additional $22,500,000 of</w:t>
            </w:r>
          </w:p>
        </w:tc>
      </w:tr>
      <w:tr>
        <w:trPr>
          <w:trHeight w:val="216"/>
        </w:trPr>
        <w:tc>
          <w:tcPr>
            <w:tcW w:w="3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66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ordinary shares from us, at the public offering price, less the underwriting discounts and</w:t>
            </w:r>
          </w:p>
        </w:tc>
      </w:tr>
      <w:tr>
        <w:trPr>
          <w:trHeight w:val="234"/>
        </w:trPr>
        <w:tc>
          <w:tcPr>
            <w:tcW w:w="3960" w:type="dxa"/>
            <w:vAlign w:val="bottom"/>
          </w:tcPr>
          <w:p>
            <w:pPr>
              <w:spacing w:after="0"/>
              <w:rPr>
                <w:sz w:val="20"/>
                <w:szCs w:val="20"/>
                <w:color w:val="auto"/>
              </w:rPr>
            </w:pPr>
          </w:p>
        </w:tc>
        <w:tc>
          <w:tcPr>
            <w:tcW w:w="66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commissions, for a period of 30 days after the date of this prospectus supplement.</w:t>
            </w:r>
          </w:p>
        </w:tc>
      </w:tr>
      <w:tr>
        <w:trPr>
          <w:trHeight w:val="441"/>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6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We intend to use the net proceeds of this offering primarily to fund research and</w:t>
            </w:r>
          </w:p>
        </w:tc>
      </w:tr>
      <w:tr>
        <w:trPr>
          <w:trHeight w:val="216"/>
        </w:trPr>
        <w:tc>
          <w:tcPr>
            <w:tcW w:w="3960" w:type="dxa"/>
            <w:vAlign w:val="bottom"/>
          </w:tcPr>
          <w:p>
            <w:pPr>
              <w:spacing w:after="0"/>
              <w:rPr>
                <w:sz w:val="18"/>
                <w:szCs w:val="18"/>
                <w:color w:val="auto"/>
              </w:rPr>
            </w:pPr>
          </w:p>
        </w:tc>
        <w:tc>
          <w:tcPr>
            <w:tcW w:w="66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development expenses for our late-stage clinical programs, the hiring of a sales and</w:t>
            </w:r>
          </w:p>
        </w:tc>
      </w:tr>
      <w:tr>
        <w:trPr>
          <w:trHeight w:val="216"/>
        </w:trPr>
        <w:tc>
          <w:tcPr>
            <w:tcW w:w="3960" w:type="dxa"/>
            <w:vAlign w:val="bottom"/>
          </w:tcPr>
          <w:p>
            <w:pPr>
              <w:spacing w:after="0"/>
              <w:rPr>
                <w:sz w:val="18"/>
                <w:szCs w:val="18"/>
                <w:color w:val="auto"/>
              </w:rPr>
            </w:pPr>
          </w:p>
        </w:tc>
        <w:tc>
          <w:tcPr>
            <w:tcW w:w="66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marketing team in the U.S. and related commercialization expenses, and for working</w:t>
            </w:r>
          </w:p>
        </w:tc>
      </w:tr>
      <w:tr>
        <w:trPr>
          <w:trHeight w:val="216"/>
        </w:trPr>
        <w:tc>
          <w:tcPr>
            <w:tcW w:w="3960" w:type="dxa"/>
            <w:vAlign w:val="bottom"/>
          </w:tcPr>
          <w:p>
            <w:pPr>
              <w:spacing w:after="0"/>
              <w:rPr>
                <w:sz w:val="18"/>
                <w:szCs w:val="18"/>
                <w:color w:val="auto"/>
              </w:rPr>
            </w:pPr>
          </w:p>
        </w:tc>
        <w:tc>
          <w:tcPr>
            <w:tcW w:w="66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capital and general corporate purposes. See the section entitled “Use of Proceeds” on page</w:t>
            </w:r>
          </w:p>
        </w:tc>
      </w:tr>
      <w:tr>
        <w:trPr>
          <w:trHeight w:val="234"/>
        </w:trPr>
        <w:tc>
          <w:tcPr>
            <w:tcW w:w="3960" w:type="dxa"/>
            <w:vAlign w:val="bottom"/>
          </w:tcPr>
          <w:p>
            <w:pPr>
              <w:spacing w:after="0"/>
              <w:rPr>
                <w:sz w:val="20"/>
                <w:szCs w:val="20"/>
                <w:color w:val="auto"/>
              </w:rPr>
            </w:pPr>
          </w:p>
        </w:tc>
        <w:tc>
          <w:tcPr>
            <w:tcW w:w="66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S-7 of this prospectus supplement.</w:t>
            </w:r>
          </w:p>
        </w:tc>
      </w:tr>
      <w:tr>
        <w:trPr>
          <w:trHeight w:val="441"/>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6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See “Risk Factors” beginning on page S-5 of this prospectus supplement and the other</w:t>
            </w:r>
          </w:p>
        </w:tc>
      </w:tr>
      <w:tr>
        <w:trPr>
          <w:trHeight w:val="216"/>
        </w:trPr>
        <w:tc>
          <w:tcPr>
            <w:tcW w:w="3960" w:type="dxa"/>
            <w:vAlign w:val="bottom"/>
          </w:tcPr>
          <w:p>
            <w:pPr>
              <w:spacing w:after="0"/>
              <w:rPr>
                <w:sz w:val="18"/>
                <w:szCs w:val="18"/>
                <w:color w:val="auto"/>
              </w:rPr>
            </w:pPr>
          </w:p>
        </w:tc>
        <w:tc>
          <w:tcPr>
            <w:tcW w:w="66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information included in, or incorporated by reference into, this prospectus supplement and</w:t>
            </w:r>
          </w:p>
        </w:tc>
      </w:tr>
      <w:tr>
        <w:trPr>
          <w:trHeight w:val="216"/>
        </w:trPr>
        <w:tc>
          <w:tcPr>
            <w:tcW w:w="3960" w:type="dxa"/>
            <w:vAlign w:val="bottom"/>
          </w:tcPr>
          <w:p>
            <w:pPr>
              <w:spacing w:after="0"/>
              <w:rPr>
                <w:sz w:val="18"/>
                <w:szCs w:val="18"/>
                <w:color w:val="auto"/>
              </w:rPr>
            </w:pPr>
          </w:p>
        </w:tc>
        <w:tc>
          <w:tcPr>
            <w:tcW w:w="66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the accompanying prospectus for a discussion of certain factors you should carefully</w:t>
            </w:r>
          </w:p>
        </w:tc>
      </w:tr>
      <w:tr>
        <w:trPr>
          <w:trHeight w:val="234"/>
        </w:trPr>
        <w:tc>
          <w:tcPr>
            <w:tcW w:w="3960" w:type="dxa"/>
            <w:vAlign w:val="bottom"/>
          </w:tcPr>
          <w:p>
            <w:pPr>
              <w:spacing w:after="0"/>
              <w:rPr>
                <w:sz w:val="20"/>
                <w:szCs w:val="20"/>
                <w:color w:val="auto"/>
              </w:rPr>
            </w:pPr>
          </w:p>
        </w:tc>
        <w:tc>
          <w:tcPr>
            <w:tcW w:w="66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consider before deciding to invest in our ordinary shares.</w:t>
            </w:r>
          </w:p>
        </w:tc>
      </w:tr>
      <w:tr>
        <w:trPr>
          <w:trHeight w:val="45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The Nasdaq Global Select Market Symbol</w:t>
            </w: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9"/>
              </w:rPr>
              <w:t>“PHVS.”</w:t>
            </w:r>
          </w:p>
        </w:tc>
        <w:tc>
          <w:tcPr>
            <w:tcW w:w="5860" w:type="dxa"/>
            <w:vAlign w:val="bottom"/>
          </w:tcPr>
          <w:p>
            <w:pPr>
              <w:spacing w:after="0"/>
              <w:rPr>
                <w:sz w:val="24"/>
                <w:szCs w:val="24"/>
                <w:color w:val="auto"/>
              </w:rPr>
            </w:pPr>
          </w:p>
        </w:tc>
      </w:tr>
    </w:tbl>
    <w:p>
      <w:pPr>
        <w:spacing w:after="0" w:line="211" w:lineRule="exact"/>
        <w:rPr>
          <w:sz w:val="20"/>
          <w:szCs w:val="20"/>
          <w:color w:val="auto"/>
        </w:rPr>
      </w:pPr>
    </w:p>
    <w:p>
      <w:pPr>
        <w:jc w:val="both"/>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The number of our ordinary shares to be outstanding after this offering is based on our ordinary shares outstanding as of March 31, 2025 and excludes:</w:t>
      </w:r>
    </w:p>
    <w:p>
      <w:pPr>
        <w:spacing w:after="0" w:line="67" w:lineRule="exact"/>
        <w:rPr>
          <w:sz w:val="20"/>
          <w:szCs w:val="20"/>
          <w:color w:val="auto"/>
        </w:rPr>
      </w:pPr>
    </w:p>
    <w:p>
      <w:pPr>
        <w:ind w:left="1240" w:right="48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4,263,286 million of our ordinary shares issuable upon the exercise of options outstanding as of March 31, 2025, at a weighted-average exercise price of $9.22 per ordinary share;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1,837,441 million ordinary shares issuable upon vesting of restricted stock units under our equity incentive plan as of March 31, 2025.</w:t>
      </w:r>
    </w:p>
    <w:p>
      <w:pPr>
        <w:spacing w:after="0" w:line="237" w:lineRule="exact"/>
        <w:rPr>
          <w:sz w:val="20"/>
          <w:szCs w:val="20"/>
          <w:color w:val="auto"/>
        </w:rPr>
      </w:pPr>
    </w:p>
    <w:p>
      <w:pPr>
        <w:jc w:val="both"/>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Unless otherwise stated, all information contained in this prospectus supplement reflects and assumes no exercise of the outstanding options or settlement of the outstanding restricted stock units referred to above after March 31, 2025 and no exercise by the underwriters of their option to purchase up to an additional $22,500,000 of ordinary shares in this offering.</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00"/>
          </w:cols>
          <w:pgMar w:left="320" w:top="455" w:right="6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as well as those risks and uncertainties identified in the documents incorporated by reference herein, including our most recent Annual Report on Form 20-F,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This prospectus supplement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117"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ordinary shares could adversely affect the price of the shares and dilute shareholders.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Future sales of a substantial number of our ordinary shares, or the perception that such sales will occur, could cause a decline in the market price of our ordinary shares. Pursuant to our at-the-market program, and potentially other offerings, we plan to continue to raise money to fund our operations through the issuance of our equity securities.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 In addition, we have registered on a Form S-8 registration statement all ordinary shares that we may issue under our equity compensation plans. As a result, these shares can be freely sold in the public market upon issuance, subject to volume limitations applicable to affiliates.</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we sell ordinary shares, convertible securities or other equity securities, existing shareholders may be diluted by such sales, and in certain cases new investors could gain rights superior to our existing shareholders. Any sales of our ordinary shares, or the perception that such sales could occur, could have a negative impact on the trading price of our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ordinary shares in this offering, you will suffer immediate dilution of your investment.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you purchase our ordinary shares in this offering, you will incur immediate and substantial dilution in the as adjusted net tangible book value of your securities because the price that you pay will be substantially greater than the net tangible book value per share of the securities you acquire. This dilution is due to our investors who purchased our ordinary shares prior to this offering having paid substantially less when they purchased their shares than the price at which our ordinary shares are being offered to the public in this offering. Based on the public offering price of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 per ordinary share, purchasers of ordinary shares in this offering will experience immediate dilution of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 per share in net tangible book value. To the extent outstanding options are exercised, or outstanding restricted stock units vest and are settled, there will be further dilution to new investors. As a result of the dilution to your holdings, you may receive significantly less than the purchase price paid in this offering, if anything, in the event of our liquidation. For a further description of the dilution that you will experience immediately after this offering, see the section of this prospectus supplement titled “Dilution.”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we may not use them effectively.</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as described in “Use of Proceeds.” However, our board of directors and our management retain broad discretion in the application of the net proceeds from this offering and could spend the proceeds in ways that do not improve our results of operations or enhance the value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of our ordinary shares. Our failure to apply these funds effectively could result in financial losses, which could have a material adverse effect on our business, results of operations, financial condition and prospects.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(“PFIC”), which could result in adverse U.S. federal income tax consequences to U.S. investors.</w:t>
      </w:r>
    </w:p>
    <w:p>
      <w:pPr>
        <w:spacing w:after="0" w:line="121" w:lineRule="exact"/>
        <w:rPr>
          <w:sz w:val="20"/>
          <w:szCs w:val="20"/>
          <w:color w:val="auto"/>
        </w:rPr>
      </w:pPr>
    </w:p>
    <w:p>
      <w:pPr>
        <w:ind w:left="120" w:right="400" w:firstLine="440"/>
        <w:spacing w:after="0" w:line="276" w:lineRule="auto"/>
        <w:rPr>
          <w:sz w:val="20"/>
          <w:szCs w:val="20"/>
          <w:color w:val="auto"/>
        </w:rPr>
      </w:pPr>
      <w:r>
        <w:rPr>
          <w:rFonts w:ascii="Times New Roman" w:cs="Times New Roman" w:eastAsia="Times New Roman" w:hAnsi="Times New Roman"/>
          <w:sz w:val="17"/>
          <w:szCs w:val="17"/>
          <w:color w:val="auto"/>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w:t>
      </w:r>
    </w:p>
    <w:p>
      <w:pPr>
        <w:spacing w:after="0" w:line="1" w:lineRule="exact"/>
        <w:rPr>
          <w:sz w:val="20"/>
          <w:szCs w:val="20"/>
          <w:color w:val="auto"/>
        </w:rPr>
      </w:pPr>
    </w:p>
    <w:p>
      <w:pPr>
        <w:ind w:left="120" w:hanging="4"/>
        <w:spacing w:after="0" w:line="251" w:lineRule="auto"/>
        <w:tabs>
          <w:tab w:leader="none" w:pos="3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of the average quarterly value of our assets consists of assets that produce, or are held for the production of, “passive income.” Passive income generally includes dividends, interest, certain non-active rents and royalties, and capital gains. Based on the nature of our business, our financial statements, our expectations about the nature and amount of our income, assets and activities and the expected price of our ordinary shares in this offering, we do not believe we were a PFIC in 2024 and we do not expect to be a PFIC for our current taxable year or in the foreseeable future. In addition, we may, directly or indirectly, hold equity interests in other PFICs. Whether we or any of our subsidiaries will be a PFIC in 2025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2025 or any future taxable year.</w:t>
      </w:r>
    </w:p>
    <w:p>
      <w:pPr>
        <w:spacing w:after="0" w:line="19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(as defined in “Material United States Federal Income Tax and Dutch Income Tax Considerations—Material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further discussion, see “Material United States Federal Income Tax and Dutch Tax Considerations of Ordinary Shares—Material U.S. Federal Income Tax Considerations to U.S. Holders.”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60"/>
          </w:cols>
          <w:pgMar w:left="320" w:top="455" w:right="5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spacing w:after="0"/>
              <w:rPr>
                <w:sz w:val="24"/>
                <w:szCs w:val="24"/>
                <w:color w:val="auto"/>
              </w:rPr>
            </w:pPr>
          </w:p>
        </w:tc>
        <w:tc>
          <w:tcPr>
            <w:tcW w:w="516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410"/>
        </w:trPr>
        <w:tc>
          <w:tcPr>
            <w:tcW w:w="65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We estimate that the net proceeds to us from this offering will be approximately $</w:t>
            </w:r>
            <w:r>
              <w:rPr>
                <w:rFonts w:ascii="Times New Roman" w:cs="Times New Roman" w:eastAsia="Times New Roman" w:hAnsi="Times New Roman"/>
                <w:sz w:val="18"/>
                <w:szCs w:val="18"/>
                <w:b w:val="1"/>
                <w:bCs w:val="1"/>
                <w:color w:val="auto"/>
                <w:w w:val="99"/>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39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million, after deducting the underwriting discounts</w:t>
            </w:r>
          </w:p>
        </w:tc>
      </w:tr>
      <w:tr>
        <w:trPr>
          <w:trHeight w:val="238"/>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commissions and estimated offering expenses payable by us, or approximately $</w:t>
            </w:r>
            <w:r>
              <w:rPr>
                <w:rFonts w:ascii="Times New Roman" w:cs="Times New Roman" w:eastAsia="Times New Roman" w:hAnsi="Times New Roman"/>
                <w:sz w:val="18"/>
                <w:szCs w:val="18"/>
                <w:b w:val="1"/>
                <w:bCs w:val="1"/>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3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million if the underwriters exercise their option to</w:t>
            </w:r>
          </w:p>
        </w:tc>
      </w:tr>
    </w:tbl>
    <w:p>
      <w:pPr>
        <w:ind w:left="1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additional ordinary shares from us in full. We intend to use the net proceeds of this offering primarily to fund research and development expenses for our late-stage clinical programs, the hiring of a sales and marketing team in the U.S. and related commercialization expenses, and for working capital and general corporate purposes. Our expected use of the net proceeds from this offering represents our current intentions based upon our present plans and business conditions, which could change in the future as our plans and business conditions evolve. We expect that our total research and development expenses will increase in 2025 and 2026 as we continue to focus on the development of our product candidates IR and XR, including continuing to progress IR and XR through clinical development, as well as explore potential expansion programs. There may be unforeseen expenses beyond our control, including third-party costs that we cannot predict, inherent in the clinical development and regulatory approval process. Based on our planned use of the net proceeds from this offering and our existing cash, cash equivalents and investments, we expect that such funds will be sufficient to enable us to fund our operations into the first half of 2027, subject to certain assumptions, including clinical development plans and timelines. We have based this estimate on assumptions that may prove to be incorrect, and we could use our available capital resources sooner than we currently expect.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cannot predict with certainty all of the particular uses for the net proceeds to be received upon the consummation of this offering or the amounts that we will actually spend on the uses set forth above. For example, we may use a portion of the net proceeds to in-license, acquire or invest in complementary technologies, products or assets. However, we have no current plan, commitments or obligations to do so. There is a risk that our development of our product candidates or any other future clinical development or product discovery program may not result in marketing approval. To the extent that we fail to obtain approval to market our product candidates or any other clinical development or product discovery program in a timely manner and have to continue clinical trials over a longer period of time, our research and development expenses may further increase. The amounts and timing of our actual expenditures and the extent of clinical development may vary significantly depending on numerous factors, including the progress, timing and completion of our development efforts, the status of and results from our ongoing clinical trials or any preclinical studies or other clinical trials we may commence in the future, the time and costs involved in obtaining regulatory approval for our product candidates or any other future clinical development or product discovery program, as well as maintaining our existing collaborations and any collaborations that we may enter into with third parties for our product candidates and any unforeseen cash needs. As a result, our board of directors will have broad discretion in applying the net proceeds of this offering, and investors will be relying on our judgment regarding the application of the net proceeds of this offering.</w:t>
      </w:r>
    </w:p>
    <w:p>
      <w:pPr>
        <w:spacing w:after="0" w:line="19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Pending their use, we might plan to invest a portion of the net proceeds from this offering in short- and intermediate-term interest-bearing financial assets and certificates of deposit.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46"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dividends on our ordinary shares. We expect to retain all earnings, if any, generated by our operations for the development and growth of our business and do not anticipate paying any dividends to our shareholders in the foreseeable future.</w:t>
      </w:r>
    </w:p>
    <w:p>
      <w:pPr>
        <w:spacing w:after="0" w:line="16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Dutch law, we may only pay dividends and other distributions from our reserves to the extent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exceeds the sum of the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of directors and will depend upon a number of factors, including our results of operations, earnings, cash flow, financial condition, future prospects, contractual restrictions, capital investment requirements, restrictions imposed by applicable law and other factors considered relevant by our board of directors.</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our Articles of Association, our board of directors may decide that all or part of the profits shown in our adopted statutory annual accounts will be added to our reserves. After reservation of any such profits, any remaining profits will be at the disposal of the general meeting at the proposal of our board of directors for distribution on our ordinary shares, subject to applicable restrictions of Dutch law. Our board of directors is permitted, subject to certain requirements, and applicable restrictions of Dutch law, to declare interim dividends without the approval of our general meeting. Dividends and other distributions shall be made payable no later than a date determined by our board of directors.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If you invest in our ordinary shares acquired in this offering, your ownership interest will be diluted immediately to the extent of the difference between the price you pay in this offering and the net tangible book value per ordinary share after this offering. Our net tangible book value as of March 31, 2025 was $243.7 million (€225.3 million), or $4.47 per ordinary share (€4.14 per ordinary share), based on 54,493,142 ordinary shares then outstanding. Net tangible book value per share represents the amount of our total assets less our total liabilities, excluding intangible assets, divided by 54,493,142, the total number of our ordinary shares issued and outstanding at March 31, 2025.</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After giving effect to the sale of </w:t>
            </w:r>
            <w:r>
              <w:rPr>
                <w:rFonts w:ascii="Times New Roman" w:cs="Times New Roman" w:eastAsia="Times New Roman" w:hAnsi="Times New Roman"/>
                <w:sz w:val="18"/>
                <w:szCs w:val="18"/>
                <w:b w:val="1"/>
                <w:bCs w:val="1"/>
                <w:color w:val="auto"/>
              </w:rPr>
              <w:t xml:space="preserve">          </w:t>
            </w:r>
          </w:p>
        </w:tc>
        <w:tc>
          <w:tcPr>
            <w:tcW w:w="7520" w:type="dxa"/>
            <w:vAlign w:val="bottom"/>
            <w:gridSpan w:val="11"/>
          </w:tcPr>
          <w:p>
            <w:pPr>
              <w:ind w:left="80"/>
              <w:spacing w:after="0"/>
              <w:rPr>
                <w:sz w:val="20"/>
                <w:szCs w:val="20"/>
                <w:color w:val="auto"/>
              </w:rPr>
            </w:pPr>
            <w:r>
              <w:rPr>
                <w:rFonts w:ascii="Times New Roman" w:cs="Times New Roman" w:eastAsia="Times New Roman" w:hAnsi="Times New Roman"/>
                <w:sz w:val="18"/>
                <w:szCs w:val="18"/>
                <w:color w:val="auto"/>
              </w:rPr>
              <w:t>of our ordinary shares in this offering at an offering price of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per share, less the estimated</w:t>
            </w:r>
          </w:p>
        </w:tc>
        <w:tc>
          <w:tcPr>
            <w:tcW w:w="0" w:type="dxa"/>
            <w:vAlign w:val="bottom"/>
          </w:tcPr>
          <w:p>
            <w:pPr>
              <w:spacing w:after="0"/>
              <w:rPr>
                <w:sz w:val="1"/>
                <w:szCs w:val="1"/>
                <w:color w:val="auto"/>
              </w:rPr>
            </w:pPr>
          </w:p>
        </w:tc>
      </w:tr>
      <w:tr>
        <w:trPr>
          <w:trHeight w:val="216"/>
        </w:trPr>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commissions and estimated offering expenses payable by us, our net tangible book value at March 31, 2025 would have been $</w:t>
            </w:r>
            <w:r>
              <w:rPr>
                <w:rFonts w:ascii="Times New Roman" w:cs="Times New Roman" w:eastAsia="Times New Roman" w:hAnsi="Times New Roman"/>
                <w:sz w:val="18"/>
                <w:szCs w:val="18"/>
                <w:b w:val="1"/>
                <w:bCs w:val="1"/>
                <w:color w:val="auto"/>
                <w:w w:val="99"/>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3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million, or</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6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 ordinary share. This represents an immediate increase in net tangible book value of $</w:t>
            </w:r>
            <w:r>
              <w:rPr>
                <w:rFonts w:ascii="Times New Roman" w:cs="Times New Roman" w:eastAsia="Times New Roman" w:hAnsi="Times New Roman"/>
                <w:sz w:val="18"/>
                <w:szCs w:val="18"/>
                <w:b w:val="1"/>
                <w:bCs w:val="1"/>
                <w:color w:val="auto"/>
              </w:rPr>
              <w:t xml:space="preserve"> </w:t>
            </w:r>
          </w:p>
        </w:tc>
        <w:tc>
          <w:tcPr>
            <w:tcW w:w="364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to existing shareholders and an</w:t>
            </w:r>
          </w:p>
        </w:tc>
        <w:tc>
          <w:tcPr>
            <w:tcW w:w="0" w:type="dxa"/>
            <w:vAlign w:val="bottom"/>
          </w:tcPr>
          <w:p>
            <w:pPr>
              <w:spacing w:after="0"/>
              <w:rPr>
                <w:sz w:val="1"/>
                <w:szCs w:val="1"/>
                <w:color w:val="auto"/>
              </w:rPr>
            </w:pPr>
          </w:p>
        </w:tc>
      </w:tr>
      <w:tr>
        <w:trPr>
          <w:trHeight w:val="238"/>
        </w:trPr>
        <w:tc>
          <w:tcPr>
            <w:tcW w:w="9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immediate dilution of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per share to investors in this offering. The following table illustrates this per share dilution.</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vMerge w:val="restart"/>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3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tangible book value per share as of March 31, 2025</w:t>
            </w:r>
          </w:p>
        </w:tc>
        <w:tc>
          <w:tcPr>
            <w:tcW w:w="1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$243.7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the offering</w:t>
            </w:r>
          </w:p>
        </w:tc>
        <w:tc>
          <w:tcPr>
            <w:tcW w:w="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the offering</w:t>
            </w:r>
          </w:p>
        </w:tc>
        <w:tc>
          <w:tcPr>
            <w:tcW w:w="4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Dilution per share to new investors participating in the offering</w:t>
            </w:r>
          </w:p>
        </w:tc>
        <w:tc>
          <w:tcPr>
            <w:tcW w:w="1660" w:type="dxa"/>
            <w:vAlign w:val="bottom"/>
            <w:gridSpan w:val="4"/>
            <w:shd w:val="clear" w:color="auto" w:fill="CCEEFF"/>
          </w:tcPr>
          <w:p>
            <w:pPr>
              <w:ind w:left="14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38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2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0" w:type="dxa"/>
            <w:vAlign w:val="bottom"/>
            <w:gridSpan w:val="8"/>
          </w:tcPr>
          <w:p>
            <w:pPr>
              <w:spacing w:after="0" w:line="20" w:lineRule="exact"/>
              <w:rPr>
                <w:sz w:val="1"/>
                <w:szCs w:val="1"/>
                <w:color w:val="auto"/>
              </w:rPr>
            </w:pPr>
          </w:p>
        </w:tc>
        <w:tc>
          <w:tcPr>
            <w:tcW w:w="860" w:type="dxa"/>
            <w:vAlign w:val="bottom"/>
            <w:tcBorders>
              <w:bottom w:val="single" w:sz="8" w:color="auto"/>
            </w:tcBorders>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2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If the underwriters exercise their option to purchase up to an additional $22,500,000 of ordinary shares in full at the public offering price of</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026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rPr>
              <w:t>per ordinary share, and after deducting underwriting discounts and commissions and estimated offering expenses payable by us, the</w:t>
            </w:r>
          </w:p>
        </w:tc>
        <w:tc>
          <w:tcPr>
            <w:tcW w:w="0" w:type="dxa"/>
            <w:vAlign w:val="bottom"/>
          </w:tcPr>
          <w:p>
            <w:pPr>
              <w:spacing w:after="0"/>
              <w:rPr>
                <w:sz w:val="1"/>
                <w:szCs w:val="1"/>
                <w:color w:val="auto"/>
              </w:rPr>
            </w:pPr>
          </w:p>
        </w:tc>
      </w:tr>
      <w:tr>
        <w:trPr>
          <w:trHeight w:val="216"/>
        </w:trPr>
        <w:tc>
          <w:tcPr>
            <w:tcW w:w="3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as-adjusted net tangible book value would be $</w:t>
            </w:r>
            <w:r>
              <w:rPr>
                <w:rFonts w:ascii="Times New Roman" w:cs="Times New Roman" w:eastAsia="Times New Roman" w:hAnsi="Times New Roman"/>
                <w:sz w:val="18"/>
                <w:szCs w:val="18"/>
                <w:b w:val="1"/>
                <w:bCs w:val="1"/>
                <w:color w:val="auto"/>
              </w:rPr>
              <w:t xml:space="preserve"> </w:t>
            </w:r>
          </w:p>
        </w:tc>
        <w:tc>
          <w:tcPr>
            <w:tcW w:w="6300" w:type="dxa"/>
            <w:vAlign w:val="bottom"/>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representing an immediate increase in net tangible book value of $</w:t>
            </w:r>
            <w:r>
              <w:rPr>
                <w:rFonts w:ascii="Times New Roman" w:cs="Times New Roman" w:eastAsia="Times New Roman" w:hAnsi="Times New Roman"/>
                <w:sz w:val="18"/>
                <w:szCs w:val="18"/>
                <w:b w:val="1"/>
                <w:bCs w:val="1"/>
                <w:color w:val="auto"/>
              </w:rPr>
              <w:t xml:space="preserve"> </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per share</w:t>
            </w:r>
          </w:p>
        </w:tc>
        <w:tc>
          <w:tcPr>
            <w:tcW w:w="0" w:type="dxa"/>
            <w:vAlign w:val="bottom"/>
          </w:tcPr>
          <w:p>
            <w:pPr>
              <w:spacing w:after="0"/>
              <w:rPr>
                <w:sz w:val="1"/>
                <w:szCs w:val="1"/>
                <w:color w:val="auto"/>
              </w:rPr>
            </w:pPr>
          </w:p>
        </w:tc>
      </w:tr>
      <w:tr>
        <w:trPr>
          <w:trHeight w:val="220"/>
        </w:trPr>
        <w:tc>
          <w:tcPr>
            <w:tcW w:w="7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 existing shareholders and an immediate dilution in as-adjusted net tangible book value of $</w:t>
            </w:r>
            <w:r>
              <w:rPr>
                <w:rFonts w:ascii="Times New Roman" w:cs="Times New Roman" w:eastAsia="Times New Roman" w:hAnsi="Times New Roman"/>
                <w:sz w:val="18"/>
                <w:szCs w:val="18"/>
                <w:b w:val="1"/>
                <w:bCs w:val="1"/>
                <w:color w:val="auto"/>
              </w:rPr>
              <w:t xml:space="preserve">          </w:t>
            </w:r>
          </w:p>
        </w:tc>
        <w:tc>
          <w:tcPr>
            <w:tcW w:w="364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per share to new investors purchasing ordinary</w:t>
            </w:r>
          </w:p>
        </w:tc>
        <w:tc>
          <w:tcPr>
            <w:tcW w:w="0" w:type="dxa"/>
            <w:vAlign w:val="bottom"/>
          </w:tcPr>
          <w:p>
            <w:pPr>
              <w:spacing w:after="0"/>
              <w:rPr>
                <w:sz w:val="1"/>
                <w:szCs w:val="1"/>
                <w:color w:val="auto"/>
              </w:rPr>
            </w:pPr>
          </w:p>
        </w:tc>
      </w:tr>
      <w:tr>
        <w:trPr>
          <w:trHeight w:val="234"/>
        </w:trPr>
        <w:tc>
          <w:tcPr>
            <w:tcW w:w="3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shares this offering.</w:t>
            </w:r>
          </w:p>
        </w:tc>
        <w:tc>
          <w:tcPr>
            <w:tcW w:w="3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discussion and table are based on our ordinary shares outstanding as of March 31, 2025 and excludes:</w:t>
      </w:r>
    </w:p>
    <w:p>
      <w:pPr>
        <w:spacing w:after="0" w:line="131" w:lineRule="exact"/>
        <w:rPr>
          <w:sz w:val="20"/>
          <w:szCs w:val="20"/>
          <w:color w:val="auto"/>
        </w:rPr>
      </w:pPr>
    </w:p>
    <w:p>
      <w:pPr>
        <w:ind w:left="1080" w:right="2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4,263,286 million of our ordinary shares issuable upon the exercise of options outstanding as of March 31, 2025, at a weighted-average exercise price of $9.22 per ordinary share;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1,837,441 million ordinary shares issuable upon vesting of restricted stock units under our equity incentive plan as of March 31, 2025.</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AND DUTCH TAX CONSIDERATIONS OF ORDINARY SHARES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information presented under the caption “—Material U.S. Federal Income Tax Considerations to U.S. Holders” below is a discussion of material U.S. federal income tax consequences to a U.S. Holder (as defined below) of owning and disposing of our ordinary shares. The information presented under the caption “—Material Dutch Tax Considerations” is a discussion of the material Dutch tax consequences of owning and disposing of our ordinary shares.</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You should consult your own tax adviser regarding the applicable tax consequences to you of investing in our ordinary shares under the laws of the United States (federal, state and local), the Netherlands, and any other applicable jurisdiction.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to U.S. Holders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to the U.S. Holders, as defined below, of owning and disposing of our ordinary shares. It does not describe all tax consequences that may be relevant to a particular person’s decision to acquire or dispose of our ordinary shares. This discussion applies only to a U.S. Holder that holds our ordinary shares as capital assets within the meaning of Section 1221 of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94"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 or expatriated entities subject to Section 7874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who use a mark-to-market method of tax accounting;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as part of a hedging transaction, straddle, wash sale, conversion transaction or other integrated transaction or persons entering into a constructive sale with respect to the ordinary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S corporations or other pass-through entities for U.S. federal income tax purposes or investors in such entities or arrangements;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accounts” or “Roth IRAs” or other tax-deferred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persons that acquire ordinary shares directly or indirectly in connection with the performance of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subject to Section 451(b)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ten percent or more of our shares (by vote or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real estate investment trusts, real estate mortgage investment conduits;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in connection with a trade or business conducted outside of the United States.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40"/>
          </w:cols>
          <w:pgMar w:left="320" w:top="455" w:right="5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holds ordinary shares, the U.S. federal income tax treatment of a partner will generally depend on the status of the partner and the activities of the partner and the partnership. Partnerships (or other entity or arrangement that is classified as partnership for U.S. federal income tax purposes) holding ordinary shares and partners in such partnerships or other entity should consult their tax advisers as to the particular U.S. federal income tax consequences of owning and disposing of ordinary shares.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final, temporary and proposed Treasury regulations, and the income tax treaty between the Netherlands and the United States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(the “Service”)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“U.S. Holder” is a holder who, for U.S. federal income tax purposes, is a beneficial owner of ordinary shares, who is eligible for the benefits of the Treaty and who is:</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in the U.S.;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therein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76"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THIS SUMMARY IS FOR GENERAL INFORMATION PURPOSES ONLY, AND IS NOT INTENDED TO BE, AND SHOULD NOT BE CONSTRUED TO BE, LEGAL OR TAX ADVICE TO ANY PARTICULAR HOLDER. INVESTORS ARE URGED TO CONSULT THEIR TAX ADVISERS WITH REGARD TO THE APPLICATION OF THE U.S. FEDERAL INCOME TAX LAWS, AS WELL AS THE APPLICATION OF U.S. NON-INCOME TAX LAWS AND THE LAWS OF ANY STATE, LOCAL OR NON-U.S. JURISDICTION, IN LIGHT OF THEIR PARTICULAR SITUATION.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taxes. Subject to the PFIC rules described below, the amount of the dividend will be treated as foreign-source dividend income to U.S. Holders and will generally not be eligible for the dividends-received deduction generally available to U.S. corporations under the Code.</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Subject to the PFIC rules described below, dividends will be included in a U.S. Holder’s income on the date of the U.S. Holder’s receipt of the dividend. The amount of any dividend income paid in euro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Ordinary Shares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U.S. holders who hold different blocks of ordinary shares (ordinary shares purchased or acquired on different dates or at different prices) should consult their tax advisors to determine how the above rules apply to them. This gain or loss will generally be U.S.-source gain or loss for foreign tax credit purposes. The deductibility of capital losses is subject to various limitations.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Code, we will be a PFIC for any taxable year in which, after the application of certain “look- 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and our expectations about the nature and amount of our income, assets and activities we do not believe we were a PFIC in 2024 and we do not expect to be a PFIC in 2025 or in the foreseeable future. In addition, we may, directly or indirectly, hold equity interests in other PFICs, or lower-tier PFICs. Whether we or any of our subsidiaries will be a PFIC in 2025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Therefore, we cannot assure you that we will not be a PFIC for the current or any future taxable year. Accordingly, there can be no assurance that we will not be a PFIC in 2025 or any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future taxable year. If we are a PFIC for any year during which a U.S. Holder holds or is deemed to hold ordinary shares, we generally would continue to be treated as a PFIC with respect to that U.S. Holder for all succeeding years during which the U.S. 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 U.S. Holder can avoid certain of the adverse rules described above by making a mark-to-market election with respect to its ordinary shares, provided that the ordinary shares are “marketable.”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w:t>
      </w:r>
    </w:p>
    <w:p>
      <w:pPr>
        <w:spacing w:after="0" w:line="19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addition, in order to avoid the application of the foregoing rules, a U.S.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U.S. person would be required to make the QEF Election for each PFIC by attaching a separate properly completed IRS Form 8621 for each PFIC to the U.S. person’s timely filed U.S. federal income tax return generally for the first taxable year that the entity is treated as a PFIC with respect to the U.S. person. A U.S. Holder generally may make a separate election to defer payment of taxes on the undistributed income inclusion under the QEF rules, but if deferred, any such taxes are subject to an interest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charge. If a U.S. person makes a QEF Election with respect to a PFIC, the U.S.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U.S. Holders should consult their tax advisers concerning our potential PFIC status and the potential application of the PFIC rules. The U.S. federal income tax rules relating to PFICs are very complex. U.S. Holders are strongly urged to consult their tax advisers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With respect to Foreign Financial Assets</w:t>
      </w:r>
    </w:p>
    <w:p>
      <w:pPr>
        <w:spacing w:after="0" w:line="121"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w:t>
      </w:r>
    </w:p>
    <w:p>
      <w:pPr>
        <w:spacing w:after="0" w:line="1" w:lineRule="exact"/>
        <w:rPr>
          <w:sz w:val="20"/>
          <w:szCs w:val="20"/>
          <w:color w:val="auto"/>
        </w:rPr>
      </w:pPr>
    </w:p>
    <w:p>
      <w:pPr>
        <w:ind w:left="120" w:right="340" w:hanging="4"/>
        <w:spacing w:after="0" w:line="260" w:lineRule="auto"/>
        <w:tabs>
          <w:tab w:leader="none" w:pos="3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backup withholding, the U.S. Holder provides a correct taxpayer identification number and certifies that it is not subject to backup withholding.</w:t>
      </w:r>
    </w:p>
    <w:p>
      <w:pPr>
        <w:spacing w:after="0" w:line="18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Dutch Tax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Scope of Discussion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section only outlines certain material Dutch tax consequences of the acquisition, holding and disposal of our ordinary shares. This section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section is based on the tax laws of the Netherlands, published regulations thereunder and published authoritative case law, all as in effect on the date hereof, including, for the avoidance of doubt, the tax rates, tax brackets and deemed returns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w:t>
      </w:r>
    </w:p>
    <w:p>
      <w:pPr>
        <w:spacing w:after="0" w:line="180"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THIS SECTION IS INTENDED AS GENERAL INFORMATION ONLY AND IS NOT DUTCH TAX ADVICE OR A COMPLETE DESCRIPTION OF ALL DUTCH TAX CONSEQUENCES RELATING TO THE ACQUISITION, HOLDING AND DISPOSAL OF OUR ORDINARY SHARES. HOLDERS OR PROSPECTIVE HOLDERS OF OUR ORDINARY SHARES SHOULD CONSULT THEIR OWN TAX ADVISERS REGARDING THE DUTCH TAX CONSEQUENCES RELATING TO THE ACQUISITION, HOLDING AND DISPOSAL OF THE ORDINARY SHARES IN LIGHT OF THEIR PARTICULAR CIRCUMSTANCES.</w:t>
      </w:r>
    </w:p>
    <w:p>
      <w:pPr>
        <w:spacing w:after="0" w:line="181"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color w:val="auto"/>
        </w:rPr>
        <w:t>This section does not describe any Dutch tax considerations or consequences arising from the Dutch Minimum Tax Act 2024 (</w:t>
      </w:r>
      <w:r>
        <w:rPr>
          <w:rFonts w:ascii="Times New Roman" w:cs="Times New Roman" w:eastAsia="Times New Roman" w:hAnsi="Times New Roman"/>
          <w:sz w:val="18"/>
          <w:szCs w:val="18"/>
          <w:i w:val="1"/>
          <w:iCs w:val="1"/>
          <w:color w:val="auto"/>
        </w:rPr>
        <w:t>Wet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minimumbelasting 2024</w:t>
      </w:r>
      <w:r>
        <w:rPr>
          <w:rFonts w:ascii="Times New Roman" w:cs="Times New Roman" w:eastAsia="Times New Roman" w:hAnsi="Times New Roman"/>
          <w:sz w:val="18"/>
          <w:szCs w:val="18"/>
          <w:color w:val="auto"/>
        </w:rPr>
        <w:t>; the Dutch implementation of Directive (EU) 2022/2523 of 14 December 2022 on ensuring a global minimum level of taxation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multinational enterprise groups and large-scale domestic groups in the European Union) which may be relevant for a particular holder.</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note that this section does not describe the Dutch tax consequences for:</w:t>
      </w:r>
    </w:p>
    <w:p>
      <w:pPr>
        <w:spacing w:after="0" w:line="129" w:lineRule="exact"/>
        <w:rPr>
          <w:sz w:val="20"/>
          <w:szCs w:val="20"/>
          <w:color w:val="auto"/>
        </w:rPr>
      </w:pPr>
    </w:p>
    <w:p>
      <w:pPr>
        <w:ind w:left="1080" w:hanging="532"/>
        <w:spacing w:after="0" w:line="25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our ordinary shares if such holder has a substantial interest (</w:t>
      </w:r>
      <w:r>
        <w:rPr>
          <w:rFonts w:ascii="Times New Roman" w:cs="Times New Roman" w:eastAsia="Times New Roman" w:hAnsi="Times New Roman"/>
          <w:sz w:val="18"/>
          <w:szCs w:val="18"/>
          <w:i w:val="1"/>
          <w:iCs w:val="1"/>
          <w:color w:val="auto"/>
        </w:rPr>
        <w:t>aanmerkelijk belang</w:t>
      </w:r>
      <w:r>
        <w:rPr>
          <w:rFonts w:ascii="Times New Roman" w:cs="Times New Roman" w:eastAsia="Times New Roman" w:hAnsi="Times New Roman"/>
          <w:sz w:val="18"/>
          <w:szCs w:val="18"/>
          <w:color w:val="auto"/>
        </w:rPr>
        <w:t>) or deemed substantial interest (</w:t>
      </w:r>
      <w:r>
        <w:rPr>
          <w:rFonts w:ascii="Times New Roman" w:cs="Times New Roman" w:eastAsia="Times New Roman" w:hAnsi="Times New Roman"/>
          <w:sz w:val="18"/>
          <w:szCs w:val="18"/>
          <w:i w:val="1"/>
          <w:iCs w:val="1"/>
          <w:color w:val="auto"/>
        </w:rPr>
        <w:t>fictief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aanmerkelijk belang</w:t>
      </w:r>
      <w:r>
        <w:rPr>
          <w:rFonts w:ascii="Times New Roman" w:cs="Times New Roman" w:eastAsia="Times New Roman" w:hAnsi="Times New Roman"/>
          <w:sz w:val="18"/>
          <w:szCs w:val="18"/>
          <w:color w:val="auto"/>
        </w:rPr>
        <w:t>) in us under the Dutch Income Tax Act 2001 (</w:t>
      </w:r>
      <w:r>
        <w:rPr>
          <w:rFonts w:ascii="Times New Roman" w:cs="Times New Roman" w:eastAsia="Times New Roman" w:hAnsi="Times New Roman"/>
          <w:sz w:val="18"/>
          <w:szCs w:val="18"/>
          <w:i w:val="1"/>
          <w:iCs w:val="1"/>
          <w:color w:val="auto"/>
        </w:rPr>
        <w:t>Wet inkomstenbelasting 2001</w:t>
      </w:r>
      <w:r>
        <w:rPr>
          <w:rFonts w:ascii="Times New Roman" w:cs="Times New Roman" w:eastAsia="Times New Roman" w:hAnsi="Times New Roman"/>
          <w:sz w:val="18"/>
          <w:szCs w:val="18"/>
          <w:color w:val="auto"/>
        </w:rPr>
        <w:t>). Generally, a holder of securities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is considered to hold a 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interests;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93" w:lineRule="exact"/>
        <w:rPr>
          <w:rFonts w:ascii="Times New Roman" w:cs="Times New Roman" w:eastAsia="Times New Roman" w:hAnsi="Times New Roman"/>
          <w:sz w:val="18"/>
          <w:szCs w:val="18"/>
          <w:color w:val="auto"/>
        </w:rPr>
      </w:pPr>
    </w:p>
    <w:p>
      <w:pPr>
        <w:ind w:left="1080" w:right="100" w:hanging="532"/>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our ordinary shares, if the ordinary shares held by such holder qualify or qualified as a participation (</w:t>
      </w:r>
      <w:r>
        <w:rPr>
          <w:rFonts w:ascii="Times New Roman" w:cs="Times New Roman" w:eastAsia="Times New Roman" w:hAnsi="Times New Roman"/>
          <w:sz w:val="18"/>
          <w:szCs w:val="18"/>
          <w:i w:val="1"/>
          <w:iCs w:val="1"/>
          <w:color w:val="auto"/>
        </w:rPr>
        <w:t>deelneming</w:t>
      </w:r>
      <w:r>
        <w:rPr>
          <w:rFonts w:ascii="Times New Roman" w:cs="Times New Roman" w:eastAsia="Times New Roman" w:hAnsi="Times New Roman"/>
          <w:sz w:val="18"/>
          <w:szCs w:val="18"/>
          <w:color w:val="auto"/>
        </w:rPr>
        <w:t>) for purposes of the Dutch Corporate Income Tax Act 1969 (</w:t>
      </w:r>
      <w:r>
        <w:rPr>
          <w:rFonts w:ascii="Times New Roman" w:cs="Times New Roman" w:eastAsia="Times New Roman" w:hAnsi="Times New Roman"/>
          <w:sz w:val="18"/>
          <w:szCs w:val="18"/>
          <w:i w:val="1"/>
          <w:iCs w:val="1"/>
          <w:color w:val="auto"/>
        </w:rPr>
        <w:t>Wet op de vennootschapsbelasting 1969</w:t>
      </w:r>
      <w:r>
        <w:rPr>
          <w:rFonts w:ascii="Times New Roman" w:cs="Times New Roman" w:eastAsia="Times New Roman" w:hAnsi="Times New Roman"/>
          <w:sz w:val="18"/>
          <w:szCs w:val="18"/>
          <w:color w:val="auto"/>
        </w:rPr>
        <w:t>). Generally, a holder’s shareholding of, or right to acquire, 5% or more in a company’s nominal paid-up share capital qualifies as a participation. A holder may also have a participation if such holder does not have a shareholding of, or right to acquire, 5% or more but a related entity (statutorily defined term) has a participation or if the company in which the shares are held is a related entity (statutorily defined term);</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our ordinary shares which is or who is entitled to or required to apply the dividend withholding tax exemption</w:t>
      </w:r>
    </w:p>
    <w:p>
      <w:pPr>
        <w:spacing w:after="0" w:line="27" w:lineRule="exact"/>
        <w:rPr>
          <w:rFonts w:ascii="Times New Roman" w:cs="Times New Roman" w:eastAsia="Times New Roman" w:hAnsi="Times New Roman"/>
          <w:sz w:val="18"/>
          <w:szCs w:val="18"/>
          <w:color w:val="auto"/>
        </w:rPr>
      </w:pPr>
    </w:p>
    <w:p>
      <w:pPr>
        <w:ind w:left="108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inhoudingsvrijstelling</w:t>
      </w:r>
      <w:r>
        <w:rPr>
          <w:rFonts w:ascii="Times New Roman" w:cs="Times New Roman" w:eastAsia="Times New Roman" w:hAnsi="Times New Roman"/>
          <w:sz w:val="18"/>
          <w:szCs w:val="18"/>
          <w:color w:val="auto"/>
        </w:rPr>
        <w:t>) with respect to any income (</w:t>
      </w:r>
      <w:r>
        <w:rPr>
          <w:rFonts w:ascii="Times New Roman" w:cs="Times New Roman" w:eastAsia="Times New Roman" w:hAnsi="Times New Roman"/>
          <w:sz w:val="18"/>
          <w:szCs w:val="18"/>
          <w:i w:val="1"/>
          <w:iCs w:val="1"/>
          <w:color w:val="auto"/>
        </w:rPr>
        <w:t>opbrengst</w:t>
      </w:r>
      <w:r>
        <w:rPr>
          <w:rFonts w:ascii="Times New Roman" w:cs="Times New Roman" w:eastAsia="Times New Roman" w:hAnsi="Times New Roman"/>
          <w:sz w:val="18"/>
          <w:szCs w:val="18"/>
          <w:color w:val="auto"/>
        </w:rPr>
        <w:t>) derived from the ordinary shares (as defined in Article 4 of the Dutch Dividend Withholding Tax Act 1965 (</w:t>
      </w:r>
      <w:r>
        <w:rPr>
          <w:rFonts w:ascii="Times New Roman" w:cs="Times New Roman" w:eastAsia="Times New Roman" w:hAnsi="Times New Roman"/>
          <w:sz w:val="18"/>
          <w:szCs w:val="18"/>
          <w:i w:val="1"/>
          <w:iCs w:val="1"/>
          <w:color w:val="auto"/>
        </w:rPr>
        <w:t>Wet op de dividendbelasting</w:t>
      </w:r>
      <w:r>
        <w:rPr>
          <w:rFonts w:ascii="Times New Roman" w:cs="Times New Roman" w:eastAsia="Times New Roman" w:hAnsi="Times New Roman"/>
          <w:sz w:val="18"/>
          <w:szCs w:val="18"/>
          <w:color w:val="auto"/>
        </w:rPr>
        <w:t>). Generally, a holder of our ordinary shares may be entitled or required to apply, subject to certain other requirements, the dividend withholding tax exemption if it is an entity and holds an interest of 5% or more in our nominal paid-up share capital;</w:t>
      </w:r>
    </w:p>
    <w:p>
      <w:pPr>
        <w:spacing w:after="0" w:line="92" w:lineRule="exact"/>
        <w:rPr>
          <w:rFonts w:ascii="Times New Roman" w:cs="Times New Roman" w:eastAsia="Times New Roman" w:hAnsi="Times New Roman"/>
          <w:sz w:val="18"/>
          <w:szCs w:val="18"/>
          <w:color w:val="auto"/>
        </w:rPr>
      </w:pPr>
    </w:p>
    <w:p>
      <w:pPr>
        <w:ind w:left="1080" w:hanging="532"/>
        <w:spacing w:after="0" w:line="257"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 investment institutions (</w:t>
      </w:r>
      <w:r>
        <w:rPr>
          <w:rFonts w:ascii="Times New Roman" w:cs="Times New Roman" w:eastAsia="Times New Roman" w:hAnsi="Times New Roman"/>
          <w:sz w:val="18"/>
          <w:szCs w:val="18"/>
          <w:i w:val="1"/>
          <w:iCs w:val="1"/>
          <w:color w:val="auto"/>
        </w:rPr>
        <w:t>fiscale beleggingsinstellingen</w:t>
      </w:r>
      <w:r>
        <w:rPr>
          <w:rFonts w:ascii="Times New Roman" w:cs="Times New Roman" w:eastAsia="Times New Roman" w:hAnsi="Times New Roman"/>
          <w:sz w:val="18"/>
          <w:szCs w:val="18"/>
          <w:color w:val="auto"/>
        </w:rPr>
        <w:t>), tax exempt investment institutions (</w:t>
      </w:r>
      <w:r>
        <w:rPr>
          <w:rFonts w:ascii="Times New Roman" w:cs="Times New Roman" w:eastAsia="Times New Roman" w:hAnsi="Times New Roman"/>
          <w:sz w:val="18"/>
          <w:szCs w:val="18"/>
          <w:i w:val="1"/>
          <w:iCs w:val="1"/>
          <w:color w:val="auto"/>
        </w:rPr>
        <w:t>vrijgestelde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beleggingsinstellingen</w:t>
      </w:r>
      <w:r>
        <w:rPr>
          <w:rFonts w:ascii="Times New Roman" w:cs="Times New Roman" w:eastAsia="Times New Roman" w:hAnsi="Times New Roman"/>
          <w:sz w:val="18"/>
          <w:szCs w:val="18"/>
          <w:color w:val="auto"/>
        </w:rPr>
        <w:t>) (each as defined in the Dutch Corporate Income Tax Act 1969) and other entities that are, in whole or in part,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or exempt from Dutch corporate income tax, entities that have a function comparable to an investment institution or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w:t>
      </w:r>
    </w:p>
    <w:p>
      <w:pPr>
        <w:spacing w:after="0" w:line="89"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our ordinary shares if such holder is an individual for whom the ordinary shares or any benefit derived from the ordinary shares is a remuneration or deemed to be a remuneration for (employment) activities performed by such holder or certain individuals related to such holders (as defined in the Dutch Income Tax Act 2001); and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our outstanding options or restricted stock units.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 on Dividends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Regular Dutch Dividend Withholding Tax</w:t>
      </w:r>
    </w:p>
    <w:p>
      <w:pPr>
        <w:spacing w:after="0" w:line="119" w:lineRule="exact"/>
        <w:rPr>
          <w:sz w:val="20"/>
          <w:szCs w:val="20"/>
          <w:color w:val="auto"/>
        </w:rPr>
      </w:pPr>
    </w:p>
    <w:p>
      <w:pPr>
        <w:ind w:left="120" w:right="440" w:firstLine="440"/>
        <w:spacing w:after="0" w:line="312" w:lineRule="auto"/>
        <w:rPr>
          <w:sz w:val="20"/>
          <w:szCs w:val="20"/>
          <w:color w:val="auto"/>
        </w:rPr>
      </w:pPr>
      <w:r>
        <w:rPr>
          <w:rFonts w:ascii="Times New Roman" w:cs="Times New Roman" w:eastAsia="Times New Roman" w:hAnsi="Times New Roman"/>
          <w:sz w:val="17"/>
          <w:szCs w:val="17"/>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expression “dividends distributed” includes, among other things:</w:t>
      </w:r>
    </w:p>
    <w:p>
      <w:pPr>
        <w:spacing w:after="0" w:line="131" w:lineRule="exact"/>
        <w:rPr>
          <w:sz w:val="20"/>
          <w:szCs w:val="20"/>
          <w:color w:val="auto"/>
        </w:rPr>
      </w:pPr>
    </w:p>
    <w:p>
      <w:pPr>
        <w:ind w:left="1080" w:right="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in cash or in kind, deemed and constructive distributions and repayments of paid-in capital not recognized for Dutch dividend withholding tax purposes;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liquidation proceeds, proceeds of redemption of our ordinary shares, or proceeds of the repurchase of ordinary shares (other than as temporary portfolio investment; </w:t>
      </w:r>
      <w:r>
        <w:rPr>
          <w:rFonts w:ascii="Times New Roman" w:cs="Times New Roman" w:eastAsia="Times New Roman" w:hAnsi="Times New Roman"/>
          <w:sz w:val="18"/>
          <w:szCs w:val="18"/>
          <w:i w:val="1"/>
          <w:iCs w:val="1"/>
          <w:color w:val="auto"/>
        </w:rPr>
        <w:t>tijdelijke belegging</w:t>
      </w:r>
      <w:r>
        <w:rPr>
          <w:rFonts w:ascii="Times New Roman" w:cs="Times New Roman" w:eastAsia="Times New Roman" w:hAnsi="Times New Roman"/>
          <w:sz w:val="18"/>
          <w:szCs w:val="18"/>
          <w:color w:val="auto"/>
        </w:rPr>
        <w:t>) by us or one of our subsidiaries or other affiliated entities, in each case to the extent such proceeds exceed the average paid-in capital of those ordinary shares as recognized for Dutch dividend withholding tax purposes;</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par value of our ordinary shares issued or an increase of the par value of ordinary shares, to the extent that no related contribution, recognized for Dutch dividend withholding tax purposes, has been made or will be made;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repayment of the paid-in capital, recognized for Dutch dividend withholding tax purposes, if and to the extent that we have net profits (</w:t>
      </w:r>
      <w:r>
        <w:rPr>
          <w:rFonts w:ascii="Times New Roman" w:cs="Times New Roman" w:eastAsia="Times New Roman" w:hAnsi="Times New Roman"/>
          <w:sz w:val="18"/>
          <w:szCs w:val="18"/>
          <w:i w:val="1"/>
          <w:iCs w:val="1"/>
          <w:color w:val="auto"/>
        </w:rPr>
        <w:t>zuivere winst</w:t>
      </w:r>
      <w:r>
        <w:rPr>
          <w:rFonts w:ascii="Times New Roman" w:cs="Times New Roman" w:eastAsia="Times New Roman" w:hAnsi="Times New Roman"/>
          <w:sz w:val="18"/>
          <w:szCs w:val="18"/>
          <w:color w:val="auto"/>
        </w:rPr>
        <w:t>), unless (i) the general meeting has resolved in advance to make such repayment and (ii) the par value of the ordinary shares concerned has been reduced by an equal amount by way of an amendment of the Articles of Association. The term “net profits” includes anticipated profits that have yet to be realized.</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Corporate legal entities that are resident or deemed to be resident of the Netherlands for Dutch corporate income tax purposes (“Dutch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our ordinary shares that are neither resident nor deemed to be resident of the Netherlands (“Non-Resident Holders”) if the ordinary shares are attributable to a Dutch permanent establishment of such Non-Resident Holder.</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European Union law, or treaties for the avoidance of double taxation in effect between the Netherlands and such other country.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stripping</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Times New Roman" w:cs="Times New Roman" w:eastAsia="Times New Roman" w:hAnsi="Times New Roman"/>
          <w:sz w:val="18"/>
          <w:szCs w:val="18"/>
          <w:i w:val="1"/>
          <w:iCs w:val="1"/>
          <w:color w:val="auto"/>
        </w:rPr>
        <w:t>uiteindelijk gerechtigde</w:t>
      </w:r>
      <w:r>
        <w:rPr>
          <w:rFonts w:ascii="Times New Roman" w:cs="Times New Roman" w:eastAsia="Times New Roman" w:hAnsi="Times New Roman"/>
          <w:sz w:val="18"/>
          <w:szCs w:val="18"/>
          <w:color w:val="auto"/>
        </w:rPr>
        <w:t>;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 The burden of proof with respect to beneficial ownership of dividends distributed by us rests on the Dutch tax authorities. If, however, a shareholder would receive dividends, including dividends on our ordinary shares, in a calendar year in respect of which an aggregate amount of EUR 1,000 in Dutch dividend withholding tax would otherwise be due based on the rate of 15%, the burden of proof with respect to beneficial ownership of such dividends lies with the shareholder. Furthermore, for shares traded on a regulated market, including our ordinary shares, it has been codified that the record date is used when determining the person who is entitled to the dividend.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Conditional Withholding Tax on Dividends</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regular Dutch dividend withholding tax as described above, a Dutch conditional withholding tax will be imposed on dividends distributed by us to a Related Entity (as defined below), if such Related Entity:</w:t>
      </w:r>
    </w:p>
    <w:p>
      <w:pPr>
        <w:spacing w:after="0" w:line="65" w:lineRule="exact"/>
        <w:rPr>
          <w:sz w:val="20"/>
          <w:szCs w:val="20"/>
          <w:color w:val="auto"/>
        </w:rPr>
      </w:pPr>
    </w:p>
    <w:p>
      <w:pPr>
        <w:ind w:left="1080" w:right="400" w:hanging="532"/>
        <w:spacing w:after="0" w:line="267"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considered to be resident (</w:t>
      </w:r>
      <w:r>
        <w:rPr>
          <w:rFonts w:ascii="Times New Roman" w:cs="Times New Roman" w:eastAsia="Times New Roman" w:hAnsi="Times New Roman"/>
          <w:sz w:val="18"/>
          <w:szCs w:val="18"/>
          <w:i w:val="1"/>
          <w:iCs w:val="1"/>
          <w:color w:val="auto"/>
        </w:rPr>
        <w:t>gevestigd</w:t>
      </w:r>
      <w:r>
        <w:rPr>
          <w:rFonts w:ascii="Times New Roman" w:cs="Times New Roman" w:eastAsia="Times New Roman" w:hAnsi="Times New Roman"/>
          <w:sz w:val="18"/>
          <w:szCs w:val="18"/>
          <w:color w:val="auto"/>
        </w:rPr>
        <w:t>) in a jurisdiction that is listed in the yearly updated Dutch Regulation on low-taxing states and non-cooperative jurisdictions for tax purposes (</w:t>
      </w:r>
      <w:r>
        <w:rPr>
          <w:rFonts w:ascii="Times New Roman" w:cs="Times New Roman" w:eastAsia="Times New Roman" w:hAnsi="Times New Roman"/>
          <w:sz w:val="18"/>
          <w:szCs w:val="18"/>
          <w:i w:val="1"/>
          <w:iCs w:val="1"/>
          <w:color w:val="auto"/>
        </w:rPr>
        <w:t>Regeling laagbelastende staten en niet-coöperatieve rechtsgebieden voor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belastingdoeleinden</w:t>
      </w:r>
      <w:r>
        <w:rPr>
          <w:rFonts w:ascii="Times New Roman" w:cs="Times New Roman" w:eastAsia="Times New Roman" w:hAnsi="Times New Roman"/>
          <w:sz w:val="18"/>
          <w:szCs w:val="18"/>
          <w:color w:val="auto"/>
        </w:rPr>
        <w:t>) (a “Listed Jurisdiction”); or</w:t>
      </w:r>
    </w:p>
    <w:p>
      <w:pPr>
        <w:spacing w:after="0" w:line="8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permanent establishment located in a Listed Jurisdiction to which the ordinary shares are attributable; or</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the ordinary shares with the main purpose or one of the main purposes of avoiding taxation for another person or entity and there is an artificial arrangement or transaction or a series of artificial arrangements or transactions; or</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considered to be the beneficial owner of the ordinary shares in its jurisdiction of residence because such jurisdiction treats another entity as the beneficial owner of the ordinary shares (a hybrid mismatch);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resident in any jurisdiction (also a hybrid mismatch); or</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reverse hybrid (within the meaning of Article 2(11) of the Dutch Corporate Income Tax Act 1969), if and to the extent (x) there is a participant in the reverse hybrid holding a Qualifying Interest in to the reverse hybrid, (y) the jurisdiction of residence of such participant treats the reverse hybrid as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60"/>
          </w:cols>
          <w:pgMar w:left="320" w:top="455"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20"/>
        <w:spacing w:after="0" w:line="266" w:lineRule="auto"/>
        <w:rPr>
          <w:sz w:val="20"/>
          <w:szCs w:val="20"/>
          <w:color w:val="auto"/>
        </w:rPr>
      </w:pPr>
      <w:r>
        <w:rPr>
          <w:rFonts w:ascii="Times New Roman" w:cs="Times New Roman" w:eastAsia="Times New Roman" w:hAnsi="Times New Roman"/>
          <w:sz w:val="18"/>
          <w:szCs w:val="18"/>
          <w:color w:val="auto"/>
        </w:rPr>
        <w:t>transparent for tax purposes and (z) such participant would have been subject to the Dutch conditional withholding tax in respect of dividends distributed by us without the interposition of the reverse hybrid, all within the meaning of the Dutch Withholding Tax Act 2021 (</w:t>
      </w:r>
      <w:r>
        <w:rPr>
          <w:rFonts w:ascii="Times New Roman" w:cs="Times New Roman" w:eastAsia="Times New Roman" w:hAnsi="Times New Roman"/>
          <w:sz w:val="18"/>
          <w:szCs w:val="18"/>
          <w:i w:val="1"/>
          <w:iCs w:val="1"/>
          <w:color w:val="auto"/>
        </w:rPr>
        <w:t>Wet bronbelasting 2021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section:</w:t>
      </w:r>
    </w:p>
    <w:p>
      <w:pPr>
        <w:spacing w:after="0" w:line="131" w:lineRule="exact"/>
        <w:rPr>
          <w:sz w:val="20"/>
          <w:szCs w:val="20"/>
          <w:color w:val="auto"/>
        </w:rPr>
      </w:pPr>
    </w:p>
    <w:p>
      <w:pPr>
        <w:ind w:left="1080" w:right="1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Entity” means an entity (i) that has a Qualifying Interest in us or (ii) in which a third party has a Qualifying Interest if such third party also has a Qualifying Interest in us.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Interest” means a direct or indirectly held interest—either by an entity individually or, if an entity is part of a Qualifying Unity, jointly—that enables such entity or such Qualifying Unity to exercise a definitive influence over another entity’s decisions and allows it to determine that other entity’s activities (as interpreted by the European Court of Justice in case law on the right of freedom of establishment (</w:t>
      </w:r>
      <w:r>
        <w:rPr>
          <w:rFonts w:ascii="Times New Roman" w:cs="Times New Roman" w:eastAsia="Times New Roman" w:hAnsi="Times New Roman"/>
          <w:sz w:val="18"/>
          <w:szCs w:val="18"/>
          <w:i w:val="1"/>
          <w:iCs w:val="1"/>
          <w:color w:val="auto"/>
        </w:rPr>
        <w:t>vrijheid van vestiging</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Unity” means entities acting together with the main purpose or one of the main purposes of avoiding Dutch conditional withholding tax at the level of any of those entities (</w:t>
      </w:r>
      <w:r>
        <w:rPr>
          <w:rFonts w:ascii="Times New Roman" w:cs="Times New Roman" w:eastAsia="Times New Roman" w:hAnsi="Times New Roman"/>
          <w:sz w:val="18"/>
          <w:szCs w:val="18"/>
          <w:i w:val="1"/>
          <w:iCs w:val="1"/>
          <w:color w:val="auto"/>
        </w:rPr>
        <w:t>kwalificerende eenheid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Dutch conditional withholding tax on dividends will be imposed at the highest Dutch corporate income tax rate in effect at the time of the distribution (2025: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(2025: 25.8%).</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Taxes on Income and Capital Gains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Dutch Resident Entities</w:t>
      </w:r>
    </w:p>
    <w:p>
      <w:pPr>
        <w:spacing w:after="0" w:line="11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Generally, if the holder of ordinary shares is a Dutch Resident Entity, any income derived or deemed to be derived from the ordinary shares or any capital gains realized on the disposal, or deemed disposal of the ordinary shares is subject to Dutch corporate income tax at a rate of 19% with respect to taxable profits up to €200,000 and 25.8% with respect to taxable profits in excess of that amount (rates and brackets for 2025).</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Dutch Resident Individuals</w:t>
      </w:r>
    </w:p>
    <w:p>
      <w:pPr>
        <w:spacing w:after="0" w:line="11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the holder of our ordinary shares is a Dutch Resident Individual, any income derived or deemed to be derived from the ordinary shares or any capital gains realized on the disposal or deemed disposal of the ordinary shares is subject to Dutch personal income tax at the progressive rates (with a maximum of 49.50% in 2025), if:</w:t>
      </w:r>
    </w:p>
    <w:p>
      <w:pPr>
        <w:spacing w:after="0" w:line="81" w:lineRule="exact"/>
        <w:rPr>
          <w:sz w:val="20"/>
          <w:szCs w:val="20"/>
          <w:color w:val="auto"/>
        </w:rPr>
      </w:pPr>
    </w:p>
    <w:p>
      <w:pPr>
        <w:ind w:left="1080" w:right="16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are attributable to an enterprise from which the holder of ordinary shares derives a share of the profit, whether as an entrepreneur (</w:t>
      </w:r>
      <w:r>
        <w:rPr>
          <w:rFonts w:ascii="Times New Roman" w:cs="Times New Roman" w:eastAsia="Times New Roman" w:hAnsi="Times New Roman"/>
          <w:sz w:val="18"/>
          <w:szCs w:val="18"/>
          <w:i w:val="1"/>
          <w:iCs w:val="1"/>
          <w:color w:val="auto"/>
        </w:rPr>
        <w:t>ondernemer</w:t>
      </w:r>
      <w:r>
        <w:rPr>
          <w:rFonts w:ascii="Times New Roman" w:cs="Times New Roman" w:eastAsia="Times New Roman" w:hAnsi="Times New Roman"/>
          <w:sz w:val="18"/>
          <w:szCs w:val="18"/>
          <w:color w:val="auto"/>
        </w:rPr>
        <w:t>) or as a person who has a co-entitlement to the net worth (</w:t>
      </w:r>
      <w:r>
        <w:rPr>
          <w:rFonts w:ascii="Times New Roman" w:cs="Times New Roman" w:eastAsia="Times New Roman" w:hAnsi="Times New Roman"/>
          <w:sz w:val="18"/>
          <w:szCs w:val="18"/>
          <w:i w:val="1"/>
          <w:iCs w:val="1"/>
          <w:color w:val="auto"/>
        </w:rPr>
        <w:t>medegerechtigd tot het vermogen</w:t>
      </w:r>
      <w:r>
        <w:rPr>
          <w:rFonts w:ascii="Times New Roman" w:cs="Times New Roman" w:eastAsia="Times New Roman" w:hAnsi="Times New Roman"/>
          <w:sz w:val="18"/>
          <w:szCs w:val="18"/>
          <w:color w:val="auto"/>
        </w:rPr>
        <w:t>) of such enterprise without being a shareholder (as defined in the Dutch Income Tax Act 2001); or</w:t>
      </w:r>
    </w:p>
    <w:p>
      <w:pPr>
        <w:spacing w:after="0" w:line="81" w:lineRule="exact"/>
        <w:rPr>
          <w:rFonts w:ascii="Times New Roman" w:cs="Times New Roman" w:eastAsia="Times New Roman" w:hAnsi="Times New Roman"/>
          <w:sz w:val="18"/>
          <w:szCs w:val="18"/>
          <w:color w:val="auto"/>
        </w:rPr>
      </w:pPr>
    </w:p>
    <w:p>
      <w:pPr>
        <w:ind w:left="1080" w:right="28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ordinary shares is considered to perform activities with respect to the ordinary shares that go beyond ordinary asset management (</w:t>
      </w:r>
      <w:r>
        <w:rPr>
          <w:rFonts w:ascii="Times New Roman" w:cs="Times New Roman" w:eastAsia="Times New Roman" w:hAnsi="Times New Roman"/>
          <w:sz w:val="18"/>
          <w:szCs w:val="18"/>
          <w:i w:val="1"/>
          <w:iCs w:val="1"/>
          <w:color w:val="auto"/>
        </w:rPr>
        <w:t>normaal, actief vermogensbeheer</w:t>
      </w:r>
      <w:r>
        <w:rPr>
          <w:rFonts w:ascii="Times New Roman" w:cs="Times New Roman" w:eastAsia="Times New Roman" w:hAnsi="Times New Roman"/>
          <w:sz w:val="18"/>
          <w:szCs w:val="18"/>
          <w:color w:val="auto"/>
        </w:rPr>
        <w:t>) or otherwise derives benefits from the ordinary shares that are taxable as benefits from miscellaneous activities (</w:t>
      </w:r>
      <w:r>
        <w:rPr>
          <w:rFonts w:ascii="Times New Roman" w:cs="Times New Roman" w:eastAsia="Times New Roman" w:hAnsi="Times New Roman"/>
          <w:sz w:val="18"/>
          <w:szCs w:val="18"/>
          <w:i w:val="1"/>
          <w:iCs w:val="1"/>
          <w:color w:val="auto"/>
        </w:rPr>
        <w:t>resultaat uit overige werkzaamheden</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Taxation of savings and investments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the above-mentioned conditions (i) and (ii) do not apply to the Dutch Resident Individual, the ordinary shares will be subject to an annual Dutch income tax under the regime for savings and investments (</w:t>
      </w:r>
      <w:r>
        <w:rPr>
          <w:rFonts w:ascii="Times New Roman" w:cs="Times New Roman" w:eastAsia="Times New Roman" w:hAnsi="Times New Roman"/>
          <w:sz w:val="18"/>
          <w:szCs w:val="18"/>
          <w:i w:val="1"/>
          <w:iCs w:val="1"/>
          <w:color w:val="auto"/>
        </w:rPr>
        <w:t>inkomen uit sparen en beleggen</w:t>
      </w:r>
      <w:r>
        <w:rPr>
          <w:rFonts w:ascii="Times New Roman" w:cs="Times New Roman" w:eastAsia="Times New Roman" w:hAnsi="Times New Roman"/>
          <w:sz w:val="18"/>
          <w:szCs w:val="18"/>
          <w:color w:val="auto"/>
        </w:rPr>
        <w:t>). Taxation only occurs insofar the Dutch Resident Individual’s net investment assets for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color w:val="auto"/>
        </w:rPr>
        <w:t>year exceed a statutory threshold (</w:t>
      </w:r>
      <w:r>
        <w:rPr>
          <w:rFonts w:ascii="Times New Roman" w:cs="Times New Roman" w:eastAsia="Times New Roman" w:hAnsi="Times New Roman"/>
          <w:sz w:val="18"/>
          <w:szCs w:val="18"/>
          <w:i w:val="1"/>
          <w:iCs w:val="1"/>
          <w:color w:val="auto"/>
        </w:rPr>
        <w:t>heffingvrij vermogen</w:t>
      </w:r>
      <w:r>
        <w:rPr>
          <w:rFonts w:ascii="Times New Roman" w:cs="Times New Roman" w:eastAsia="Times New Roman" w:hAnsi="Times New Roman"/>
          <w:sz w:val="18"/>
          <w:szCs w:val="18"/>
          <w:color w:val="auto"/>
        </w:rPr>
        <w:t xml:space="preserve">). The net investment assets for the year are the fair market value of the investment assets less the fair market value of the liabilities on January 1 of the relevant calendar year (reference date; </w:t>
      </w:r>
      <w:r>
        <w:rPr>
          <w:rFonts w:ascii="Times New Roman" w:cs="Times New Roman" w:eastAsia="Times New Roman" w:hAnsi="Times New Roman"/>
          <w:sz w:val="18"/>
          <w:szCs w:val="18"/>
          <w:i w:val="1"/>
          <w:iCs w:val="1"/>
          <w:color w:val="auto"/>
        </w:rPr>
        <w:t>peildatum</w:t>
      </w:r>
      <w:r>
        <w:rPr>
          <w:rFonts w:ascii="Times New Roman" w:cs="Times New Roman" w:eastAsia="Times New Roman" w:hAnsi="Times New Roman"/>
          <w:sz w:val="18"/>
          <w:szCs w:val="18"/>
          <w:color w:val="auto"/>
        </w:rPr>
        <w:t>). Actual income or capital gains realized in respect of the ordinary shares are in principle not subject to Dutch income tax.</w:t>
      </w:r>
    </w:p>
    <w:p>
      <w:pPr>
        <w:spacing w:after="0" w:line="17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Dutch Resident Individual’s assets and liabilities taxed under this regime, including the ordinary shares, are allocated over the following three categories: (a) bank savings (</w:t>
      </w:r>
      <w:r>
        <w:rPr>
          <w:rFonts w:ascii="Times New Roman" w:cs="Times New Roman" w:eastAsia="Times New Roman" w:hAnsi="Times New Roman"/>
          <w:sz w:val="18"/>
          <w:szCs w:val="18"/>
          <w:i w:val="1"/>
          <w:iCs w:val="1"/>
          <w:color w:val="auto"/>
        </w:rPr>
        <w:t>banktegoeden</w:t>
      </w:r>
      <w:r>
        <w:rPr>
          <w:rFonts w:ascii="Times New Roman" w:cs="Times New Roman" w:eastAsia="Times New Roman" w:hAnsi="Times New Roman"/>
          <w:sz w:val="18"/>
          <w:szCs w:val="18"/>
          <w:color w:val="auto"/>
        </w:rPr>
        <w:t>), (b) other investments (</w:t>
      </w:r>
      <w:r>
        <w:rPr>
          <w:rFonts w:ascii="Times New Roman" w:cs="Times New Roman" w:eastAsia="Times New Roman" w:hAnsi="Times New Roman"/>
          <w:sz w:val="18"/>
          <w:szCs w:val="18"/>
          <w:i w:val="1"/>
          <w:iCs w:val="1"/>
          <w:color w:val="auto"/>
        </w:rPr>
        <w:t>overige bezittingen</w:t>
      </w:r>
      <w:r>
        <w:rPr>
          <w:rFonts w:ascii="Times New Roman" w:cs="Times New Roman" w:eastAsia="Times New Roman" w:hAnsi="Times New Roman"/>
          <w:sz w:val="18"/>
          <w:szCs w:val="18"/>
          <w:color w:val="auto"/>
        </w:rPr>
        <w:t>), including the ordinary shares, and (c) liabilities (</w:t>
      </w:r>
      <w:r>
        <w:rPr>
          <w:rFonts w:ascii="Times New Roman" w:cs="Times New Roman" w:eastAsia="Times New Roman" w:hAnsi="Times New Roman"/>
          <w:sz w:val="18"/>
          <w:szCs w:val="18"/>
          <w:i w:val="1"/>
          <w:iCs w:val="1"/>
          <w:color w:val="auto"/>
        </w:rPr>
        <w:t>schulden</w:t>
      </w:r>
      <w:r>
        <w:rPr>
          <w:rFonts w:ascii="Times New Roman" w:cs="Times New Roman" w:eastAsia="Times New Roman" w:hAnsi="Times New Roman"/>
          <w:sz w:val="18"/>
          <w:szCs w:val="18"/>
          <w:color w:val="auto"/>
        </w:rPr>
        <w:t>). The taxable benefit for the year (</w:t>
      </w:r>
      <w:r>
        <w:rPr>
          <w:rFonts w:ascii="Times New Roman" w:cs="Times New Roman" w:eastAsia="Times New Roman" w:hAnsi="Times New Roman"/>
          <w:sz w:val="18"/>
          <w:szCs w:val="18"/>
          <w:i w:val="1"/>
          <w:iCs w:val="1"/>
          <w:color w:val="auto"/>
        </w:rPr>
        <w:t>voordeel uit sparen en beleggen</w:t>
      </w:r>
      <w:r>
        <w:rPr>
          <w:rFonts w:ascii="Times New Roman" w:cs="Times New Roman" w:eastAsia="Times New Roman" w:hAnsi="Times New Roman"/>
          <w:sz w:val="18"/>
          <w:szCs w:val="18"/>
          <w:color w:val="auto"/>
        </w:rPr>
        <w:t>) is equal to the product of (x) the total deemed return divided by the sum of bank savings, other investments and liabilities and (y) the sum of bank savings, other investments and liabilities minus the statutory threshold, and is taxed at a flat rate of 36% (rate for 2025).</w:t>
      </w:r>
    </w:p>
    <w:p>
      <w:pPr>
        <w:spacing w:after="0" w:line="183"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deemed return applicable to other investments, including the ordinary shares, is set at 5.88% for the calendar year 2025. Transactions in the three-month period before and after January 1 of the relevant calendar year implemented to arbitrate between the deemed return percentages applicable to bank savings, other investments and liabilities will for this purpose be ignored if the holder of the ordinary shares cannot sufficiently demonstrate that such transactions are implemented for other than tax reasons.</w:t>
      </w:r>
    </w:p>
    <w:p>
      <w:pPr>
        <w:spacing w:after="0" w:line="17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June 6 and 14, 2024, the Dutch Supreme Court (</w:t>
      </w:r>
      <w:r>
        <w:rPr>
          <w:rFonts w:ascii="Times New Roman" w:cs="Times New Roman" w:eastAsia="Times New Roman" w:hAnsi="Times New Roman"/>
          <w:sz w:val="18"/>
          <w:szCs w:val="18"/>
          <w:i w:val="1"/>
          <w:iCs w:val="1"/>
          <w:color w:val="auto"/>
        </w:rPr>
        <w:t>Hoge Raad</w:t>
      </w:r>
      <w:r>
        <w:rPr>
          <w:rFonts w:ascii="Times New Roman" w:cs="Times New Roman" w:eastAsia="Times New Roman" w:hAnsi="Times New Roman"/>
          <w:sz w:val="18"/>
          <w:szCs w:val="18"/>
          <w:color w:val="auto"/>
        </w:rPr>
        <w:t>) ruled that the current Dutch income tax regime for savings and investments in certain specific circumstances contravenes with Section 1 of the First Protocol to the European Convention on Human Rights in combination with Section 14 of the European Convention on Human Rights (the “Rulings”). This is, in short, the case in the event the deemed return on the investment assets exceeds the actual return realized in respect thereof (calculated in accordance with the rules set out in the Rulings and successfully demonstrated by the taxpayer). The rules set out in the Rulings have been implemented in Dutch tax law by the Dutch Box 3 Rebuttal Scheme Act (</w:t>
      </w:r>
      <w:r>
        <w:rPr>
          <w:rFonts w:ascii="Times New Roman" w:cs="Times New Roman" w:eastAsia="Times New Roman" w:hAnsi="Times New Roman"/>
          <w:sz w:val="18"/>
          <w:szCs w:val="18"/>
          <w:i w:val="1"/>
          <w:iCs w:val="1"/>
          <w:color w:val="auto"/>
        </w:rPr>
        <w:t>Wet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tegenbewijsregeling box 3</w:t>
      </w:r>
      <w:r>
        <w:rPr>
          <w:rFonts w:ascii="Times New Roman" w:cs="Times New Roman" w:eastAsia="Times New Roman" w:hAnsi="Times New Roman"/>
          <w:sz w:val="18"/>
          <w:szCs w:val="18"/>
          <w:color w:val="auto"/>
        </w:rPr>
        <w:t>). Holders of our ordinary shares are advised to consult their own tax advisor to ensure that the tax in respect of their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is levied in accordance with the applicable Dutch tax rules at the relevant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Non-residents of the Netherlands</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 holder of our ordinary shares that is neither a Dutch Resident Entity nor a Dutch Resident Individual will not be subject to Dutch income tax in respect of income derived or deemed to be derived from our ordinary shares or in respect of capital gains realized on the disposal or deemed disposal of the ordinary shares, provided that:</w:t>
      </w:r>
    </w:p>
    <w:p>
      <w:pPr>
        <w:spacing w:after="0" w:line="81" w:lineRule="exact"/>
        <w:rPr>
          <w:sz w:val="20"/>
          <w:szCs w:val="20"/>
          <w:color w:val="auto"/>
        </w:rPr>
      </w:pPr>
    </w:p>
    <w:p>
      <w:pPr>
        <w:ind w:left="1080" w:right="220" w:hanging="532"/>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does not have an interest in an enterprise or deemed enterprise (as defined in the Dutch Income Tax Act 2001 and the Dutch Corporate Income Tax Act 1969, as applicable)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85"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holder is an individual, such holder does not carry out any activities in the Netherlands with respect to the ordinary shares that go beyond ordinary asset management and does not otherwise derive benefits from the ordinary shares that are taxable as benefits from miscellaneous activities in the Netherlands.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Gift and Inheritance Taxes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Residents of the Netherlands</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death.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Non-residents of the Netherlands</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No gift or inheritance taxes will arise in the Netherlands with respect to a transfer of our ordinary shares by way of gift by, or on the death of, a holder of our ordinary shares who is neither resident nor deemed to be resident of the Netherlands, unless:</w:t>
      </w:r>
    </w:p>
    <w:p>
      <w:pPr>
        <w:spacing w:after="0" w:line="67" w:lineRule="exact"/>
        <w:rPr>
          <w:sz w:val="20"/>
          <w:szCs w:val="20"/>
          <w:color w:val="auto"/>
        </w:rPr>
      </w:pPr>
    </w:p>
    <w:p>
      <w:pPr>
        <w:ind w:left="1080" w:right="40" w:hanging="532"/>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gift of our ordinary shares made under a condition precedent, the holder of ordinary shares is resident or deemed to be resident of the Netherlands at the time the condition is fulfilled; or</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otherwise construed as a gift or inheritance made by, or on behalf of, a person who, at the time of the gift or death, is or is deemed to be resident of the Netherlands.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Value Added Tax (“VAT”)</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No Dutch VAT will be payable by a holder of our ordinary shares in respect of any payment in consideration for the holding or disposal of our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Taxes and Duties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No Dutch documentation taxes (commonly referred to as stamp duties) will be payable by a holder of our ordinary shares in respect of any payment in consideration for the holding or disposal of our ordinary shares.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supplement, the underwriters named below, for whom Morgan Stanley &amp; Co. LLC and Leerink Partners LLC are acting as representatives, have severally agreed to purchase, and we have agreed to sell to them, severally, the number of ordinary shares indicated below:</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7260" w:type="dxa"/>
            <w:vAlign w:val="bottom"/>
            <w:vMerge w:val="restart"/>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7260" w:type="dxa"/>
            <w:vAlign w:val="bottom"/>
            <w:vMerge w:val="continue"/>
          </w:tcPr>
          <w:p>
            <w:pPr>
              <w:spacing w:after="0"/>
              <w:rPr>
                <w:sz w:val="15"/>
                <w:szCs w:val="15"/>
                <w:color w:val="auto"/>
              </w:rPr>
            </w:pPr>
          </w:p>
        </w:tc>
        <w:tc>
          <w:tcPr>
            <w:tcW w:w="7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03"/>
        </w:trPr>
        <w:tc>
          <w:tcPr>
            <w:tcW w:w="7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Oppenheirmer &amp; Co. Inc.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Van Lanschot Kempen (USA) Inc.</w:t>
            </w:r>
          </w:p>
        </w:tc>
        <w:tc>
          <w:tcPr>
            <w:tcW w:w="6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ordinary shares subject to their acceptance of the ordinary shares from us and subject to prior sale. The underwriting agreement provides that the obligations of the several underwriters to pay for and accept delivery of the ordinary shares offered by this prospectus supplement are subject to the approval of certain legal matters by their counsel and to certain other conditions. The underwriters are obligated to take and pay for all of the ordinary shares offered by this prospectus supplement if any such shares are taken.</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Certain of the underwriters may offer and sell the ordinary shares through one or more of their respective affiliates or other registered broker-dealers or selling agents.</w:t>
      </w:r>
    </w:p>
    <w:p>
      <w:pPr>
        <w:spacing w:after="0" w:line="16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underwriters initially propose to offer part of the ordinary shares directly to the public at the offering prices listed on the cover page of this prospectus supplement and part to certain dealers at a price that represents a concession not in excess of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per ordinary share under the public offering price. After the initial offering of the ordinary shares, the offering price and other selling terms may from time to time be varied by the representatives. We have granted to the underwriters an option, exercisable for 30 days from the date of this prospectus supplement, to purchase up</w:t>
      </w:r>
    </w:p>
    <w:p>
      <w:pPr>
        <w:spacing w:after="0" w:line="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additional ordinary shares at the public offering price listed on the cover page of this prospectus supplement, less underwriting discounts and commissions. The number of ordinary shares subject to the underwriters’ option equals 15% of the total number of ordinary shares. To the extent the option is exercised, each underwriter will become obligated, subject to certain conditions, to purchase about the same percentage of the additional ordinary shares as the number listed next to the underwriter’s name in the preceding table bears to the total number of ordinary shares listed next to the names of all underwriters in the preceding table.</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ordinary share and total public offering price, underwriting discounts and commissions, and proceeds before expenses to us. These amounts are shown assuming both no exercise and full exercise of the underwriters’ option to purchase an additional $22,500,000 of ordinary shares.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4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5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60" w:type="dxa"/>
            <w:vAlign w:val="bottom"/>
          </w:tcPr>
          <w:p>
            <w:pPr>
              <w:spacing w:after="0"/>
              <w:rPr>
                <w:sz w:val="9"/>
                <w:szCs w:val="9"/>
                <w:color w:val="auto"/>
              </w:rPr>
            </w:pP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Full</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4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460" w:type="dxa"/>
            <w:vAlign w:val="bottom"/>
          </w:tcPr>
          <w:p>
            <w:pPr>
              <w:spacing w:after="0"/>
              <w:rPr>
                <w:sz w:val="15"/>
                <w:szCs w:val="15"/>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0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28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86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560" w:type="dxa"/>
            <w:vAlign w:val="bottom"/>
          </w:tcPr>
          <w:p>
            <w:pPr>
              <w:spacing w:after="0"/>
              <w:rPr>
                <w:sz w:val="24"/>
                <w:szCs w:val="24"/>
                <w:color w:val="auto"/>
              </w:rPr>
            </w:pPr>
          </w:p>
        </w:tc>
        <w:tc>
          <w:tcPr>
            <w:tcW w:w="2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S-21</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 We have agreed to reimburse the underwriters for expense relating to clearance of this offering with the Financial Industry Regulatory Authority up to $15,000.</w:t>
      </w:r>
    </w:p>
    <w:p>
      <w:pPr>
        <w:spacing w:after="0" w:line="15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ordinary shares offered by them.</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ordinary shares trade on The Nasdaq Global Select Market under the symbol “PHVS”.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agreed that, without the prior written consent of the representatives, we will not, and will not publicly disclose an intention to, during the period ending 90 days after the date of this prospectus supplement (the “restricted period”):</w:t>
      </w:r>
    </w:p>
    <w:p>
      <w:pPr>
        <w:spacing w:after="0" w:line="67" w:lineRule="exact"/>
        <w:rPr>
          <w:sz w:val="20"/>
          <w:szCs w:val="20"/>
          <w:color w:val="auto"/>
        </w:rPr>
      </w:pPr>
    </w:p>
    <w:p>
      <w:pPr>
        <w:jc w:val="both"/>
        <w:ind w:left="1080" w:right="4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 relating to the offering of any ordinary shares or any securities convertible into or exercisable or exchangeable for ordinary shares;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ordinary shares.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ordinary shares or such other securities, in cash or otherwise.</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 us in certain circumstances, subject to certain limitations and conditions set forth in the underwriting agreement, including:</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issuance and sale of the ordinary shares in this offering;</w:t>
      </w:r>
    </w:p>
    <w:p>
      <w:pPr>
        <w:spacing w:after="0" w:line="117" w:lineRule="exact"/>
        <w:rPr>
          <w:sz w:val="20"/>
          <w:szCs w:val="20"/>
          <w:color w:val="auto"/>
        </w:rPr>
      </w:pPr>
    </w:p>
    <w:p>
      <w:pPr>
        <w:ind w:left="560" w:right="20" w:firstLine="423"/>
        <w:spacing w:after="0" w:line="282" w:lineRule="auto"/>
        <w:rPr>
          <w:sz w:val="20"/>
          <w:szCs w:val="20"/>
          <w:color w:val="auto"/>
        </w:rPr>
      </w:pPr>
      <w:r>
        <w:rPr>
          <w:rFonts w:ascii="Times New Roman" w:cs="Times New Roman" w:eastAsia="Times New Roman" w:hAnsi="Times New Roman"/>
          <w:sz w:val="18"/>
          <w:szCs w:val="18"/>
          <w:color w:val="auto"/>
        </w:rPr>
        <w:t>b)  the issuance of our ordinary shares upon the exercise of an option, award, restricted stock unit or warrant or the conversion of a security outstanding on the date of this prospectus supplement;</w:t>
      </w:r>
    </w:p>
    <w:p>
      <w:pPr>
        <w:spacing w:after="0" w:line="54" w:lineRule="exact"/>
        <w:rPr>
          <w:sz w:val="20"/>
          <w:szCs w:val="20"/>
          <w:color w:val="auto"/>
        </w:rPr>
      </w:pPr>
    </w:p>
    <w:p>
      <w:pPr>
        <w:ind w:left="560" w:right="40" w:firstLine="423"/>
        <w:spacing w:after="0" w:line="258" w:lineRule="auto"/>
        <w:rPr>
          <w:sz w:val="20"/>
          <w:szCs w:val="20"/>
          <w:color w:val="auto"/>
        </w:rPr>
      </w:pPr>
      <w:r>
        <w:rPr>
          <w:rFonts w:ascii="Times New Roman" w:cs="Times New Roman" w:eastAsia="Times New Roman" w:hAnsi="Times New Roman"/>
          <w:sz w:val="18"/>
          <w:szCs w:val="18"/>
          <w:color w:val="auto"/>
        </w:rPr>
        <w:t>c)  facilitating the establishment of a trading plan on behalf of a shareholder, officer or director of the Company pursuant to Rule 10b5-1 under the Exchange Act for the transfer of ordinary shares, provided that (i) such plan does not provide for the transfer of ordinary shares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ordinary shares may be made under such plan during the restricted period;</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the filing by us of any registration statement on Form S-8 (or any successor form) with the SEC;</w:t>
      </w:r>
    </w:p>
    <w:p>
      <w:pPr>
        <w:spacing w:after="0" w:line="117" w:lineRule="exact"/>
        <w:rPr>
          <w:sz w:val="20"/>
          <w:szCs w:val="20"/>
          <w:color w:val="auto"/>
        </w:rPr>
      </w:pPr>
    </w:p>
    <w:p>
      <w:pPr>
        <w:ind w:left="560" w:right="260" w:firstLine="423"/>
        <w:spacing w:after="0" w:line="266" w:lineRule="auto"/>
        <w:rPr>
          <w:sz w:val="20"/>
          <w:szCs w:val="20"/>
          <w:color w:val="auto"/>
        </w:rPr>
      </w:pPr>
      <w:r>
        <w:rPr>
          <w:rFonts w:ascii="Times New Roman" w:cs="Times New Roman" w:eastAsia="Times New Roman" w:hAnsi="Times New Roman"/>
          <w:sz w:val="18"/>
          <w:szCs w:val="18"/>
          <w:color w:val="auto"/>
        </w:rPr>
        <w:t>e)  sales of ordinary shares on behalf of our officers named in the registration statement of which this prospectus supplement and the accompanying prospectus forms a part to satisfy the withholding taxes payable upon the vesting, exercise or settlement of such officer’s equity awards pursuant to employee benefit plans described in this prospectus supplement; or</w:t>
      </w:r>
    </w:p>
    <w:p>
      <w:pPr>
        <w:spacing w:after="0" w:line="68"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f)  the sale or issuance of or entry into an agreement to sell or issue ordinary shares or securities convertible into or exercisable for ordinary shares in connection with any (i) mergers, (ii) acquisition of securities, businesses, property, technologies or other assets, (iii) joint ventures,</w:t>
      </w:r>
    </w:p>
    <w:p>
      <w:pPr>
        <w:ind w:left="560" w:hanging="4"/>
        <w:spacing w:after="0" w:line="253" w:lineRule="auto"/>
        <w:tabs>
          <w:tab w:leader="none" w:pos="8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alliances, commercial relationships or other collaborations, or (v) the assumption of employee benefit plans in connection with mergers or acquisitions; provided that the aggregate number of ordinary shares or securities convertible into or exercisable for ordinary shares that we may sell or issue or agree to sell or issue shall not exceed 10% of the total number of ordinary shares immediately following the completion of this offering.</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directors and officers have agreed that, without the prior written consent of the representatives, they will not, and will not publicly disclose an intention to, during the restricted period: (1) 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 (2) enter into any swap or other arrangement that transfers to another, in whole or in part, any of the economic consequences of ownership of the ordinary shares, or (3) make any demand for or exercise any right with respect to the registration of any ordinary shares or any security convertible into or exercisable or exchangeable for ordinary shares. These restrictions do not apply in certain circumstances, subject to certain limitations and conditions set forth in the lock-up agreements, including:</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registration of the offer and sale of ordinary shares pursuant to the underwriting agreement;</w:t>
      </w:r>
    </w:p>
    <w:p>
      <w:pPr>
        <w:spacing w:after="0" w:line="117" w:lineRule="exact"/>
        <w:rPr>
          <w:sz w:val="20"/>
          <w:szCs w:val="20"/>
          <w:color w:val="auto"/>
        </w:rPr>
      </w:pPr>
    </w:p>
    <w:p>
      <w:pPr>
        <w:jc w:val="both"/>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b)  transactions relating to ordinary shares or other securities acquired in this offering or open market transactions after the completion of this offering;</w:t>
      </w:r>
    </w:p>
    <w:p>
      <w:pPr>
        <w:spacing w:after="0" w:line="54" w:lineRule="exact"/>
        <w:rPr>
          <w:sz w:val="20"/>
          <w:szCs w:val="20"/>
          <w:color w:val="auto"/>
        </w:rPr>
      </w:pPr>
    </w:p>
    <w:p>
      <w:pPr>
        <w:ind w:left="560" w:right="40" w:firstLine="423"/>
        <w:spacing w:after="0" w:line="282" w:lineRule="auto"/>
        <w:rPr>
          <w:sz w:val="20"/>
          <w:szCs w:val="20"/>
          <w:color w:val="auto"/>
        </w:rPr>
      </w:pPr>
      <w:r>
        <w:rPr>
          <w:rFonts w:ascii="Times New Roman" w:cs="Times New Roman" w:eastAsia="Times New Roman" w:hAnsi="Times New Roman"/>
          <w:sz w:val="18"/>
          <w:szCs w:val="18"/>
          <w:color w:val="auto"/>
        </w:rPr>
        <w:t>c)  transfers of ordinary shares or any security convertible into ordinary shares as a bona fide gift or gifts or by will, testamentary document or intestate succession;</w:t>
      </w:r>
    </w:p>
    <w:p>
      <w:pPr>
        <w:spacing w:after="0" w:line="54" w:lineRule="exact"/>
        <w:rPr>
          <w:sz w:val="20"/>
          <w:szCs w:val="20"/>
          <w:color w:val="auto"/>
        </w:rPr>
      </w:pPr>
    </w:p>
    <w:p>
      <w:pPr>
        <w:ind w:left="560" w:right="460" w:firstLine="423"/>
        <w:spacing w:after="0" w:line="282" w:lineRule="auto"/>
        <w:rPr>
          <w:sz w:val="20"/>
          <w:szCs w:val="20"/>
          <w:color w:val="auto"/>
        </w:rPr>
      </w:pPr>
      <w:r>
        <w:rPr>
          <w:rFonts w:ascii="Times New Roman" w:cs="Times New Roman" w:eastAsia="Times New Roman" w:hAnsi="Times New Roman"/>
          <w:sz w:val="18"/>
          <w:szCs w:val="18"/>
          <w:color w:val="auto"/>
        </w:rPr>
        <w:t>d)  distributions of ordinary shares or any security convertible into ordinary shares to limited partners, members, trust beneficiaries or stockholders of such director, officer or holder;</w:t>
      </w:r>
    </w:p>
    <w:p>
      <w:pPr>
        <w:spacing w:after="0" w:line="54" w:lineRule="exact"/>
        <w:rPr>
          <w:sz w:val="20"/>
          <w:szCs w:val="20"/>
          <w:color w:val="auto"/>
        </w:rPr>
      </w:pPr>
    </w:p>
    <w:p>
      <w:pPr>
        <w:jc w:val="both"/>
        <w:ind w:left="560" w:right="180" w:firstLine="423"/>
        <w:spacing w:after="0" w:line="266" w:lineRule="auto"/>
        <w:rPr>
          <w:sz w:val="20"/>
          <w:szCs w:val="20"/>
          <w:color w:val="auto"/>
        </w:rPr>
      </w:pPr>
      <w:r>
        <w:rPr>
          <w:rFonts w:ascii="Times New Roman" w:cs="Times New Roman" w:eastAsia="Times New Roman" w:hAnsi="Times New Roman"/>
          <w:sz w:val="18"/>
          <w:szCs w:val="18"/>
          <w:color w:val="auto"/>
        </w:rPr>
        <w:t>e)  if such director, officer or holder is a corporation, partnership, limited liability company, trust or other business entity, to any direct or indirect affiliate (as defined in Rule 405 promulgated under the Securities Act) of such party or any investment fund or other entity controlled or managed by, or under common control or management with, such party or any investment fund or other entity that controls such party;</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solely by operation of law, pursuant to a qualified domestic order or in connection with a divorce settlement;</w:t>
      </w:r>
    </w:p>
    <w:p>
      <w:pPr>
        <w:spacing w:after="0" w:line="117" w:lineRule="exact"/>
        <w:rPr>
          <w:sz w:val="20"/>
          <w:szCs w:val="20"/>
          <w:color w:val="auto"/>
        </w:rPr>
      </w:pPr>
    </w:p>
    <w:p>
      <w:pPr>
        <w:ind w:left="560" w:right="280" w:firstLine="423"/>
        <w:spacing w:after="0" w:line="266" w:lineRule="auto"/>
        <w:rPr>
          <w:sz w:val="20"/>
          <w:szCs w:val="20"/>
          <w:color w:val="auto"/>
        </w:rPr>
      </w:pPr>
      <w:r>
        <w:rPr>
          <w:rFonts w:ascii="Times New Roman" w:cs="Times New Roman" w:eastAsia="Times New Roman" w:hAnsi="Times New Roman"/>
          <w:sz w:val="18"/>
          <w:szCs w:val="18"/>
          <w:color w:val="auto"/>
        </w:rPr>
        <w:t>g)  to any trust for the direct or indirect benefit of the undersigned or the immediate family of such party (for purposes of this agreement “immediate family” shall mean any relationship by blood, marriage or adoption, not more remote than first cousin), provided that any such transfer shall not involve a disposition for value;</w:t>
      </w:r>
    </w:p>
    <w:p>
      <w:pPr>
        <w:spacing w:after="0" w:line="68"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 xml:space="preserve">h)  facilitating the establishment of a trading plan on behalf of a shareholder, officer or director of us pursuant to Rule 10b5-1 under the Exchange Act for the transfer of ordinary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plan does not provide for the transfer of ordinary shares during the restricted period and to the extent a public announcement or filing under the Exchange Act, if any, is required of or voluntarily made by or on behalf of such party or us regarding the establishment of such plan, such announcement or filing shall include a statement to the effect that no transfer of ordinary shares may be made under such plan during the restricted period;</w:t>
      </w:r>
    </w:p>
    <w:p>
      <w:pPr>
        <w:spacing w:after="0" w:line="75" w:lineRule="exact"/>
        <w:rPr>
          <w:sz w:val="20"/>
          <w:szCs w:val="20"/>
          <w:color w:val="auto"/>
        </w:rPr>
      </w:pPr>
    </w:p>
    <w:p>
      <w:pPr>
        <w:ind w:left="560" w:right="80" w:firstLine="423"/>
        <w:spacing w:after="0" w:line="254" w:lineRule="auto"/>
        <w:rPr>
          <w:sz w:val="20"/>
          <w:szCs w:val="20"/>
          <w:color w:val="auto"/>
        </w:rPr>
      </w:pPr>
      <w:r>
        <w:rPr>
          <w:rFonts w:ascii="Times New Roman" w:cs="Times New Roman" w:eastAsia="Times New Roman" w:hAnsi="Times New Roman"/>
          <w:sz w:val="18"/>
          <w:szCs w:val="18"/>
          <w:color w:val="auto"/>
        </w:rPr>
        <w:t xml:space="preserve">i)  transfers to us of ordinary shares or any security convertible into ordinary shares in connection with the “net” or “cashless” exercise of options or warrants or the vesting, exercise or settlement of any other equity-based award during the restricted period, in each case, granted pursuant to our equity incentive plans described in this prospectus supplement and the accompanying prospectus, including any ordinary shares withheld by us or any of our subsidiaries to pay the applicable exercise price or withholding taxes associated with such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 the restrictions contained in this agreement shall apply to ordinary shares issued upon such exercise, conversion, vesting or settlement and (ii) for any options or other awards that expire, vest or become settled during the restricted period while we are unable to transfer shares for purposes of satisfying any tax or other governmental withholding obligations, the restrictions contained in this agreement shall not apply to shares sold or otherwise withheld for that purpose;</w:t>
      </w:r>
    </w:p>
    <w:p>
      <w:pPr>
        <w:spacing w:after="0" w:line="84" w:lineRule="exact"/>
        <w:rPr>
          <w:sz w:val="20"/>
          <w:szCs w:val="20"/>
          <w:color w:val="auto"/>
        </w:rPr>
      </w:pPr>
    </w:p>
    <w:p>
      <w:pPr>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 xml:space="preserve">j)  pursuant to a bona fide third-party tender offer, merger, consolidation or other similar transaction made to all holders of our securities involving a change of control of us and approved by our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consolidation or other such transaction 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not completed, such securities held by the undersigned shall remain subject to the provisions of this agreement (for purposes hereof “change of control” shall mean the transfer, whether by tender offer, merger, consolidation, spin-off or other such transaction, in one transaction or a series of related transactions, to a person or group of affiliated persons (other than an underwriter pursuant to this offering), of our voting securities if, after such transfer, such person or group of affiliated persons would hold more than 50% of the outstanding voting securities of us (or the surviving entity));</w:t>
      </w:r>
    </w:p>
    <w:p>
      <w:pPr>
        <w:spacing w:after="0" w:line="75" w:lineRule="exact"/>
        <w:rPr>
          <w:sz w:val="20"/>
          <w:szCs w:val="20"/>
          <w:color w:val="auto"/>
        </w:rPr>
      </w:pPr>
    </w:p>
    <w:p>
      <w:pPr>
        <w:ind w:left="560" w:right="380" w:firstLine="423"/>
        <w:spacing w:after="0" w:line="282" w:lineRule="auto"/>
        <w:rPr>
          <w:sz w:val="20"/>
          <w:szCs w:val="20"/>
          <w:color w:val="auto"/>
        </w:rPr>
      </w:pPr>
      <w:r>
        <w:rPr>
          <w:rFonts w:ascii="Times New Roman" w:cs="Times New Roman" w:eastAsia="Times New Roman" w:hAnsi="Times New Roman"/>
          <w:sz w:val="18"/>
          <w:szCs w:val="18"/>
          <w:color w:val="auto"/>
        </w:rPr>
        <w:t>k)  to us pursuant to arrangements under which we have the option to repurchase such party’s ordinary shares, which arrangements are described in this prospectus supplement and the accompanying prospectus; and</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   transfers made with the prior written consent of the representatives.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ordinary shares and other securities subject to the lock-up agreements described above in whole or in part at any time.</w:t>
      </w:r>
    </w:p>
    <w:p>
      <w:pPr>
        <w:spacing w:after="0" w:line="16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ordinary shares, the underwriters may engage in transactions that stabilize, maintain or otherwise affect the price of the ordinary shares.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A naked short position is more likely to be created if the underwriters are concerned that there may be downward pressure on the price of the ordinary shares in the open market after pricing that could adversely affect investors who purchase in this offering. As an additional means of facilitating this offering, the underwriters may bid for, and purchase, ordinary shares in the open market to stabilize the price of the ordinary shares. These activities may raise or maintain the market price of the ordinary shares above independent market levels or prevent or retard a decline in the market price of the ordinary shares. The underwriters are not required to engage in these activities and may end any of these activities at any time.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websites maintained by one or more underwriters, or selling group members, if any, participating in this offering. The representatives may agree to allocate to the underwriters a number of ordinary shares for sale to their online brokerage account holders. Internet distributions will be allocated on the same basis as other allocations.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For example, we are party to a sales agreement with Leerink Partners LLC pursuant to which we may offer and sell ordinary shares having an aggregate offering price of up to $175.0 million from time to time in “at-the-market” offerings.</w:t>
      </w:r>
    </w:p>
    <w:p>
      <w:pPr>
        <w:spacing w:after="0" w:line="187"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ordinary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ordinary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None of this prospectus supplement, the accompanying prospectus or any related free writing prospectus is a prospectus for the purposes of Regulation (EU) 2017/1129, as amended (the “Prospectus Regulation”). This prospectus supplement, the accompanying prospectus and any related free writing prospectus have been prepared on the basis that any offer of ordinary shares in any Member State of the European Economic Area (the “EEA”) (each, a “Relevant State”) will be made pursuant to an exemption under the Prospectus Regulation from the requirement to publish a prospectus for offers of ordinary shares. Accordingly, any person making or intending to make an offer in any Relevant State of ordinary shares which are the subject of the offering contemplated in this prospectus supplement, the accompanying prospectus and any related free writing prospectus may only do so in circumstances in which no obligation arises for us or any of the underwriters to publish a prospectus pursuant to Article 3 of the Prospectus Regulation in relation to such offer. Neither we nor the underwriters have authorized, nor do we or they authorize, the making of any offer of ordinary shares in the EEA in circumstances in which an obligation arises for us or the underwriters to publish a prospectus for such offer.</w:t>
      </w:r>
    </w:p>
    <w:p>
      <w:pPr>
        <w:spacing w:after="0" w:line="188" w:lineRule="exact"/>
        <w:rPr>
          <w:sz w:val="20"/>
          <w:szCs w:val="20"/>
          <w:color w:val="auto"/>
        </w:rPr>
      </w:pPr>
    </w:p>
    <w:p>
      <w:pPr>
        <w:ind w:left="120" w:right="40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Relevant State, no ordinary shares which are the subject of the offering contemplated by this prospectus supplement, the accompanying prospectus or any related free writing prospectus have been offered or will be offered to the public in that Relevant State prior to the publication of a prospectus in relation to such ordinary shares which has been approved by the competent authority in that Relevant State or, where appropriate, approved in each applicable Relevant State and notified to the competent authority in each Relevant State, all in accordance with the Prospectus Regulation, except that such ordinary shares may be offered to the public in that Relevant State at any time:</w:t>
      </w:r>
    </w:p>
    <w:p>
      <w:pPr>
        <w:spacing w:after="0" w:line="89" w:lineRule="exact"/>
        <w:rPr>
          <w:sz w:val="20"/>
          <w:szCs w:val="20"/>
          <w:color w:val="auto"/>
        </w:rPr>
      </w:pPr>
    </w:p>
    <w:p>
      <w:pPr>
        <w:ind w:left="5460" w:right="2360" w:hanging="4804"/>
        <w:spacing w:after="0" w:line="454" w:lineRule="auto"/>
        <w:tabs>
          <w:tab w:leader="none" w:pos="13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 S-25</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300" w:right="48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relevant underwriters nominated by us for any such offer; or</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ordinary shares shall require us or any underwriter to publish a prospectus pursuant to Article 3 of the Prospectus Regulation.</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Each person who initially acquires any ordinary shares or to whom any offer is made will be deemed to have represented, acknowledged and agreed to and with each of the underwriters and us that it is a “qualified investor” as defined in the Prospectus Regulation.</w:t>
      </w:r>
    </w:p>
    <w:p>
      <w:pPr>
        <w:spacing w:after="0" w:line="162"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In the case of any ordinary shares being offered to a financial intermediary as that term is used in Article 5(1) of the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of any ordinary shares to the public other than their offer or resale in a Relevant State to qualified investors as so defined in the Prospectus Regulation or in circumstances in which the prior consent of the underwriters has been obtained to each such proposed offer or resale.</w:t>
      </w:r>
    </w:p>
    <w:p>
      <w:pPr>
        <w:spacing w:after="0" w:line="16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“offered to the public” in relation to any ordinary shares in any Relevant State means the communication in any form and by any means of sufficient information on the terms of the offer and the ordinary shares to be offered so as to enable an investor to decide to purchase or subscribe for any ordinary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United Kingdom, none of this prospectus supplement, the accompanying prospectus and any related free writing prospectus is a prospectus for the purposes of Regulation (EU) 2017/1129 as it forms part of domestic law in the United Kingdom (the “UK Prospectus Regulation”). This prospectus supplement, the accompanying prospectus and any related free writing prospectus have been prepared on the basis that any offer of ordinary shares in the United Kingdom will be made pursuant to an exemption under the UK Prospectus Regulation from the requirement to publish a prospectus for offers of ordinary shares. Accordingly, any person making or intending to make an offer in the United Kingdom of ordinary shares which are the subject of the offering contemplated in this prospectus supplement, the accompanying prospectus and any related free writing prospectus may only do so in circumstances in which no obligation arises for us or any of the underwriters to publish a prospectus pursuant to Section 85 of the United Kingdom’s Financial Services and Markets Act 2000, as amended (the “FSMA”) in relation to such offer. Neither we nor the underwriters have authorized, nor do we or they authorize, the making of any offer of the ordinary shares in the United Kingdom in circumstances in which an obligation arises for us or the underwriters to publish a prospectus for such offer.</w:t>
      </w:r>
    </w:p>
    <w:p>
      <w:pPr>
        <w:spacing w:after="0" w:line="194"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communication of this prospectus supplement, the accompanying prospectus, any related free writing prospectus and any other document or materials relating to the issue of the ordinary shares offered hereby is not being made, and this prospectus supplement, the accompanying prospectus, any related free writing prospectus and such other documents and/or materials have not been approved, by an authorized person for the purposes of section 21 of the FSMA. Accordingly, this prospectus supplement, the accompanying prospectus, any related free writing prospectus, and such other documents and/or materials are not being distributed to, and must not be passed on to, the general public in the United Kingdom. This prospectus supplement, the accompanying prospectus, any related free writing prospectus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Article 49(2)(a) to (d) of the Financial Promotion Order, (iii) are outside the United Kingdom, or (iv) are other persons to whom it may otherwise lawfully be communicated or distributed under the Financial Promotion Order (all such persons together being referred to as “relevant persons”). This prospectus supplement, the accompanying prospectus, any related free writing prospectus and any such other documents and/or materials are directed only at relevant persons and must not be acted on or relied on by persons who are not relevant persons. Any investment or investment activity to which this prospectus supplement, the accompany prospectus, any related free writing prospectus and any such other documents and/or materials relate will be engaged in only with relevant persons. Any person in the United Kingdom that is not a relevant person should not act or rely on this prospectus supplement, the accompanying prospectus, any related free writing prospectus or any other documents and/or materials relating to the issue of the ordinary shares offered hereby or any of their contents.</w:t>
      </w:r>
    </w:p>
    <w:p>
      <w:pPr>
        <w:spacing w:after="0" w:line="192"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Any invitation or inducement to engage in investment activity (within the meaning of Section 21 of the FSMA) in connection with the issue or sale of the ordinary shares may only be communicated or caused to be communicated in circumstances in which Section 21(1) of the FSMA does not apply to us.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All applicable provisions of the FSMA must be complied with in respect to anything done by any person in relation to the ordinary shares in, from or otherwise involving the United Kingdom.</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No ordinary shares which are the subject of the offering contemplated by this prospectus supplement or any related free writing prospectus have been offered or will be offered to the public in the United Kingdom prior to the publication of a prospectus in relation to such ordinary shares which has been approved by the United Kingdom’s Financial Conduct Authority, except that such ordinary shares may be offered to the public in the United Kingdom at any time:</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to any legal entity which is a qualified investor as defined under Article 2 of the UK Prospectus Regulation;</w:t>
      </w:r>
    </w:p>
    <w:p>
      <w:pPr>
        <w:spacing w:after="0" w:line="117" w:lineRule="exact"/>
        <w:rPr>
          <w:sz w:val="20"/>
          <w:szCs w:val="20"/>
          <w:color w:val="auto"/>
        </w:rPr>
      </w:pPr>
    </w:p>
    <w:p>
      <w:pPr>
        <w:ind w:left="560" w:right="140" w:firstLine="423"/>
        <w:spacing w:after="0" w:line="282" w:lineRule="auto"/>
        <w:rPr>
          <w:sz w:val="20"/>
          <w:szCs w:val="20"/>
          <w:color w:val="auto"/>
        </w:rPr>
      </w:pPr>
      <w:r>
        <w:rPr>
          <w:rFonts w:ascii="Times New Roman" w:cs="Times New Roman" w:eastAsia="Times New Roman" w:hAnsi="Times New Roman"/>
          <w:sz w:val="18"/>
          <w:szCs w:val="18"/>
          <w:color w:val="auto"/>
        </w:rPr>
        <w:t>(b)  to fewer than 150 natural or legal persons (other than qualified investors as defined under Article 2 of the UK Prospectus Regulation) in the United Kingdom, subject to obtaining the prior consent of the relevant underwriters nominated by us for any such offer; or</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in any other circumstances falling within Section 86 of the FSMA,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provided that no such offer of the ordinary shares shall require us or any underwriter to publish a prospectus pursuant to Section 85 of the FSMA.</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Each person who initially acquires any ordinary shares or to whom any offer is made will be deemed to have represented, acknowledged and agreed to and with each of the underwriters and us that it is a “qualified investor” as defined in the UK Prospectus Regulation.</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the case of any ordinary shares being offered to a financial intermediary as that term is used in Article 5(1) of the UK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of any ordinary shares to the public other than their offer or resale in the United Kingdom to qualified investors as so defined in the UK Prospectus Regulation or in circumstances in which the prior consent of the underwriters has been obtained to each such proposed offer or resale.</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“offered to the public” in relation to any ordinary shares means the communication in any form and by any means of sufficient information on the terms of the offer and the ordinary shares to be offered so as to enable an investor to decide to purchase or subscribe for any ordinary shares.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jc w:val="both"/>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Our ordinary shares have not been and will not be offered or sold in Hong Kong by means of any document other than (i) in circumstances which do not constitute an offer to the public within the meaning of the Companies (Winding Up and Miscellaneous Provisions) Ordinance (Cap.32, Laws of Hong Kong) (the “C(WUMP)O”), (ii) to “professional investors” as defined in the Securities and Futures Ordinance (Cap.571, Laws of Hong Kong)</w:t>
      </w:r>
    </w:p>
    <w:p>
      <w:pPr>
        <w:spacing w:after="0" w:line="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“SFO”) and any rules made thereunder or (iii) in other circumstances which do not result in the document being a “prospectus” as defined in the C(WUMP)O. No advertisement, invitation or document relating to our ordinary shares have been or will be issued or has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our ordinary shares which are or are intended to be disposed of only to persons outside Hong Kong or only to “professional investors” as defined in of the SFO and any rules made thereunder.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ordinary shares.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Accordingly, the ordinary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or QII</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ordinary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ordinary shares. The ordinary shares may only be transferred to QIIs.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ordinary shares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ordinary shares. The ordinary shares may only be transferred en bloc without subdivision to a single investor.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has not been and will not be registered as a prospectus under the Securities and Futures Act 2001 (the “SFA”) by the Monetary Authority of Singapore, and the offer of our ordinary shares in Singapore is made primarily pursuant to the exemptions under Section 274 and 275 of the SFA. Accordingly, this prospectus supplement, the accompanying prospectus and any other document or material in connection with the offer or sale, or invitation for subscription or purchase, of our ordinary shares may not be circulated or distributed, nor may our ordinary shares be offered or sold, or be made the subject of an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It is a condition of the offer that where our ordinary shares are subscribed for or acquired pursuant to an offer made in reliance on Section 275 of the SFA by a Relevant Person which is:</w:t>
      </w:r>
    </w:p>
    <w:p>
      <w:pPr>
        <w:spacing w:after="0" w:line="54" w:lineRule="exact"/>
        <w:rPr>
          <w:sz w:val="20"/>
          <w:szCs w:val="20"/>
          <w:color w:val="auto"/>
        </w:rPr>
      </w:pPr>
    </w:p>
    <w:p>
      <w:pPr>
        <w:ind w:left="560" w:right="300" w:firstLine="423"/>
        <w:spacing w:after="0" w:line="282" w:lineRule="auto"/>
        <w:rPr>
          <w:sz w:val="20"/>
          <w:szCs w:val="20"/>
          <w:color w:val="auto"/>
        </w:rPr>
      </w:pPr>
      <w:r>
        <w:rPr>
          <w:rFonts w:ascii="Times New Roman" w:cs="Times New Roman" w:eastAsia="Times New Roman" w:hAnsi="Times New Roman"/>
          <w:sz w:val="18"/>
          <w:szCs w:val="18"/>
          <w:color w:val="auto"/>
        </w:rPr>
        <w:t>(a)  a corporation (which is not an Accredited Investor), the sole business of which is to hold investments and the entire share capital of which is owned by one or more individuals, each of whom is an Accredited Investor; or</w:t>
      </w:r>
    </w:p>
    <w:p>
      <w:pPr>
        <w:spacing w:after="0" w:line="54" w:lineRule="exact"/>
        <w:rPr>
          <w:sz w:val="20"/>
          <w:szCs w:val="20"/>
          <w:color w:val="auto"/>
        </w:rPr>
      </w:pPr>
    </w:p>
    <w:p>
      <w:pPr>
        <w:ind w:left="560" w:right="220" w:firstLine="423"/>
        <w:spacing w:after="0" w:line="282" w:lineRule="auto"/>
        <w:rPr>
          <w:sz w:val="20"/>
          <w:szCs w:val="20"/>
          <w:color w:val="auto"/>
        </w:rPr>
      </w:pPr>
      <w:r>
        <w:rPr>
          <w:rFonts w:ascii="Times New Roman" w:cs="Times New Roman" w:eastAsia="Times New Roman" w:hAnsi="Times New Roman"/>
          <w:sz w:val="18"/>
          <w:szCs w:val="18"/>
          <w:color w:val="auto"/>
        </w:rPr>
        <w:t>(b)  a trust (where the trustee is not an Accredited Investor), the sole purpose of which is to hold investments and each beneficiary of the trust is an individual who is an Accredited Investor,</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as defined in Section 2(1) of the SFA) of that corporation and the beneficiaries’ rights and interest (howsoever described) in that trust shall not be transferred within six months after that corporation or that trust has subscribed for or acquired our ordinary shares except:</w:t>
      </w:r>
    </w:p>
    <w:p>
      <w:pPr>
        <w:spacing w:after="0" w:line="68"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1.  to an Institutional Investor, an Accredited Investor, a Relevant Person, or which arises from an offer referred to in Section 275(1A) of the SFA (in the case of that corporation) or Section 276(4)(c)(ii) of the SFA (in the case of that trust);</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2.   where no consideration is or will be given for the transfer;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where the transfer is by operation of law;</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4.   as specified in Section 276(7) of the SFA; or</w:t>
      </w:r>
    </w:p>
    <w:p>
      <w:pPr>
        <w:spacing w:after="0" w:line="117" w:lineRule="exact"/>
        <w:rPr>
          <w:sz w:val="20"/>
          <w:szCs w:val="20"/>
          <w:color w:val="auto"/>
        </w:rPr>
      </w:pPr>
    </w:p>
    <w:p>
      <w:pPr>
        <w:ind w:left="560" w:right="540" w:firstLine="423"/>
        <w:spacing w:after="0" w:line="282" w:lineRule="auto"/>
        <w:rPr>
          <w:sz w:val="20"/>
          <w:szCs w:val="20"/>
          <w:color w:val="auto"/>
        </w:rPr>
      </w:pPr>
      <w:r>
        <w:rPr>
          <w:rFonts w:ascii="Times New Roman" w:cs="Times New Roman" w:eastAsia="Times New Roman" w:hAnsi="Times New Roman"/>
          <w:sz w:val="18"/>
          <w:szCs w:val="18"/>
          <w:color w:val="auto"/>
        </w:rPr>
        <w:t>5.  as specified in Regulation 37A of the Securities and Futures (Offers of Investments) (Securities and Securities-based Derivatives Contracts) Regulations 2018.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ordinary shares may not be publicly offered, directly or indirectly, in Switzerland within the meaning of the Swiss Financial Services Act (“FinSA”) and no application has or will be made to admit the ordinary shares to trading on any trading venue (exchange or multilateral trading facility) in Switzerland. Neither this prospectus supplement, the accompanying prospectus nor any other offering or marketing material relating to the ordinary shares constitute a prospectus pursuant to the FinSA, and neither this prospectus supplement, the accompanying prospectus nor any other offering or marketing material relating to the ordinary shares may be publicly distributed or otherwise made publicly available in Switzerland.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ordinary shares and certain other matters of Dutch law will be passed upon for us by NautaDutilh N.V. Certain other matters of U.S. federal and New York State law will be passed upon for us by Kirkland &amp; Ellis LLP, New York, New York. Sidley Austin LLP, San Francisco, California, and Loyens &amp; Loeff N.V., Amsterdam, The Netherlands are counsel to the underwriters in connection with this offering.</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20-F for the year ended December 31, 2024 have been so incorporated in reliance on the report of PricewaterhouseCoopers Accountants N.V., an independent registered public accounting firm, given on the authority of said firm as experts in auditing and accounting.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filed with the U.S. Securities and Exchange Commission a registration statement (including amendments and exhibits to the registration statement) on Form F-3 under the Securities Act. Our SEC filings are available to the public over the Internet at the SEC’s website at http://www.sec.gov. Copies of certain information filed by us with the SEC are also available on our website at http://www.pharvaris.com. Our website is not a part of this prospectus supplement and is not incorporated by reference in this prospectus supplement.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020"/>
          </w:cols>
          <w:pgMar w:left="320" w:top="455" w:right="5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or incorporated by reference subsequent to the date of this prospectus supplement.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the following documents or information that we have filed with the SEC:</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3">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7, 2025.</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3"/>
        </w:numPr>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auto"/>
          </w:rPr>
          <w:t xml:space="preserve">Our Current Reports on Form 6-K, filed on </w:t>
        </w:r>
        <w:r>
          <w:rPr>
            <w:rFonts w:ascii="Times New Roman" w:cs="Times New Roman" w:eastAsia="Times New Roman" w:hAnsi="Times New Roman"/>
            <w:sz w:val="18"/>
            <w:szCs w:val="18"/>
            <w:u w:val="single" w:color="auto"/>
            <w:color w:val="0000EE"/>
          </w:rPr>
          <w:t>January 13, 2025</w:t>
        </w:r>
        <w:r>
          <w:rPr>
            <w:rFonts w:ascii="Times New Roman" w:cs="Times New Roman" w:eastAsia="Times New Roman" w:hAnsi="Times New Roman"/>
            <w:sz w:val="18"/>
            <w:szCs w:val="18"/>
            <w:color w:val="auto"/>
          </w:rPr>
          <w:t xml:space="preserve"> (other than Exhibit 99.2), </w:t>
        </w:r>
        <w:r>
          <w:rPr>
            <w:rFonts w:ascii="Times New Roman" w:cs="Times New Roman" w:eastAsia="Times New Roman" w:hAnsi="Times New Roman"/>
            <w:sz w:val="18"/>
            <w:szCs w:val="18"/>
            <w:u w:val="single" w:color="auto"/>
            <w:color w:val="0000EE"/>
          </w:rPr>
          <w:t>May 13, 2025</w:t>
        </w:r>
        <w:r>
          <w:rPr>
            <w:rFonts w:ascii="Times New Roman" w:cs="Times New Roman" w:eastAsia="Times New Roman" w:hAnsi="Times New Roman"/>
            <w:sz w:val="18"/>
            <w:szCs w:val="18"/>
            <w:color w:val="auto"/>
          </w:rPr>
          <w:t xml:space="preserve"> (other than Exhibit 99.1), </w:t>
        </w:r>
        <w:r>
          <w:rPr>
            <w:rFonts w:ascii="Times New Roman" w:cs="Times New Roman" w:eastAsia="Times New Roman" w:hAnsi="Times New Roman"/>
            <w:sz w:val="18"/>
            <w:szCs w:val="18"/>
            <w:u w:val="single" w:color="auto"/>
            <w:color w:val="0000EE"/>
          </w:rPr>
          <w:t>June 10,</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Exhibit 99.4) and</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June 27, 2025</w:t>
        </w:r>
      </w:hyperlink>
      <w:hyperlink r:id="rId54">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080" w:right="30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Form 8-A filed with the SEC on </w:t>
      </w:r>
      <w:hyperlink r:id="rId56">
        <w:r>
          <w:rPr>
            <w:rFonts w:ascii="Times New Roman" w:cs="Times New Roman" w:eastAsia="Times New Roman" w:hAnsi="Times New Roman"/>
            <w:sz w:val="18"/>
            <w:szCs w:val="18"/>
            <w:u w:val="single" w:color="auto"/>
            <w:color w:val="0000EE"/>
          </w:rPr>
          <w:t>February 4, 2021</w:t>
        </w:r>
      </w:hyperlink>
      <w:r>
        <w:rPr>
          <w:rFonts w:ascii="Times New Roman" w:cs="Times New Roman" w:eastAsia="Times New Roman" w:hAnsi="Times New Roman"/>
          <w:sz w:val="18"/>
          <w:szCs w:val="18"/>
          <w:color w:val="auto"/>
        </w:rPr>
        <w:t xml:space="preserve">, as updated by the description of our ordinary shares filed as </w:t>
      </w:r>
      <w:hyperlink r:id="rId57">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20-F for the fiscal year ended December 31, 2024.</w:t>
      </w:r>
    </w:p>
    <w:p>
      <w:pPr>
        <w:spacing w:after="0" w:line="176"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on or after the date of this prospectus supplement and prior to termination or expiration of this registration statement shall be deemed incorporated by reference into this prospectus supplement and to be part hereof from the date of filing of such documents. We may incorporate by reference any Form 6-K subsequently submitted to the SEC by identifying in such Form 6-K that it is being incorporated by reference into this prospectus supplement.</w:t>
      </w:r>
    </w:p>
    <w:p>
      <w:pPr>
        <w:spacing w:after="0" w:line="180" w:lineRule="exact"/>
        <w:rPr>
          <w:rFonts w:ascii="Times New Roman" w:cs="Times New Roman" w:eastAsia="Times New Roman" w:hAnsi="Times New Roman"/>
          <w:sz w:val="18"/>
          <w:szCs w:val="18"/>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Documents incorporated by reference in this prospectus supplement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Emmy Noetherweg 2, 2333 BK Leiden, The Netherlands or via telephone at +31</w:t>
      </w:r>
    </w:p>
    <w:p>
      <w:pPr>
        <w:spacing w:after="0" w:line="2"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(0)71 203 6410.</w:t>
      </w:r>
    </w:p>
    <w:p>
      <w:pPr>
        <w:spacing w:after="0" w:line="13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32"/>
          <w:szCs w:val="32"/>
          <w:b w:val="1"/>
          <w:bCs w:val="1"/>
          <w:color w:val="auto"/>
        </w:rPr>
        <w:t>Ordinary shares, Debt Securities, Warrants, Purchase Contracts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182245</wp:posOffset>
            </wp:positionV>
            <wp:extent cx="2177415" cy="360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217741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Pharvaris N.V.</w:t>
      </w:r>
    </w:p>
    <w:p>
      <w:pPr>
        <w:spacing w:after="0" w:line="2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(incorporated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offer, from time to time, in one or more offerings, ordinary shares, senior debt securities, subordinated debt securities, warrants, purchase contracts or units, which we collectively refer to as the “securities.”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as well as the documents incorporated by reference herein or therein, carefully before you make your investment decision.</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37 of this prospectus.</w:t>
      </w:r>
    </w:p>
    <w:p>
      <w:pPr>
        <w:spacing w:after="0" w:line="172"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READ THIS PROSPECTUS AND ANY SUPPLEMENT TO THIS PROSPECTUS CAREFULLY BEFORE YOU INVEST.</w:t>
      </w:r>
    </w:p>
    <w:p>
      <w:pPr>
        <w:spacing w:after="0" w:line="15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Global Select Market under the symbol “PHVS.” On April 11, 2024, the last sale price of our ordinary shares as reported by The Nasdaq Global Select Market was $22.31 per ordinary share.</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“foreign private issuer” as defined under the U.S. Securities and Exchange Commission and, as such, we have elected to comply with certain reduced public company reporting requirements for this prospectus supplement and future filings. Please see “Pharvaris N.V.—Implications of Being an “Emerging Growth Company” and a Foreign Private Issuer.”</w:t>
      </w:r>
    </w:p>
    <w:p>
      <w:pPr>
        <w:spacing w:after="0" w:line="172"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20" w:right="180"/>
        <w:spacing w:after="0" w:line="317"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7 of this prospectus. In addition, please review any additional risk factors in the accompanying prospectus supplement, any free writing prospectus and any documents we incorporate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191770</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12, 2024.</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any information other than that contained in or incorporated by reference in this prospectus and any related prospectus supplement we provide to you. We have not authorized anyone to provide you with different or additional information.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“Pharvaris” “the Company,” “our company,” “we,” “us” or “our” refer to Pharvaris N.V. and its subsidiaries.</w:t>
      </w: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6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00" w:type="dxa"/>
            <w:vAlign w:val="bottom"/>
          </w:tcPr>
          <w:p>
            <w:pPr>
              <w:spacing w:after="0"/>
              <w:rPr>
                <w:sz w:val="20"/>
                <w:szCs w:val="20"/>
                <w:color w:val="auto"/>
              </w:rPr>
            </w:pPr>
          </w:p>
        </w:tc>
      </w:tr>
      <w:tr>
        <w:trPr>
          <w:trHeight w:val="418"/>
        </w:trPr>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3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PHARVARIS N.V.</w:t>
            </w:r>
          </w:p>
        </w:tc>
        <w:tc>
          <w:tcPr>
            <w:tcW w:w="4140" w:type="dxa"/>
            <w:vAlign w:val="bottom"/>
            <w:gridSpan w:val="3"/>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3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120" w:type="dxa"/>
            <w:vAlign w:val="bottom"/>
            <w:gridSpan w:val="16"/>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880" w:type="dxa"/>
            <w:vAlign w:val="bottom"/>
            <w:gridSpan w:val="14"/>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57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SHARE CAPITAL AND ARTICLES OF ASSOCIATION</w:t>
            </w:r>
          </w:p>
        </w:tc>
        <w:tc>
          <w:tcPr>
            <w:tcW w:w="3760" w:type="dxa"/>
            <w:vAlign w:val="bottom"/>
            <w:gridSpan w:val="2"/>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COMPARISON OF DUTCH LAW AND OUR ARTICLES OF ASSOCIATION AND U.S. CORPORATE LAW</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30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100" w:type="dxa"/>
            <w:vAlign w:val="bottom"/>
            <w:tcBorders>
              <w:top w:val="single" w:sz="8" w:color="0000EE"/>
            </w:tcBorders>
            <w:gridSpan w:val="6"/>
          </w:tcPr>
          <w:p>
            <w:pPr>
              <w:spacing w:after="0"/>
              <w:rPr>
                <w:sz w:val="17"/>
                <w:szCs w:val="17"/>
                <w:color w:val="auto"/>
              </w:rPr>
            </w:pPr>
          </w:p>
        </w:tc>
        <w:tc>
          <w:tcPr>
            <w:tcW w:w="134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980" w:type="dxa"/>
            <w:vAlign w:val="bottom"/>
            <w:gridSpan w:val="9"/>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20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520" w:type="dxa"/>
            <w:vAlign w:val="bottom"/>
            <w:tcBorders>
              <w:top w:val="single" w:sz="8" w:color="0000EE"/>
            </w:tcBorders>
            <w:gridSpan w:val="6"/>
          </w:tcPr>
          <w:p>
            <w:pPr>
              <w:spacing w:after="0"/>
              <w:rPr>
                <w:sz w:val="17"/>
                <w:szCs w:val="17"/>
                <w:color w:val="auto"/>
              </w:rPr>
            </w:pPr>
          </w:p>
        </w:tc>
        <w:tc>
          <w:tcPr>
            <w:tcW w:w="5920" w:type="dxa"/>
            <w:vAlign w:val="bottom"/>
            <w:gridSpan w:val="6"/>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4280" w:type="dxa"/>
            <w:vAlign w:val="bottom"/>
            <w:gridSpan w:val="4"/>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27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ENFORCEMENT OF JUDGMENTS</w:t>
            </w:r>
          </w:p>
        </w:tc>
        <w:tc>
          <w:tcPr>
            <w:tcW w:w="6740" w:type="dxa"/>
            <w:vAlign w:val="bottom"/>
            <w:gridSpan w:val="8"/>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EXPENSES</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00" w:type="dxa"/>
            <w:vAlign w:val="bottom"/>
            <w:gridSpan w:val="15"/>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000" w:type="dxa"/>
            <w:vAlign w:val="bottom"/>
            <w:gridSpan w:val="15"/>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or the SEC, as a “well-known seasoned issuer” as defined in Rule 405 under the Securities Act of 1933, as amended, or the Securities Act. Under the automatic shelf process, we may offer and sell, from time to time, any combination of the securities described in this prospectus in one or more offerings.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pursuant to this prospectus, we will provide a prospectus supplement and/or free writing prospectus that will contain specific information about the terms of that offering, including amounts, prices and terms of the securities being offered. The prospectus supplement and/or free writing prospectus may also add, update or change information contained in this prospectus. Any statement made in this prospectus will be modified or superseded by any inconsistent statement made in a prospectus supplement and/or free writing prospectus. If there is any inconsistency between the information in this prospectus and the information in the prospectus supplement or free writing prospectus, you should rely on the information in the prospectus supplement or free writing prospectus, as the case may be. This prospectus may not be used to sell any securities unless accompanied by a prospectus supplement or free writing prospectus.</w:t>
      </w:r>
    </w:p>
    <w:p>
      <w:pPr>
        <w:spacing w:after="0" w:line="18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any prospectus supplement and free writing prospectus together with the additional information described herein under the heading “Where You Can Find More Information and “Incorporation of Certain Information by Reference.” We have not authorized any person to provide you with different information and we take no responsibility for, and can provide no assurance as to the reliability of, any other information that others may give you. We are not making an offer to sell these securities in any jurisdiction where the offer or sale is not permitted.</w:t>
      </w:r>
    </w:p>
    <w:p>
      <w:pPr>
        <w:spacing w:after="0" w:line="180"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You should not assume that the information in this prospectus, any accompanying prospectus supplement or free writing prospectus or any documents we incorporate by reference in this prospectus, any prospectus supplement and free writing prospectus is accurate as of any date other than the date on the front of those documents. Our business, financial condition, results of operations and prospects may have changed since that date.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not assume that the information contained in this prospectus is accurate as of any other date.</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file annual reports on Form 20-F, reports on Form 6-K, and other information with the SEC under the Securities Exchange Act of 1934, as amended, or the Exchange Act.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SEC also maintains an Internet site that contains reports and other information about issuers like us who file electronically with the SEC. The address of the 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managing directors and supervisory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financial statements and other documents incorporated by reference in this prospectus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and Section 21E of the Exchange Act. Many of the forward-looking statements contained in this prospectus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9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following represent some, but not necessarily all, of the factors that could cause actual results to differ from historical results or those anticipated or predicted by our forward-looking statements:</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progress, or success of our clinical development programs, especially for PHVS416 (immediate-release deucrictibant capsules) and PHVS719 (extended-release deucrictibant tablets), which are in late-stage global clinical trials;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the efficacy and safety demonstrated in the RAPIDe-1 and CHAPTER-1 Phase 2 study in ongoing and future nonclinical studies and clinical trials;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from epidemic diseases, such as the COVID-19 pandemic, which may adversely impact our business, nonclinical studies and clinical trials, the outcome and timing of regulatory approvals and the value of our ordinary shares;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and other limitations involved in obtaining regulatory approval for our product candidates PHVS416 and PHVS719 or any other product candidate that we may develop in the future;</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commercial capabilities or enter into agreements with third parties to market, sell and distribute our product candidates;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to perform critical activities related to the research, nonclinical safety and toxicology studies, development and manufacturing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and on acceptable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any new licensing agreements or to maintain any licensing agreements with respect to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collaboration partners and licensees, whose actions we cannot control;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private insurers and other payors to provide reimbursement for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the European Union and other jurisdictions;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 timing of price negotiations with governmental authorities;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pharmaceutical industry, including with respect to existing therapies, emerging potentially competitive therapies and with competitive generic products;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know-how and operate our business without infringing the intellectual property rights or regulatory exclusivity of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effects or adverse events associated with the use of our product candidates;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costly and damaging liability claims resulting from the testing of our product candidates in the clinic or, if, approved, any commercial sales;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sizes and anticipated uses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performance;</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anticipated operating losses, future revenues, expenses, capital requirements and our needs for additional financing;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or future laws and regulations in a cost-efficient manner;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negative consequences from changes in applicable laws and regulations, including tax laws;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remediate the material weaknesses in our internal control over financial reporting and to maintain an effective system of internal control over financial reporting;</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Jumpstart Our Business Startups Act, or the JOBS Act, or a foreign private issuer;</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uncertainty in general market, political and economic conditions, including as a result of inflation and the current conflict between Russia and Ukraine and the Hamas attack against Israel and the ensuing war;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herein under “Risk Factors” or incorporated herein by reference.</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bradykinin-B2-receptor antagonist for the treatment of hereditary angioedema, or HAE. Bradykinin-B2-receptor inhibition is a clinically validated mechanism for the treatment of HAE, as demonstrated by icatibant, which is a bradykinin-B2-receptor antagonist approved in Europe in 2008 and in the United States in 2011 (as FIRAZYR). We designed deucrictibant to improve upon the therapeutic profile of existing therapies and, through oral delivery, to provide patients with quality of life and ease-of-administration that is superior to current standard-of-care HAE treatments, which are injectables. We believe deucrictibant has the potential to provide a safe, effective and easy-to-administer option for both acute and prophylactic treatments of HAE, in the form of our PHVS416 (deucrictibant immediate-release (IR)) on-demand rapid exposure product candidate, and for prophylaxis of HAE, in the form of our PHVS719 (deucrictibant extended-release (ER)) small daily dose extended-release product candidate. We believe that our product candidates may address a broader range of angioedema attacks than other available treatments since deucrictibant blocks the actual signal that leads to angioedema (the interaction of bradykinin, or BK with the bradykinin-B2-receptor), rather than an upstream signal. By blocking the action of bradykinin, we can prevent its aberrant signaling regardless of the pathway that generates it.</w:t>
      </w:r>
    </w:p>
    <w:p>
      <w:pPr>
        <w:spacing w:after="0" w:line="19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our completed Phase 1 trials to date, we have observed that deucrictibant was orally bioavailable and well tolerated at all doses studied, with approximately dose-proportional exposure. We also have successfully demonstrated proof-of-concept through a clinical pharmacodynamics, or PD assessment with the bradykinin challenge, which had been utilized as a validated surrogate assessment for dose selection in the icatibant development program.</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plan to efficiently progress deucrictibant through clinical development for on-demand and prophylactic use with our on-demand immediate-release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have also demonstrated clinical efficacy and tolerability in a Phase 2 study (CHAPTER-1) for prophylaxis of HAE attacks. We commenced the CHAPTER-1 Phase 2 clinical trial for prophylaxis in 2021 using twice-daily dosing of the PHVS416 soft capsules and announced positive topline data in December 2023. Our primary objective with this trial was to assess the efficacy and safety profile of PHVS416 dose regimens for prophylactic treatments in HAE patients. In February 2022, we reported Phase 1 clinical data with PHVS719 demonstrating pharmacokinetics of the extended-release formulation and the potential for once-daily dosing. In healthy volunteers, a single dose of PHVS719 was well tolerated with an extended-release profile supporting once-daily dosing.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offices of Pharvaris N.V. are located at Emmy Noetherweg 2, 2333 BK Leiden, The Netherlands. Our telephone number is +31 (0)71 203 6410. Investors should contact us for any inquiries at the address and telephone number of our principal executive office. Our principal website is </w:t>
      </w:r>
      <w:r>
        <w:rPr>
          <w:rFonts w:ascii="Times New Roman" w:cs="Times New Roman" w:eastAsia="Times New Roman" w:hAnsi="Times New Roman"/>
          <w:sz w:val="18"/>
          <w:szCs w:val="18"/>
          <w:i w:val="1"/>
          <w:iCs w:val="1"/>
          <w:color w:val="auto"/>
        </w:rPr>
        <w:t>www.pharvaris.com</w:t>
      </w:r>
      <w:r>
        <w:rPr>
          <w:rFonts w:ascii="Times New Roman" w:cs="Times New Roman" w:eastAsia="Times New Roman" w:hAnsi="Times New Roman"/>
          <w:sz w:val="18"/>
          <w:szCs w:val="18"/>
          <w:color w:val="auto"/>
        </w:rPr>
        <w:t>. The information contained on our website is not a part of this prospectus.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Foreign Private Issuer</w:t>
      </w:r>
    </w:p>
    <w:p>
      <w:pPr>
        <w:spacing w:after="0" w:line="121" w:lineRule="exact"/>
        <w:rPr>
          <w:sz w:val="20"/>
          <w:szCs w:val="20"/>
          <w:color w:val="auto"/>
        </w:rPr>
      </w:pPr>
    </w:p>
    <w:p>
      <w:pPr>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We qualify as an “emerging growth company” as defined in the JOBS Act. An emerging growth company may take advantage of relief from certain reporting requirements and other burdens that are otherwise applicable generally to public companies. These provisions include an exception from compliance with the auditor attestation requirements of Section 404 of the Sarbanes Oxley Act of 2002, as amended, or the Sarbanes-Oxley Act.</w:t>
      </w:r>
    </w:p>
    <w:p>
      <w:pPr>
        <w:spacing w:after="0" w:line="15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take advantage of these provisions until such time that we cease to qualify as an emerging growth company. We would cease to qualify as an emerging growth company upon the earliest of: (i) the last day of the fiscal year (A) in which we had more than $1.235 billion in annual revenue,</w:t>
      </w:r>
    </w:p>
    <w:p>
      <w:pPr>
        <w:ind w:left="120" w:right="40" w:hanging="4"/>
        <w:spacing w:after="0" w:line="253" w:lineRule="auto"/>
        <w:tabs>
          <w:tab w:leader="none" w:pos="4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deemed to be a “large accelerated filer” under the rules of the SEC, or (C) following the fifth anniversary of the date of the completion of our initial public offering (ii) the date on which we issue more than $1.0 billion of non-convertible debt over a three-year period. We may choose to take advantage of some but not all of these reduced reporting requirements. To the extent that we take advantage of these reduced reporting requirements, the information that we provide shareholders may be different than the information you might obtain from other public companies in which you hold equity interests.</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also report under the Exchange Act, as a non-U.S. company with foreign private issuer status. Even after we no longer qualify as an emerging growth company, as long as we qualify as a foreign private issuer under the Exchange Act we will continue to be exempt from certain provisions of the Exchange Act that are applicable to U.S. domestic public companies, including, but not limited to:</w:t>
      </w:r>
    </w:p>
    <w:p>
      <w:pPr>
        <w:spacing w:after="0" w:line="8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domestic filers to issue financial statements prepared under U.S. GAAP;</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(i) more than 50% of our outstanding voting securities are held by U.S. residents and (ii) any of the following three circumstances applies: (A) the majority of our executive officers or directors are U.S. citizens or residents, (B) more than 50% of our assets are located in the United States or (C) our business is administered principally in the United States.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risks. Before making a decision to invest in our securities, you should carefully consider the risks described under “Risk Factors” in the applicable prospectus supplement, as well as those risks and uncertainties identified in the documents incorporated by reference herein, including our most recent Annual Report on Form 20-F, and in any updates to those risk factors in our reports on Form 6-K incorporated herein, together with all of the other information appearing or incorporated by reference in this prospectus and any applicable prospectus supplement, before making an investment in our securities in light of your particular investment objectives and financial circumstances.</w:t>
      </w:r>
    </w:p>
    <w:p>
      <w:pPr>
        <w:spacing w:after="0" w:line="1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use of proceeds will be specified in the applicable prospectus supplement or free writing prospectus.</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39"/>
          </w:cols>
          <w:pgMar w:left="320" w:top="455"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of the registration statement includes a description of the material terms of Pharvaris’ articles of association and of applicable Dutch law. The following description is intended as a summary only and does not constitute legal advice regarding those matters and should not be regarded as such. The description is qualified in its entirety by reference to the complete text of Pharvaris’ articles of association, of which an English translation is included as an exhibit to this registration statement. We urge you to read the full text of Pharvaris’ articles of association.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Ordinary Shares of the Registrant</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have only one class of securities registered under Section 12 of the Securities Exchange Act of 1934, as amended; our registered ordinary shares.</w:t>
      </w:r>
    </w:p>
    <w:p>
      <w:pPr>
        <w:spacing w:after="0" w:line="160" w:lineRule="exact"/>
        <w:rPr>
          <w:sz w:val="20"/>
          <w:szCs w:val="20"/>
          <w:color w:val="auto"/>
        </w:rPr>
      </w:pPr>
    </w:p>
    <w:p>
      <w:pPr>
        <w:jc w:val="both"/>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We are registered with the Trade Register of the Chamber of Commerce (</w:t>
      </w:r>
      <w:r>
        <w:rPr>
          <w:rFonts w:ascii="Times New Roman" w:cs="Times New Roman" w:eastAsia="Times New Roman" w:hAnsi="Times New Roman"/>
          <w:sz w:val="18"/>
          <w:szCs w:val="18"/>
          <w:i w:val="1"/>
          <w:iCs w:val="1"/>
          <w:color w:val="auto"/>
        </w:rPr>
        <w:t>Kamer van Koophandel</w:t>
      </w:r>
      <w:r>
        <w:rPr>
          <w:rFonts w:ascii="Times New Roman" w:cs="Times New Roman" w:eastAsia="Times New Roman" w:hAnsi="Times New Roman"/>
          <w:sz w:val="18"/>
          <w:szCs w:val="18"/>
          <w:color w:val="auto"/>
        </w:rPr>
        <w:t>) under number 64239411. Our corporate seat is in Leiden, the Netherlands, and our registered office is also in Leiden, the Netherlands.</w:t>
      </w:r>
    </w:p>
    <w:p>
      <w:pPr>
        <w:spacing w:after="0" w:line="16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ordinary shares is a summary and does not purport to be complete. It is subject to and qualified in its entirety by reference to our Articles of Association, which are incorporated herein by reference to Exhibit 3.1 to the Company’s Registration Statement on Form 6-K filed with the SEC March 6, 2024.</w:t>
      </w:r>
    </w:p>
    <w:p>
      <w:pPr>
        <w:spacing w:after="0" w:line="320"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119"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Our ordinary shares shall be in registered form (</w:t>
      </w:r>
      <w:r>
        <w:rPr>
          <w:rFonts w:ascii="Times New Roman" w:cs="Times New Roman" w:eastAsia="Times New Roman" w:hAnsi="Times New Roman"/>
          <w:sz w:val="18"/>
          <w:szCs w:val="18"/>
          <w:i w:val="1"/>
          <w:iCs w:val="1"/>
          <w:color w:val="auto"/>
        </w:rPr>
        <w:t>op naam</w:t>
      </w:r>
      <w:r>
        <w:rPr>
          <w:rFonts w:ascii="Times New Roman" w:cs="Times New Roman" w:eastAsia="Times New Roman" w:hAnsi="Times New Roman"/>
          <w:sz w:val="18"/>
          <w:szCs w:val="18"/>
          <w:color w:val="auto"/>
        </w:rPr>
        <w:t>). We may issue share certificates (</w:t>
      </w:r>
      <w:r>
        <w:rPr>
          <w:rFonts w:ascii="Times New Roman" w:cs="Times New Roman" w:eastAsia="Times New Roman" w:hAnsi="Times New Roman"/>
          <w:sz w:val="18"/>
          <w:szCs w:val="18"/>
          <w:i w:val="1"/>
          <w:iCs w:val="1"/>
          <w:color w:val="auto"/>
        </w:rPr>
        <w:t>aandeelbewijzen</w:t>
      </w:r>
      <w:r>
        <w:rPr>
          <w:rFonts w:ascii="Times New Roman" w:cs="Times New Roman" w:eastAsia="Times New Roman" w:hAnsi="Times New Roman"/>
          <w:sz w:val="18"/>
          <w:szCs w:val="18"/>
          <w:color w:val="auto"/>
        </w:rPr>
        <w:t>) for registered shares in such form as may be approved by our board of directors, or the Board. Our authorized share capital amounts to €14,100,000, divided into 117,500,000 ordinary shares, each with a nominal value of €0.12.</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Dutch law, our authorized share capital is the maximum capital that we may issue without amending our Articles of Association.</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articles of association provide that, for as long as any of our ordinary shares are admitted to trading on Nasdaq, the New York Stock Exchange or on any other regulated stock exchange located in the United States, the laws of the State of New York shall apply to the property law aspects of our ordinary shares reflected in the register administered by our transfer agent, subject to certain overriding exceptions under Dutch law.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summarizes the main rights of holders of our ordinary shares:</w:t>
      </w:r>
    </w:p>
    <w:p>
      <w:pPr>
        <w:spacing w:after="0" w:line="131" w:lineRule="exact"/>
        <w:rPr>
          <w:sz w:val="20"/>
          <w:szCs w:val="20"/>
          <w:color w:val="auto"/>
        </w:rPr>
      </w:pPr>
    </w:p>
    <w:p>
      <w:pPr>
        <w:ind w:left="1080" w:right="56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ordinary shares is entitled to one vote per share on all matters to be voted on by shareholders generally, including the appointment of directors;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cumulative voting rights;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ordinary shares are entitled to dividends and other distributions as may be declared from time to time by us out of funds legally available for that purpose, if any;</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our liquidation or dissolution, the holders of ordinary shares will be entitled to share ratably in the distribution of all of our assets remaining available for distribution after satisfaction of all our liabilities; and</w:t>
      </w:r>
    </w:p>
    <w:p>
      <w:pPr>
        <w:spacing w:after="0" w:line="67"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ordinary shares have preemptive rights in case of share issuances or the grant of rights to subscribe for shares, except if such rights are limited or excluded by the corporate body authorized to do so and except in such cases as provided by Dutch law and our Articles of Association.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Shareholders’ Register</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Dutch law and our Articles of Association, we must keep our shareholders’ register accurate and current. The Board keeps our shareholders’ register and records names and addresses of all holders of registered shares, showing the date on which the shares were acquired, the date of the acknowledgement by or notification of us as well as the amount paid on each share. The register also includes the names and addresses of those with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on registered shares belonging to another or a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in respect of such shares.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Corporate Objectives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Articles of Association, our corporate objectives are:</w:t>
      </w:r>
    </w:p>
    <w:p>
      <w:pPr>
        <w:spacing w:after="0" w:line="131" w:lineRule="exact"/>
        <w:rPr>
          <w:sz w:val="20"/>
          <w:szCs w:val="20"/>
          <w:color w:val="auto"/>
        </w:rPr>
      </w:pPr>
    </w:p>
    <w:p>
      <w:pPr>
        <w:ind w:left="1080" w:hanging="424"/>
        <w:spacing w:after="0"/>
        <w:tabs>
          <w:tab w:leader="none" w:pos="1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discover, develop and commercialize treatments, including for hereditary angioedema;</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engage, in any way whatsoever, in trading activities (retail and wholesale), the import, export, purchase, sale and distribution of products, including, but not limited to, pharmaceutical products, and other related (raw material) products and to render operational and supporting services to its group companies in connection herewith;</w:t>
      </w:r>
    </w:p>
    <w:p>
      <w:pPr>
        <w:spacing w:after="0" w:line="81"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incorporate, participate in, finance or hold any other interest in and to conduct the management or supervision of other entities, companies, partnerships and businesses;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to manage, to invest, to exploit, to encumber and to dispose of assets and liabilities;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guarantees, to provide security, to warrant performance in any other way and to assume liability, whether jointly and severally or otherwise, in respect of obligations of group companies or other parties;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anything which, in the widest sense, is connected with or may be conducive to the objects described above.</w:t>
      </w:r>
    </w:p>
    <w:p>
      <w:pPr>
        <w:spacing w:after="0" w:line="36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to our Articles of Association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amendment to our Articles of Association would require a resolution of the general meeting upon proposal by the Board.</w:t>
      </w:r>
    </w:p>
    <w:p>
      <w:pPr>
        <w:spacing w:after="0" w:line="369"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the Rights to Own Ordinary Shares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ordinary shares may be issued to individuals, corporations, trusts, estates of deceased individuals, partnerships and unincorporated</w:t>
      </w:r>
    </w:p>
    <w:p>
      <w:pPr>
        <w:spacing w:after="0" w:line="27" w:lineRule="exact"/>
        <w:rPr>
          <w:sz w:val="20"/>
          <w:szCs w:val="20"/>
          <w:color w:val="auto"/>
        </w:rPr>
      </w:pP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associations of persons. Our Articles of Association contain no limitation on the rights to own our ordinary shares and no limitation on the rights of nonresidents of the Netherlands or foreign shareholders to hold or exercise voting rights.</w:t>
      </w:r>
    </w:p>
    <w:p>
      <w:pPr>
        <w:spacing w:after="0" w:line="326"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on Liability and Indemnification Matters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Under Dutch law, our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other specific civil and criminal liabilities. Subject to certain exceptions, our Articles of Association provide for indemnification of our current and former directors (and other current and former officers and employees as designated by our Board). No indemnification under our Articles of Association shall be given to an indemnified person:</w:t>
      </w:r>
    </w:p>
    <w:p>
      <w:pPr>
        <w:spacing w:after="0" w:line="89" w:lineRule="exact"/>
        <w:rPr>
          <w:sz w:val="20"/>
          <w:szCs w:val="20"/>
          <w:color w:val="auto"/>
        </w:rPr>
      </w:pPr>
    </w:p>
    <w:p>
      <w:pPr>
        <w:ind w:left="1080" w:right="3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competent court or arbitral tribunal has established, without having (or no longer having) the possibility for appeal, that the acts or omissions of such indemnified person that led to the financial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20"/>
        <w:spacing w:after="0" w:line="266" w:lineRule="auto"/>
        <w:rPr>
          <w:sz w:val="20"/>
          <w:szCs w:val="20"/>
          <w:color w:val="auto"/>
        </w:rPr>
      </w:pPr>
      <w:r>
        <w:rPr>
          <w:rFonts w:ascii="Times New Roman" w:cs="Times New Roman" w:eastAsia="Times New Roman" w:hAnsi="Times New Roman"/>
          <w:sz w:val="18"/>
          <w:szCs w:val="18"/>
          <w:color w:val="auto"/>
        </w:rPr>
        <w:t>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81" w:lineRule="exact"/>
        <w:rPr>
          <w:sz w:val="20"/>
          <w:szCs w:val="20"/>
          <w:color w:val="auto"/>
        </w:rPr>
      </w:pPr>
    </w:p>
    <w:p>
      <w:pPr>
        <w:ind w:left="1080" w:right="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proceedings brought by such indemnified person against the Company, except for proceedings brought to enforce indemnification to which he or she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financial losses, damages or expenses incurred in connection with a settlement of any proceedings effected without the Company’s prior consent.</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Under our Articles of Association, our Board may stipulate additional terms, conditions and restrictions in relation to the indemnification described above.</w:t>
      </w:r>
    </w:p>
    <w:p>
      <w:pPr>
        <w:spacing w:after="0" w:line="306"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Meetings and Consents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Meeting</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General meetings may be held in the Netherlands, in any of the locations specified in our Articles of Association. If and when allowed pursuant to applicable law, those who convene the general meeting may also decide whether (and if so, under what conditions) the general meeting shall also or exclusively be accessible through the use of electronic means.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has decreased to an amount equal to or lower than half of our paid-in and called-up share capital, in order to discuss the measures to be taken if so required.</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calendar days prior to the day of the meeting. The agenda for the annual general meeting shall include, among other things, the adoption of the statutory annual accounts, appropriation of our profits and proposals relating to the composition of the Board, including the filling of any vacancies in the Board. In addition, the agenda shall include such items as have been included therein by the Board.</w:t>
      </w:r>
    </w:p>
    <w:p>
      <w:pPr>
        <w:spacing w:after="0" w:line="187"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agenda shall also include such items requested by one or more shareholders, or others with meeting rights under Dutch law, representing at least 3% of our issued share capital. These requests must be made in writing or by electronic means and received by the Board at least 60 days before the day of the meeting. No resolutions shall be adopted on items other than those that have been included in the agenda.</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97" w:lineRule="exact"/>
        <w:rPr>
          <w:sz w:val="20"/>
          <w:szCs w:val="20"/>
          <w:color w:val="auto"/>
        </w:rPr>
      </w:pPr>
    </w:p>
    <w:p>
      <w:pPr>
        <w:ind w:left="1080" w:right="2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cannot reasonably believe that a continuation of the cooling-off period would contribute to careful policy-making; or</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general meeting is presided over by the chairperson of the Board. If no chairperson has been elected or if he or she is not present at the meeting, the general meeting shall be presided over by the vice-chairperson. If no vice-chairperson has been elected or if he or she is not present at the meeting, the general meeting shall be presided over by the chief executive officer. If no vice-chairperson has been elected or if he or she is not present at the meeting, the general meeting shall be presided over by another person designated in accordance with our Articles of Association. Our directors may always attend a general meeting. In these meetings, they have an advisory vote. The chairperson of the meeting may decide at his or her discretion to admit other persons to the meeting.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shareholders and others with meeting rights under Dutch law are authorized to attend the general</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Quorum and voting requirements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ordinary share, confers the right on the holder to cast one vote at the general meeting. Shareholders may vote by proxy. No votes may be cast at a general meeting on shares held by us or our subsidiaries or on shares for which we or our subsidiaries hold depository receipts. Nonetheless, the holders of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and the holders of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the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Decisions of the general meeting are taken by a simple majority of votes cast, except where Dutch law or our Articles of Association provide for a qualified majority or unanimity. Subject to any provision of mandatory Dutch law and any higher quorum requirement stipulated by our Articles of Association, if we would be subject to the requirement that our general meeting can only pass resolutions if a certain part of our issued share capital is present or represented at such general meeting under applicable securities laws or listing rules, then such resolutions shall be subject to such quorum as specified by such securities laws or listing rules pursuant to our Articles of Association.</w:t>
      </w:r>
    </w:p>
    <w:p>
      <w:pPr>
        <w:spacing w:after="0" w:line="328"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Appointment of directors</w:t>
      </w:r>
    </w:p>
    <w:p>
      <w:pPr>
        <w:spacing w:after="0" w:line="119"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Duties and liabilities of directors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Board is charged with the management of the Company, which includes setting the Company’s policies and strategy, subject to the restrictions contained in our articles of association. The executive directors manage our day-to-day business and operations and implement our strategy. The non-executive directors focus on the supervision on the policy and functioning of the performance of the duties of all of our directors and our general state of affairs.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Subject to certain limitations under Dutch law, our directors may divide their tasks among themselves in or pursuant to the internal rules applicable to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Board is entitled to represent our company. The power to represent our company also vests in our chief executive officer individually, as well as in any other two executive directors acting jointly.</w:t>
      </w:r>
    </w:p>
    <w:p>
      <w:pPr>
        <w:spacing w:after="0" w:line="306"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Other Distributions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Amount available for distribution</w:t>
      </w:r>
    </w:p>
    <w:p>
      <w:pPr>
        <w:spacing w:after="0" w:line="11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Dutch law, we may only pay dividends and other distributions, from our reserves to the extent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exceeds the sum of the paid-in and called-up share capital plus the reserves we must maintain under Dutch law or by our Articles of Association and (if it concerns a distribution of profits) after adoption of our statutory annual accounts by our general meeting from which it appears that such dividend distribution is allowed.</w:t>
      </w:r>
    </w:p>
    <w:p>
      <w:pPr>
        <w:spacing w:after="0" w:line="18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Board may decide that all or part of our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Board is permitted, subject to certain requirements and applicable restrictions of Dutch law, to declare interim dividends without the approval of the general meeting.</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Exchange controls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Times New Roman" w:cs="Times New Roman" w:eastAsia="Times New Roman" w:hAnsi="Times New Roman"/>
          <w:sz w:val="18"/>
          <w:szCs w:val="18"/>
          <w:i w:val="1"/>
          <w:iCs w:val="1"/>
          <w:color w:val="auto"/>
        </w:rPr>
        <w:t>Sanctiewet 1977</w:t>
      </w:r>
      <w:r>
        <w:rPr>
          <w:rFonts w:ascii="Times New Roman" w:cs="Times New Roman" w:eastAsia="Times New Roman" w:hAnsi="Times New Roman"/>
          <w:sz w:val="18"/>
          <w:szCs w:val="18"/>
          <w:color w:val="auto"/>
        </w:rPr>
        <w:t>) or other legislation, applicable anti-boycott regulations, applicable anti-money-laundering regulations and similar rules and provided that, under certain circumstances, payments of such dividends or other distributions must be reported to the Dutch Central Bank at their request for statistical purposes. There are no special restrictions in the Articles of Association or Dutch law that limit the right of shareholders who are not citizens or residents of the Netherlands to hold or vote shares.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Squeeze-out procedures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 shareholder who holds at least 95% of our issued share capital for his or her own account, alone or together with group companies, may initiate proceedings against our other shareholders jointly for the transfer of their shares to such shareholder. The proceedings are held before the Enterprise Chamber, and can be instituted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means of a writ of summons served upon each of the other shareholders in accordance with the provisions of the Dutch Code of Civil Procedure</w:t>
      </w:r>
    </w:p>
    <w:p>
      <w:pPr>
        <w:spacing w:after="0" w:line="27" w:lineRule="exact"/>
        <w:rPr>
          <w:sz w:val="20"/>
          <w:szCs w:val="20"/>
          <w:color w:val="auto"/>
        </w:rPr>
      </w:pP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Wetboek van Burgerlijke Rechtsvordering</w:t>
      </w:r>
      <w:r>
        <w:rPr>
          <w:rFonts w:ascii="Times New Roman" w:cs="Times New Roman" w:eastAsia="Times New Roman" w:hAnsi="Times New Roman"/>
          <w:sz w:val="18"/>
          <w:szCs w:val="18"/>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334"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and Liquidation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all of our liabilities, any remaining assets shall be distributed to our shareholders in proportion to their number of shares.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Dutch Financial Reporting Supervision Act</w:t>
      </w:r>
    </w:p>
    <w:p>
      <w:pPr>
        <w:spacing w:after="0" w:line="119" w:lineRule="exact"/>
        <w:rPr>
          <w:sz w:val="20"/>
          <w:szCs w:val="20"/>
          <w:color w:val="auto"/>
        </w:rPr>
      </w:pPr>
    </w:p>
    <w:p>
      <w:pPr>
        <w:ind w:left="120" w:right="240"/>
        <w:spacing w:after="0" w:line="267" w:lineRule="auto"/>
        <w:rPr>
          <w:sz w:val="20"/>
          <w:szCs w:val="20"/>
          <w:color w:val="auto"/>
        </w:rPr>
      </w:pPr>
      <w:r>
        <w:rPr>
          <w:rFonts w:ascii="Times New Roman" w:cs="Times New Roman" w:eastAsia="Times New Roman" w:hAnsi="Times New Roman"/>
          <w:sz w:val="18"/>
          <w:szCs w:val="18"/>
          <w:color w:val="auto"/>
        </w:rPr>
        <w:t>On the basis of the Dutch Financial Reporting Supervision Act (</w:t>
      </w:r>
      <w:r>
        <w:rPr>
          <w:rFonts w:ascii="Times New Roman" w:cs="Times New Roman" w:eastAsia="Times New Roman" w:hAnsi="Times New Roman"/>
          <w:sz w:val="18"/>
          <w:szCs w:val="18"/>
          <w:i w:val="1"/>
          <w:iCs w:val="1"/>
          <w:color w:val="auto"/>
        </w:rPr>
        <w:t>Wet toezicht financiële verslaggeving</w:t>
      </w:r>
      <w:r>
        <w:rPr>
          <w:rFonts w:ascii="Times New Roman" w:cs="Times New Roman" w:eastAsia="Times New Roman" w:hAnsi="Times New Roman"/>
          <w:sz w:val="18"/>
          <w:szCs w:val="18"/>
          <w:color w:val="auto"/>
        </w:rPr>
        <w:t>), or the FRSA, the Dutch Authority for the Financial Markets (</w:t>
      </w:r>
      <w:r>
        <w:rPr>
          <w:rFonts w:ascii="Times New Roman" w:cs="Times New Roman" w:eastAsia="Times New Roman" w:hAnsi="Times New Roman"/>
          <w:sz w:val="18"/>
          <w:szCs w:val="18"/>
          <w:i w:val="1"/>
          <w:iCs w:val="1"/>
          <w:color w:val="auto"/>
        </w:rPr>
        <w:t>Stichting Autoriteit Financiële Markten</w:t>
      </w:r>
      <w:r>
        <w:rPr>
          <w:rFonts w:ascii="Times New Roman" w:cs="Times New Roman" w:eastAsia="Times New Roman" w:hAnsi="Times New Roman"/>
          <w:sz w:val="18"/>
          <w:szCs w:val="18"/>
          <w:color w:val="auto"/>
        </w:rPr>
        <w:t>), or AFM, supervises the application of financial reporting standards by Dutch companies whose securities are listed on a Dutch or foreign stock exchange.</w:t>
      </w:r>
    </w:p>
    <w:p>
      <w:pPr>
        <w:spacing w:after="0" w:line="175"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Pursuant to the FRSA, the AFM has an independent right to (i) request an explanation from us regarding our application of the applicable financial reporting standards if, based on publicly known facts or circumstances, it has reason to doubt that our financial reporting meets such standards and</w:t>
      </w:r>
    </w:p>
    <w:p>
      <w:pPr>
        <w:spacing w:after="0" w:line="1" w:lineRule="exact"/>
        <w:rPr>
          <w:sz w:val="20"/>
          <w:szCs w:val="20"/>
          <w:color w:val="auto"/>
        </w:rPr>
      </w:pPr>
    </w:p>
    <w:p>
      <w:pPr>
        <w:ind w:left="120" w:right="80" w:hanging="4"/>
        <w:spacing w:after="0" w:line="253" w:lineRule="auto"/>
        <w:tabs>
          <w:tab w:leader="none" w:pos="3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us the making available of further explanations.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or restate our financial reports in accordance with the Enterprise Chamber’s orders.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COMPARISON OF DUTCH LAW AND OUR ARTICLES OF ASSOCIATION AND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 CORPORATE LAW</w:t>
      </w:r>
    </w:p>
    <w:p>
      <w:pPr>
        <w:spacing w:after="0" w:line="20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following comparison between Dutch corporate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Dutch Corporate Governance Code</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a listed Dutch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we are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must disclose in their statutory annual reports whether they comply with the provisions of the DCGC. If a company subject to the DCGC does not comply with those provisions, that company would be required to give the reasons for such non-compliance. We do not comply with all best practice provisions of the DCGC. As of the date of this prospectus, our main deviations from the DCGC are summarized below, but we cannot exclude the possibility of deviating from additional provisions of the DCGC after the date of this prospectus, including in order to follow market practice or governance practices in the United States.</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provide that the general meeting can only pass such resolution by at least a two-thirds majority of the votes cast, representing more than half of the issued share capital. However, the DCGC recommends that the general meeting can pass such a resolution by simple majority, representing no more than one-third of the issued share capital.</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Articles of Association, directors can only be dismissed by the general meeting by simple majority,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DCGC recommends against providing equity awards as part of the compensation of a non-executive director. However, consistent with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market practice, we have granted equity awards to our non-executive directors.</w:t>
      </w:r>
    </w:p>
    <w:p>
      <w:pPr>
        <w:spacing w:after="0" w:line="207"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Our equity incentive plan allows us to set the terms and conditions of equity awards granted thereunder. Under our equity incentive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Duties of Directors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We have a one-tier board structure consisting of a board of directors comprising one or more executive directors and one or more non-executive directors. Under Dutch law, our Board is charged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management of the company, which includes setting the company’s policies and strategy subject to the restrictions contained in our Articles of Association. The executive directors manage our day-to-day business and operations and implement our strategy. The non-executive directors focus on the supervision on the policy and functioning of the performance of the duties of all of our directors and our general state of affairs. Our directors may divide their tasks among themselves in or pursuant to internal rules applicable.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Board is entitled to represent the Company. The power to represent our company also vests in our chief executive officer individually, as well as in any other two executive directors acting jointly.</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resolution of our Board regarding a material change in our identity or character requires approval of the general meeting. The absence of the approval of the general meeting shall result in the relevant resolution being null and void but shall not affect the powers of representation of the Board or of the executive directors.</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terms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The DCGC provides the following best practice recommendations on the terms for tenure of our directors:</w:t>
      </w:r>
    </w:p>
    <w:p>
      <w:pPr>
        <w:spacing w:after="0" w:line="131" w:lineRule="exact"/>
        <w:rPr>
          <w:sz w:val="20"/>
          <w:szCs w:val="20"/>
          <w:color w:val="auto"/>
        </w:rPr>
      </w:pPr>
    </w:p>
    <w:p>
      <w:pPr>
        <w:ind w:left="1080" w:right="1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directors should be appointed for a maximum period of four years, without limiting the number of consecutive terms executive directors may serve.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directors should be appointed for two consecutive periods of no more than four years. Thereafter, non-executive directors may be reappointed for a maximum of two consecutive periods of no more than two years, provided that the reason for any reappointment after an eight-year term of office should be disclosed in the Company’s statutory annual report.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general meeting shall at all times be entitled to suspend or dismiss a director. Under our Articles of Association, the general meeting may only adopt a resolution to suspend or dismiss a director by at least a two-thirds majority of the votes cast, provided that such majority represents more than half of our issued share capital, unless the resolution is passed at the proposal of our Board, in which latter case a simple majority of the votes cast is sufficient. If a director is suspended and the general meeting does not resolve to dismiss him or her within three months from the date of such suspension, the suspension shall lapse.</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The Delaware General Corporation Law generally provides for a one-year term for directors, but permits 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vacancies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Our Board can temporarily fill vacancies in its midst caused by temporary absence or incapacity of directors without requiring a shareholder vote. If all of our directors are absent or incapacitated, our management shall be attributed to the person who most recently ceased to hold office as the chairperson of our Board, provided that if such former chairperson is unwilling or unable to accept that position, our management shall be attributed to the person who most recently ceased to hold office as our chief executive officer. If such former chief executive officer is also unwilling or unable to accept that position, our management shall be attributed to one or more persons whom the general meeting has designated for that purpose. The person(s) charged with our management in this manner may designate one or more persons to be charged with our management instead of, or together with, such person(s).</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Dutch law, directors are appointed and re-appointed by the general meeting. Under our Articles of Association, directors are appointed by the general meeting upon the binding nomination by our Board. However, the general meeting may at all times overrule a binding nomination by a resolution adopted by at least a two-thirds majority of the votes cast, provided such majority represents more than half of the issued share capital. If the general meeting overrules a binding nomination, the Board shall make a new nomination.</w:t>
      </w:r>
    </w:p>
    <w:p>
      <w:pPr>
        <w:spacing w:after="0" w:line="180"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u w:val="single" w:color="auto"/>
          <w:color w:val="auto"/>
        </w:rPr>
        <w:t>Delaware</w:t>
      </w:r>
      <w:r>
        <w:rPr>
          <w:rFonts w:ascii="Times New Roman" w:cs="Times New Roman" w:eastAsia="Times New Roman" w:hAnsi="Times New Roman"/>
          <w:sz w:val="17"/>
          <w:szCs w:val="17"/>
          <w:color w:val="auto"/>
        </w:rPr>
        <w:t>. The Delaware General Corporation Law provides that vacancies and newly created directorships may be filled by a majority of the directors then in office (even though less than a quorum) unless (i) otherwise provided in the certificate of incorporation or bylaws of the corporation or</w:t>
      </w:r>
    </w:p>
    <w:p>
      <w:pPr>
        <w:spacing w:after="0" w:line="1" w:lineRule="exact"/>
        <w:rPr>
          <w:sz w:val="20"/>
          <w:szCs w:val="20"/>
          <w:color w:val="auto"/>
        </w:rPr>
      </w:pPr>
    </w:p>
    <w:p>
      <w:pPr>
        <w:ind w:left="120" w:hanging="4"/>
        <w:spacing w:after="0" w:line="260" w:lineRule="auto"/>
        <w:tabs>
          <w:tab w:leader="none" w:pos="3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directs that a particular class of stock is to elect such director, in which case any other directors elected by such class, or a sole remaining director elected by such class, will fill such vacancy.</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Conflict-of-interest transactions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Under Dutch law and our Articles of Association, our directors shall not take part in any discussion or decision-making that involves a subject or transaction in relation to which he or she has a direct or indirect personal conflict of interest with us. Such a conflict of interest would generally arise if the director concerned is unable to serve our interests and the business connected with our Company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latter case, each director is entitled to participate in the discussion and decision-making process and to cast a vote.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DCGC provides the following best practice recommendations in relation to conflicts of interests in respect of directors:</w:t>
      </w:r>
    </w:p>
    <w:p>
      <w:pPr>
        <w:spacing w:after="0" w:line="131" w:lineRule="exact"/>
        <w:rPr>
          <w:sz w:val="20"/>
          <w:szCs w:val="20"/>
          <w:color w:val="auto"/>
        </w:rPr>
      </w:pPr>
    </w:p>
    <w:p>
      <w:pPr>
        <w:ind w:left="1080" w:right="100" w:hanging="424"/>
        <w:spacing w:after="0" w:line="258"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should report any conflict of interest or potential conflict of interest in a transaction that is of material significance to the company and/or to such person to the chairperson of the Board without delay and should provide all relevant information in that regard, including the relevant information pertaining to his or her spouse, registered partner or other life companion, foster child and relatives by blood or marriage up to the second degree. If the chairperson of the Board has a conflict of interest or potential conflict of interest, he or she should report this to the vice-chairperson of the Board without delay;</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should decide, outside the presence of the director concerned, whether there is a conflict of interest;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which there are conflicts of interest with directors should be agreed on terms that are customary in the market;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enter into transactions in which there are conflicts of interest with directors that are of material significance to the Company and/or to the relevant directors should require the approval of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5"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320"/>
        <w:spacing w:after="0" w:line="282" w:lineRule="auto"/>
        <w:rPr>
          <w:sz w:val="20"/>
          <w:szCs w:val="20"/>
          <w:color w:val="auto"/>
        </w:rPr>
      </w:pPr>
      <w:r>
        <w:rPr>
          <w:rFonts w:ascii="Times New Roman" w:cs="Times New Roman" w:eastAsia="Times New Roman" w:hAnsi="Times New Roman"/>
          <w:sz w:val="18"/>
          <w:szCs w:val="18"/>
          <w:color w:val="auto"/>
        </w:rPr>
        <w:t>Board. Such transactions should be published in our statutory annual report, together with a description of the conflict of interest and a declaration that the relevant best practice provisions of the DCGC have been complied with.</w:t>
      </w:r>
    </w:p>
    <w:p>
      <w:pPr>
        <w:spacing w:after="0" w:line="162"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transactions involving a Delaware corporation and an interested director of that corporation would not be voidable if:</w:t>
      </w:r>
    </w:p>
    <w:p>
      <w:pPr>
        <w:spacing w:after="0" w:line="67" w:lineRule="exact"/>
        <w:rPr>
          <w:sz w:val="20"/>
          <w:szCs w:val="20"/>
          <w:color w:val="auto"/>
        </w:rPr>
      </w:pPr>
    </w:p>
    <w:p>
      <w:pPr>
        <w:ind w:left="1080" w:right="2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are disclosed or known as to the director’s relationship or interest and the transaction is specifically approved in good faith by vote of the majority of shares entitled to vote thereon;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fair to the corporation at the time it is authorized by the board of directors, a committee of the board of directors or the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Proxy voting by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An absent director may issue a proxy for a specific Board meeting but only to another director in writing or by electronic means.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A director of a Delaware corporation may not issue a proxy representing the director’s voting rights as a director.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Rights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In accordance with Dutch law and our Articles of Association, each issued ordinary share confers the right to cast one vote at the general meeting. No votes may be cast at a general meeting on shares held by us or our subsidiaries or on shares for which we or our subsidiaries hold depository receipts. Nonetheless, the holders of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and the holders of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the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88" w:lineRule="exact"/>
        <w:rPr>
          <w:sz w:val="20"/>
          <w:szCs w:val="20"/>
          <w:color w:val="auto"/>
        </w:rPr>
      </w:pPr>
    </w:p>
    <w:p>
      <w:pPr>
        <w:ind w:left="120" w:firstLine="440"/>
        <w:spacing w:after="0" w:line="238" w:lineRule="auto"/>
        <w:rPr>
          <w:sz w:val="20"/>
          <w:szCs w:val="20"/>
          <w:color w:val="auto"/>
        </w:rPr>
      </w:pPr>
      <w:r>
        <w:rPr>
          <w:rFonts w:ascii="Times New Roman" w:cs="Times New Roman" w:eastAsia="Times New Roman" w:hAnsi="Times New Roman"/>
          <w:sz w:val="18"/>
          <w:szCs w:val="18"/>
          <w:color w:val="auto"/>
        </w:rPr>
        <w:t>For each general meeting, the Board may determine that a record date will be applied in order to establish which shareholders are entitled to attend and vote at the general meeting. Such record date shall be the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day of the general meeting. The record date and the manner in which shareholders can register and exercise their rights will be set out in the notice of the meeting which must be published in a Dutch daily newspaper with national distribution at least 15 calendar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20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each stockholder is entitled to one vote per share of stock, unless the certificate of incorporation provides otherwise. In addition, the certificate of incorporation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Pursuant to Dutch law, one or more shareholders or others with meeting rights under Dutch law who jointly represent at least one-tenth of our issued share capital may request us to convene a general meeting, setting out in detail the matters to be discussed. If we have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agenda for a general meeting shall also include such items requested by one or more shareholders or others with meeting rights under Dutch law representing at least 3% of our issued share capital. These requests must be made in writing or by electronic means and received by us at least 60 days before the day of the meeting. No resolutions shall be adopted on items other than those that have been included in the agenda.</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Dutch Corporate Governance Code, or DCGC, shareholders who have the right to put an item on the agenda for our general meeting or to request the convening of a general meeting shall not exercise such rights until after they have consulted our Board of directors.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97" w:lineRule="exact"/>
        <w:rPr>
          <w:sz w:val="20"/>
          <w:szCs w:val="20"/>
          <w:color w:val="auto"/>
        </w:rPr>
      </w:pPr>
    </w:p>
    <w:p>
      <w:pPr>
        <w:ind w:left="1080" w:right="2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cannot reasonably believe that a continuation of the cooling-off period would contribute to careful policy-making; or</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Delaware law does not specifically grant stockholders the right to bring business before an annual or special meeting. Delaware law 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Under Dutch law, shareholders’ resolutions may be adopted in writing without holding a meeting of shareholders, provided that</w:t>
      </w:r>
    </w:p>
    <w:p>
      <w:pPr>
        <w:spacing w:after="0" w:line="27" w:lineRule="exact"/>
        <w:rPr>
          <w:sz w:val="20"/>
          <w:szCs w:val="20"/>
          <w:color w:val="auto"/>
        </w:rPr>
      </w:pPr>
    </w:p>
    <w:p>
      <w:pPr>
        <w:ind w:left="120" w:right="220" w:hanging="4"/>
        <w:spacing w:after="0" w:line="253" w:lineRule="auto"/>
        <w:tabs>
          <w:tab w:leader="none" w:pos="3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Although permitted by Delaware law, publicly listed companies do not typically permit stockholders of a corporation to take action by written consent.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Appraisal 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Subject to certain exceptions, Dutch law does not recognize the concept of appraisal or dissenters’ rights. However, Dutch law does provide for squeeze-out procedures as described under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The Delaware General Corporation Law provides for stockholder appraisal rights, or the right to demand payment in cash of the judicially determined fair value of the stockholder’s shares, in connection with certain mergers and consolidations.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suits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In the event a third-party is liable to a Dutch company, only the Company itself can bring a civil action against that party. The 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our directors and officers can still be subject to liability under U.S. securities laws.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Articles of Association provide that the sole and exclusive forum for any complaint asserting a cause of action arising under the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Act of 1933, as amended, to the fullest extent permitted by applicable law, shall be the U.S. federal district courts.</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Repurchase of shares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Under Dutch law, when issuing shares, a public company such as ours may not subscribe for newly issued shares in its own capital. Such company may, however, subject to certain restrictions of Dutch law and its Articles of Association, acquire shares in its own capital. A listed public company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less the payment required to make the acquisition does not fall below the sum of paid-in and called-up share capital plus any reserves required by Dutch law or its Articles of Association and (ii) the aggregate nominal value of shares of the company which the company acquires, holds or on which the company holds a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or which are held by a subsidiary of the company, would not exceed 50% of its then-current issued share capital. Such company may only acquire its own shares if its general meeting has granted the Board the authority to effect such acquisitions.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An acquisition by us of ordinary shares in our capital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pursuant to a resolution of our Board. On June 23, 2023, our general meeting adopted a resolution pursuant to which our Board is authorized, for a period of 18 months following June 23, 2023 to cause the repurchase of ordinary shares (or depositary receipts for ordinary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 authorization of the general meeting is required if fully paid ordinary shares are acquired by us with the intention of transferring such ordinary shares to our employees under an applicable employee stock purchase plan.</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a corporation may generally purchase or redeem its own shares unless the capital of the 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Under Dutch law, various protective measures are possible and permissible within the boundaries set by Dutch law and Dutch case law.</w:t>
      </w:r>
    </w:p>
    <w:p>
      <w:pPr>
        <w:spacing w:after="0" w:line="54"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this respect, certain provisions of our Articles of Association may make it more difficult for a third-party to acquire control of us or effect a change in the composition of our Board. These include:</w:t>
      </w:r>
    </w:p>
    <w:p>
      <w:pPr>
        <w:spacing w:after="0" w:line="67" w:lineRule="exact"/>
        <w:rPr>
          <w:sz w:val="20"/>
          <w:szCs w:val="20"/>
          <w:color w:val="auto"/>
        </w:rPr>
      </w:pPr>
    </w:p>
    <w:p>
      <w:pPr>
        <w:ind w:left="108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directors can only be dismissed at the general meeting by a two-thirds majority of votes cast representing more than half of our issued share capital, unless the dismissal is proposed by our Board in which latter case a simple majority of the votes cast would be sufficient;</w:t>
      </w:r>
    </w:p>
    <w:p>
      <w:pPr>
        <w:spacing w:after="0" w:line="81"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directors can only be appointed on the basis of a binding nomination prepared by our Board which can only be overruled by the general meeting by a resolution adopted by a two-thirds majority of the votes cast representing more than half of the issued share capital (in which case the Board shall make a new nomination);</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which allows the former chairperson of our Board or our former chief executive officer to be charged with our management if all of our directors are absent or incapacitated; and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certain matters, including an amendment of our Articles of Association, may only be resolved upon by our general meeting if proposed by our Board.</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Dutch law also allows for staggered multi-year terms of our directors, as a result of which only part of our directors may be subject to appointment or re-appointment in any given year.</w:t>
      </w:r>
    </w:p>
    <w:p>
      <w:pPr>
        <w:spacing w:after="0" w:line="162" w:lineRule="exact"/>
        <w:rPr>
          <w:sz w:val="20"/>
          <w:szCs w:val="20"/>
          <w:color w:val="auto"/>
        </w:rPr>
      </w:pPr>
    </w:p>
    <w:p>
      <w:pPr>
        <w:jc w:val="both"/>
        <w:ind w:left="120" w:firstLine="440"/>
        <w:spacing w:after="0" w:line="312" w:lineRule="auto"/>
        <w:rPr>
          <w:sz w:val="20"/>
          <w:szCs w:val="20"/>
          <w:color w:val="auto"/>
        </w:rPr>
      </w:pPr>
      <w:r>
        <w:rPr>
          <w:rFonts w:ascii="Times New Roman" w:cs="Times New Roman" w:eastAsia="Times New Roman" w:hAnsi="Times New Roman"/>
          <w:sz w:val="17"/>
          <w:szCs w:val="17"/>
          <w:color w:val="auto"/>
        </w:rPr>
        <w:t>Furthermore, our Board may, under certain circumstances invoke a reasonable period of up to 180 days to respond to certain shareholder proposals or a statutory cooling-off period of up to 250 days to respond to certain shareholder proposals or a hostile bid. See above under “Shareholder Proposals.”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In addition to other aspects of Delaware law governing fiduciary duties of directors during a potential takeover, the Delaware General Corporation Law also contains provisions that protect Delaware companies from hostile takeovers and from actions following the takeover by prohibiting some transactions once an acquirer has gained a significant holding in the corporation.</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Section 203 of the Delaware General Corporation Law prohibits “business combinations,” including mergers, sales and leases of assets, issuances of securities and similar transactions with an “interested stockholder” (which could include a shareholder that beneficially owns 15% or more of a corporation’s voting stock) for a period of three years following the time that such person becomes an interested stockholder, unless:</w:t>
      </w:r>
    </w:p>
    <w:p>
      <w:pPr>
        <w:spacing w:after="0" w:line="81" w:lineRule="exact"/>
        <w:rPr>
          <w:sz w:val="20"/>
          <w:szCs w:val="20"/>
          <w:color w:val="auto"/>
        </w:rPr>
      </w:pPr>
    </w:p>
    <w:p>
      <w:pPr>
        <w:ind w:left="1080" w:right="20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The Board must provide the general meeting all information that it requires, unless this would be contrary to an overriding interest of our Company. If the Board invokes such an overriding interest, it must give reasons.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any stockholder may inspect for any proper purpose certain of the corporation’s books and records during the corporation’s usual hours of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Dismissal of Directors</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Under our Articles of Association, our directors can only be dismissed by the general meeting by simple majority, provided that our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Shares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Under Dutch law, a company’s general meeting is the corporate body authorized to resolve on the issuance of shares and the granting of rights to subscribe for shares. The general meeting can delegate such authority to another corporate body of the company, such as the Board, for a period not exceeding five years; this authorization may only be extended from time to time for a maximum period of five years.</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 February 1, 2021, our general meeting adopted a resolution pursuant to which our Board is authorized, for a period of five years following February 5, 2021, to issue shares or grant rights to subscribe for shares up to our authorized share capital from time to time. We may not subscribe for our own shares on issue.</w:t>
      </w:r>
    </w:p>
    <w:p>
      <w:pPr>
        <w:spacing w:after="0" w:line="176"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The issuance of shares requires the board of directors to adopt a resolution or resolutions, authorizing the issuance, pursuant to authority expressly vested in the board of directors by the provisions of the Company’s certificate of incorporation.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Under Dutch law, in the event of an issuance of ordinary shares, each shareholder will have a pro rata preemptive right in proportion to the aggregate nominal value of the ordinary shares held by such holder (with the exception of ordinary shares to be issued to employees or ordinary shares issued against a contribution other than in cash or pursuant to the exercise of a previously acquired right to subscribe for shares). Under our Articles of Association, the preemptive rights in respect of newly issued ordinary shares may be restricted or excluded by a resolution of the general meeting upon proposal of the Board.</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Another corporate body may restrict or exclude the preemptive rights in respect of newly issued ordinary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two-thirds of the votes cast, if less than one-half of our issued share capital is represented at the meeting.</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February 1, 2021, our general meeting authorized our Board, for a period of five years following February 5, 2021, to limit or exclude preemptive rights in relation to an issuance of shares or a grant of rights to subscribe for shares that the Board is authorized to resolve upon. See above under “—Issuance of Shares.”</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stockholders have no preemptive rights to subscribe for additional issues of stock or to any security convertible into such stock unless, and to the extent that, such rights are expressly provided for in the certificate of incorporation.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Under Dutch law, we may only pay dividends and other distributions from our reserves to the extent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exceeds the sum of our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 See “Dividend Policy.”</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Under our Articles of Association, our Board may decide that all or part of the profits shown in our adopted statutory annual accounts will be added to our reserves. After reservation of any such profits, any remaining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profits will be at the disposal of the general meeting at the proposal of our Board for distribution on our ordinary shares, subject to applicable restrictions of Dutch law. Our Board is permitted, subject to certain requirements and applicable restrictions of Dutch law, to declare interim dividends without the approval of our general meeting.</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subject to any restrictions contained in the corporation’s certificate of incorporation,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Vote on Certain Reorganizations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Under Dutch law, the general meeting must approve resolutions of the Board relating to a significant change in the identity or the character of the Company or the business of the Company, which includes:</w:t>
      </w:r>
    </w:p>
    <w:p>
      <w:pPr>
        <w:spacing w:after="0" w:line="67"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the business or virtually the entire business to a third-party;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9" w:lineRule="auto"/>
        <w:tabs>
          <w:tab w:leader="none" w:pos="10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158"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absence of such approval shall result in the relevant resolution being null and void but shall not affect the powers of representation of the Board or of the executive directors.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the vote of a majority of the outstanding 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Remuneration of Directors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The Netherlands</w:t>
      </w:r>
      <w:r>
        <w:rPr>
          <w:rFonts w:ascii="Times New Roman" w:cs="Times New Roman" w:eastAsia="Times New Roman" w:hAnsi="Times New Roman"/>
          <w:sz w:val="18"/>
          <w:szCs w:val="18"/>
          <w:color w:val="auto"/>
        </w:rPr>
        <w:t>. Dutch law does not provide for limitations with respect to the aggregate annual compensation paid to our directors, provided that such compensation is consistent with our compensation policy. Our compensation policy has been adopted by the general meeting with effect from February 5, 2021. Changes to such compensation policy will require a vote of our general meeting by simple majority of votes cast. Our Board determines the remuneration of individual directors with due observance of the compensation policy. A proposal with respect to remuneration schemes in the form of shares or rights to shares in which directors may participate is subject to approval by our general meeting by simple majority of votes cast. Such a proposal must set out at least the maximum number of shares or rights to subscribe for shares to be granted to our directors and the criteria for granting or amendment.</w:t>
      </w:r>
    </w:p>
    <w:p>
      <w:pPr>
        <w:spacing w:after="0" w:line="18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Under the Delaware General Corporation Law, the stockholders do not generally have the right to approve the compensation policy for directors or the senior management of the corporation, although certain aspects of executive compensation may be subject to stockholder vote due to the provisions of U.S. federal securities and tax law, as well as exchange requirements.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debt securities will be our direct general obligations. The debt securities will be either senior debt securities or subordinated debt securities and may be secured or unsecured and may be convertible into other securities, including our ordinary shares. The debt securities will be issued under one or more separate indentures between our company and a financial institution that will act as trustee. Senior debt securities will be issued under a senior indenture. Subordinated debt securities will be issued under a subordinated indenture. Each of the senior indenture and the subordinated indenture is referred to individually as an indenture and collectively as the indentures. Each of the senior debt trustee and the subordinated debt trustee is referred to individually as a trustee and collectively as the trustees. The material terms of any indenture will be set forth in the applicable prospectus supplement.</w:t>
      </w:r>
    </w:p>
    <w:p>
      <w:pPr>
        <w:spacing w:after="0" w:line="17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summarized certain terms and provisions of the indentures. The summary is not complete. The indentures are subject to and governed by the Trust Indenture Act of 1939, as amended. The senior indenture and subordinated indenture are substantially identical, except for the provisions relating to subordination.</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We may issue debt securities up to an aggregate principal amount as we may authorize from time to time. The applicable prospectus supplement will describe the terms of any debt securities being offered. These terms will include some or all of the following:</w:t>
      </w:r>
    </w:p>
    <w:p>
      <w:pPr>
        <w:spacing w:after="0" w:line="8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as senior or subordinated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of the specific series of debt securities relative to other outstanding indebtedness, including subsidiaries’ debt;</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authorized denominations;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may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at which the debt securities shall bear interest, if any;</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on which such interest shall be payable, and on which a record shall be taken for the determination of holders of the debt securities to whom interest is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and interest shall be payable;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312" w:lineRule="auto"/>
        <w:tabs>
          <w:tab w:leader="none" w:pos="10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if any, to redeem the debt securities, in whole or in part, at our option and the period or periods within which, the price or prices at which and any terms and conditions upon which such debt securities may be so redeemed, pursuant to any sinking fund or otherwise;</w:t>
      </w:r>
    </w:p>
    <w:p>
      <w:pPr>
        <w:spacing w:after="0" w:line="45" w:lineRule="exact"/>
        <w:rPr>
          <w:rFonts w:ascii="Times New Roman" w:cs="Times New Roman" w:eastAsia="Times New Roman" w:hAnsi="Times New Roman"/>
          <w:sz w:val="17"/>
          <w:szCs w:val="17"/>
          <w:color w:val="auto"/>
        </w:rPr>
      </w:pPr>
    </w:p>
    <w:p>
      <w:pPr>
        <w:ind w:left="1080" w:right="2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of the Company to redeem, purchase or repay any debt securities pursuant to any mandatory redemption, sinking fund or other provisions or at the option of a holder of the debt securities;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and any higher integral multiple of $1,000, the denominations in which the debt securities will be issuable;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 which payment of the principal and interest shall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global securities;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for the defeasance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U.S. federal income tax consequences;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specific terms, including any deletions from, modifications of or additions to the events of default or covenants described below or in the applicable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Senior Debt</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may issue under the senior indenture the debt securities that will constitute part of our senior debt. These senior debt securities will rank equally and pari passu with all our other unsecured and unsubordinated debt.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Subordinated Debt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may issue under the subordinated indenture the debt securities that will constitute part of our subordinated debt. These subordinated debt securities will be subordinate and junior in right of payment, to the extent and in the manner set forth in the subordinated indenture, to all our “senior indebtedness.” “Senior indebtedness” is defined in the subordinated indenture and generally includes obligations of, or guaranteed by, us for borrowed money, or as evidenced by bonds, debentures, notes or other similar instruments, or in respect of letters of credit or other similar instruments, or to pay the deferred purchase price of property or services, or as a lessee under capital leases, or as secured by a lien on any asset of ours. “Senior indebtedness” does not include the subordinated debt securities or any other obligations specifically designated as being subordinate in right of payment to, or pari passu with, the subordinated debt securities. In general, the holders of all senior indebtedness are first entitled to receive payment in full of such senior indebtedness before the holders of any of the subordinated debt securities are entitled to receive a payment on account of the principal or interest on the indebtedness evidenced by the subordinated debt securities in certain events. These events include:</w:t>
      </w:r>
    </w:p>
    <w:p>
      <w:pPr>
        <w:spacing w:after="0" w:line="94" w:lineRule="exact"/>
        <w:rPr>
          <w:sz w:val="20"/>
          <w:szCs w:val="20"/>
          <w:color w:val="auto"/>
        </w:rPr>
      </w:pPr>
    </w:p>
    <w:p>
      <w:pPr>
        <w:ind w:left="1080" w:right="1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Dutch law, any insolvency or bankruptcy proceedings, or any receivership, dissolution, winding up, total or partial liquidation, reorganization or other similar proceedings in respect of us or a substantial part of our property, whether voluntary or involuntary;</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default having occurred with respect to the payment of principal or interest on or other monetary amounts due and payable with respect to any senior indebtedness or (ii) an event of default (other than a default described in clause (i) above) having occurred with respect to any senior indebtedness that permits the holder or holders of such senior indebtedness to accelerate the maturity of such senior indebtedness. Such a default or event of default must have continued beyond the period of grace, if any, provided in respect of such default or event of default, and such a default or event of default shall not have been cured or waived or shall not have ceased to exist; and</w:t>
      </w:r>
    </w:p>
    <w:p>
      <w:pPr>
        <w:spacing w:after="0" w:line="88"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accrued interest on, any series of the subordinated debt securities having been declared due and payable upon an event of default pursuant to the subordinated indenture. This declaration must not have been rescinded and annulled as provided in the subordinated indenture.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Authentication and Delivery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will deliver the debt securities to the trustee for authentication, and the trustee will authenticate and deliver the debt securities upon our written</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order.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When we use the term “Event of Default” in the indentures with respect to the debt securities of any series, set forth below are some examples of what we mean:</w:t>
      </w:r>
    </w:p>
    <w:p>
      <w:pPr>
        <w:spacing w:after="0" w:line="67" w:lineRule="exact"/>
        <w:rPr>
          <w:sz w:val="20"/>
          <w:szCs w:val="20"/>
          <w:color w:val="auto"/>
        </w:rPr>
      </w:pPr>
    </w:p>
    <w:p>
      <w:pPr>
        <w:ind w:left="5540" w:right="1420" w:hanging="4992"/>
        <w:spacing w:after="0" w:line="454" w:lineRule="auto"/>
        <w:tabs>
          <w:tab w:leader="none" w:pos="109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on the debt securities when it becomes due and payable at maturity or otherwise; 29</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interest on the debt securities when it becomes due and payable, and such default continues for a period of 30 days;</w:t>
      </w:r>
    </w:p>
    <w:p>
      <w:pPr>
        <w:spacing w:after="0" w:line="67"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in the indenture (other than defaults specified in clauses (1) or (2) above) and the default or breach continues for a period of 90 consecutive days or more after written notice to us by the trustee or to us and the trustee by the holders of 25% or more in aggregate principal amount of the outstanding debt securities of all series affected thereby;</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certain events of bankruptcy, insolvency, or similar proceedings with respect to us or any substantial part of our property;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Events of Default that may be set forth in the applicable prospectus supplement.</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clause (4) above) with respect to the debt securities of any series then outstanding occurs and is continuing, then either the trustee or the holders of not less than 25% in principal amount of the securities of all such series then outstanding in respect of which an Event of Default has occurred may by notice in writing to us declare the entire principal amount of all debt securities of the affected series, and accrued interest, if any, to be due and payable immediately, and upon any such declaration the same shall become immediately due and payable.</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described in clause (4) above occurs and is continuing, then the principal amount of all the debt securities then outstanding and accrued interest shall be and become due immediately and payable without any declaration, notice or other action by any holder of the debt securities or the trustee.</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trustee will, within 90 days after the occurrence of any default actually known to it, give notice of the default to the holders of the debt securities of that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Discharge and Defeasance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discharge our obligations under each indenture, except as to:</w:t>
      </w:r>
    </w:p>
    <w:p>
      <w:pPr>
        <w:spacing w:after="0" w:line="131"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registration of transfer and exchange of debt securities, and our right of optional redemption,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substitution of mutilated, defaced, destroyed, lost or stolen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debt securities to receive payments of principal and interest;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obligations and immunities of the trustee;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holders of the debt securities as beneficiaries with respect to the property deposited with the trustee payable to them (as described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when:</w:t>
      </w:r>
    </w:p>
    <w:p>
      <w:pPr>
        <w:spacing w:after="0" w:line="131"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right="600" w:hanging="331"/>
        <w:spacing w:after="0" w:line="282"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any series issued that have been authenticated and delivered have been delivered by us to the trustee for cancellation; or</w:t>
      </w:r>
    </w:p>
    <w:p>
      <w:pPr>
        <w:spacing w:after="0" w:line="67" w:lineRule="exact"/>
        <w:rPr>
          <w:rFonts w:ascii="Times New Roman" w:cs="Times New Roman" w:eastAsia="Times New Roman" w:hAnsi="Times New Roman"/>
          <w:sz w:val="18"/>
          <w:szCs w:val="18"/>
          <w:color w:val="auto"/>
        </w:rPr>
      </w:pPr>
    </w:p>
    <w:p>
      <w:pPr>
        <w:ind w:left="1540" w:right="340" w:hanging="331"/>
        <w:spacing w:after="0" w:line="261"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debt securities of any series issued that have not been delivered by us to the trustee for cancellation have become due and payable or will become due and payable within one year or are to be called for redemption within one year under arrangements satisfactory to the trustee for the giving of notice of redemption by such trustee in our name and at our expense, and we have irrevocably deposited or caused to be deposited with the trustee as trust funds the entire amount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600"/>
        <w:spacing w:after="0" w:line="282" w:lineRule="auto"/>
        <w:rPr>
          <w:sz w:val="20"/>
          <w:szCs w:val="20"/>
          <w:color w:val="auto"/>
        </w:rPr>
      </w:pPr>
      <w:r>
        <w:rPr>
          <w:rFonts w:ascii="Times New Roman" w:cs="Times New Roman" w:eastAsia="Times New Roman" w:hAnsi="Times New Roman"/>
          <w:sz w:val="18"/>
          <w:szCs w:val="18"/>
          <w:color w:val="auto"/>
        </w:rPr>
        <w:t>sufficient to pay at maturity or upon redemption all debt securities of such series not delivered to the trustee for cancellation, including principal and interest due or to become due on or prior to such date of maturity or redemption;</w:t>
      </w:r>
    </w:p>
    <w:p>
      <w:pPr>
        <w:spacing w:after="0" w:line="67" w:lineRule="exact"/>
        <w:rPr>
          <w:sz w:val="20"/>
          <w:szCs w:val="20"/>
          <w:color w:val="auto"/>
        </w:rPr>
      </w:pPr>
    </w:p>
    <w:p>
      <w:pPr>
        <w:ind w:left="1540" w:hanging="331"/>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under such indenture; and</w:t>
      </w:r>
    </w:p>
    <w:p>
      <w:pPr>
        <w:spacing w:after="0" w:line="130" w:lineRule="exact"/>
        <w:rPr>
          <w:rFonts w:ascii="Times New Roman" w:cs="Times New Roman" w:eastAsia="Times New Roman" w:hAnsi="Times New Roman"/>
          <w:sz w:val="18"/>
          <w:szCs w:val="18"/>
          <w:color w:val="auto"/>
        </w:rPr>
      </w:pPr>
    </w:p>
    <w:p>
      <w:pPr>
        <w:ind w:left="1540" w:right="300" w:hanging="331"/>
        <w:spacing w:after="0" w:line="282" w:lineRule="auto"/>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such indenture relating to the satisfaction and discharge of such indenture have been complied with.</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addition, unless the applicable prospectus supplement and supplemental indenture otherwise provide, we may elect either (i) to have our obligations under each indenture discharged with respect to the outstanding debt securities of any series (“legal defeasance”) or (ii) to be released from our obligations under each indenture with respect to certain covenants applicable to the outstanding debt securities of any series (“covenant defeasance”). Legal defeasance means that we will be deemed to have paid and discharged the entire indebtedness represented by the outstanding debt securities of such series under such indenture and covenant defeasance means that we will no longer be required to comply with the obligations with respect to such covenants (and an omission to comply with such obligations will not constitute a default or event of default).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legal defeasance or covenant defeasance with respect to outstanding debt securities of any series:</w:t>
      </w:r>
    </w:p>
    <w:p>
      <w:pPr>
        <w:spacing w:after="0" w:line="131" w:lineRule="exact"/>
        <w:rPr>
          <w:sz w:val="20"/>
          <w:szCs w:val="20"/>
          <w:color w:val="auto"/>
        </w:rPr>
      </w:pPr>
    </w:p>
    <w:p>
      <w:pPr>
        <w:ind w:left="1080" w:right="50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in trust for the purpose of making the following payments, specifically pledged as security for, and dedicated solely to the benefits of the holders of the debt securities of a series: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in an 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or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money and U.S. government obligations, in each case sufficient without reinvestment, in the written opinion of a nationally recognized firm of independent public accountants, to pay and discharge, and which shall be applied by the trustee to pay and discharge, all of the principal and interest at due date or maturity or if we have made irrevocable arrangements satisfactory to the trustee for the giving of notice of redemption by the trustee, the redemption date;</w:t>
      </w:r>
    </w:p>
    <w:p>
      <w:pPr>
        <w:spacing w:after="0" w:line="85"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opinion of counsel stating that, under then applicable U.S. federal income tax law, the holders of the debt securities of that series will not recognize gain or loss for U.S. federal income tax purposes as a result of the defeasance and will be subject to the same federal income tax as would be the case if the defeasance did not occur;</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relating to bankruptcy or insolvency and, in the case of a covenant defeasance, no other default has occurred and is continuing at any time;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such time the debt securities of such series are listed on a national securities exchange, we have delivered to the trustee an opinion of counsel to the effect that the debt securities of such series will not be delisted as a result of such defeasance;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with respect to the defeasance have been complied with.</w:t>
      </w:r>
    </w:p>
    <w:p>
      <w:pPr>
        <w:spacing w:after="0" w:line="162" w:lineRule="exact"/>
        <w:rPr>
          <w:sz w:val="20"/>
          <w:szCs w:val="20"/>
          <w:color w:val="auto"/>
        </w:rPr>
      </w:pPr>
    </w:p>
    <w:p>
      <w:pPr>
        <w:jc w:val="center"/>
        <w:ind w:right="360"/>
        <w:spacing w:after="0" w:line="454" w:lineRule="auto"/>
        <w:rPr>
          <w:sz w:val="20"/>
          <w:szCs w:val="20"/>
          <w:color w:val="auto"/>
        </w:rPr>
      </w:pPr>
      <w:r>
        <w:rPr>
          <w:rFonts w:ascii="Times New Roman" w:cs="Times New Roman" w:eastAsia="Times New Roman" w:hAnsi="Times New Roman"/>
          <w:sz w:val="18"/>
          <w:szCs w:val="18"/>
          <w:color w:val="auto"/>
        </w:rPr>
        <w:t>We are required to furnish to each trustee an annual statement as to compliance with all conditions and covenants under the indenture. 31</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debt securities, ordinary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warrants we offer will include specific terms relating to the offering. These terms will include some or all of the following:</w:t>
      </w:r>
    </w:p>
    <w:p>
      <w:pPr>
        <w:spacing w:after="0" w:line="67"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 offered;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debt securities, ordinary shares or other securities purchasable upon exercise of the warrants and procedures by which those numbers may be adjusted;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or periods during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are issued;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issued as a unit with another security, the date on and after which the warrants and the other security will be separately transferable;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is not payable in U.S. dollars, the foreign currency, currency unit or composite currency in which the exercise price is denominated;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minimum or maximum amount of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relating to the modification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warrants.</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terms of any warrants to be issued and a description of the material provisions of the applicable warrant agreement will be set forth in the applicable prospectus supplement.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may issue purchase contracts for the purchase or sale of debt or equity securities issued by us or securities of third parties, a basket of such securities, an index or indices of such securities or any combination of the above as specified in the applicable prospectus supplement.</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Each purchase contract will entitle the holder thereof to purchase or sell, and obligate us to sell or purchase, on specified dates, such securities at a specified purchase price, which may be based on a formula, all as set forth in the applicable prospectus supplement. A purchase by us or any of our subsidiaries of ordinary shares pursuant to any such purchase contract shall be subject to certain restrictions under Dutch law that generally apply to a repurchase of shares. We may, however, satisfy our obligations, if any, with respect to any purchase contract by delivering the cash value of such purchase contract or the cash value of the property otherwise deliverable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either the senior indenture or the subordinated indenture.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ordinary shares, debt securities, warrants, purchase contracts or any combination of such securities. The applicable prospectus supplement will describe:</w:t>
      </w:r>
    </w:p>
    <w:p>
      <w:pPr>
        <w:spacing w:after="0" w:line="67" w:lineRule="exact"/>
        <w:rPr>
          <w:sz w:val="20"/>
          <w:szCs w:val="20"/>
          <w:color w:val="auto"/>
        </w:rPr>
      </w:pPr>
    </w:p>
    <w:p>
      <w:pPr>
        <w:ind w:left="1080" w:right="2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units and of the ordinary shares, debt securities, warrants and/or purchase contracts comprising the units, including whether and under what circumstances the securities comprising the units may be traded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15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40"/>
          </w:cols>
          <w:pgMar w:left="320" w:top="455" w:right="8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Pharvaris N.V., its affiliates, the trustees, the warrant agents, the unit agents or any other agent of Pharvaris N.V.,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the securities in one or more of the following ways (or in any combination) from time to time:</w:t>
      </w:r>
    </w:p>
    <w:p>
      <w:pPr>
        <w:spacing w:after="0" w:line="131"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will state the terms of the offering of the securities, including:</w:t>
      </w:r>
    </w:p>
    <w:p>
      <w:pPr>
        <w:spacing w:after="0" w:line="131"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public offering price and any discounts or concessions allowed or reallowed or paid to dealers may be changed from time to time.</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underwriters are used in the sale, the securities will be acquired by the underwriters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commercially reasonable efforts basis for the period of its appointment.</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w:t>
      </w:r>
    </w:p>
    <w:p>
      <w:pPr>
        <w:spacing w:after="0" w:line="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60"/>
          </w:cols>
          <w:pgMar w:left="320" w:top="455" w:right="5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and our affiliates in the ordinary course of business.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ordinary shares, which are listed on The Nasdaq Global Select Market.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the following documents or information that we have filed with the SEC:</w:t>
      </w:r>
    </w:p>
    <w:p>
      <w:pPr>
        <w:spacing w:after="0" w:line="131"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20-F for the fiscal year ended December 31, 2023 filed on </w:t>
      </w:r>
      <w:hyperlink r:id="rId103">
        <w:r>
          <w:rPr>
            <w:rFonts w:ascii="Times New Roman" w:cs="Times New Roman" w:eastAsia="Times New Roman" w:hAnsi="Times New Roman"/>
            <w:sz w:val="18"/>
            <w:szCs w:val="18"/>
            <w:u w:val="single" w:color="auto"/>
            <w:color w:val="0000EE"/>
          </w:rPr>
          <w:t>April 10,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6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Forms 6-K filed on </w:t>
      </w:r>
      <w:hyperlink r:id="rId104">
        <w:r>
          <w:rPr>
            <w:rFonts w:ascii="Times New Roman" w:cs="Times New Roman" w:eastAsia="Times New Roman" w:hAnsi="Times New Roman"/>
            <w:sz w:val="18"/>
            <w:szCs w:val="18"/>
            <w:u w:val="single" w:color="auto"/>
            <w:color w:val="0000EE"/>
          </w:rPr>
          <w:t>January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exhibit 99.2), </w:t>
      </w:r>
      <w:hyperlink r:id="rId105">
        <w:r>
          <w:rPr>
            <w:rFonts w:ascii="Times New Roman" w:cs="Times New Roman" w:eastAsia="Times New Roman" w:hAnsi="Times New Roman"/>
            <w:sz w:val="18"/>
            <w:szCs w:val="18"/>
            <w:u w:val="single" w:color="auto"/>
            <w:color w:val="0000EE"/>
          </w:rPr>
          <w:t>January 22,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exhibit 99.2), </w:t>
      </w:r>
      <w:hyperlink r:id="rId106">
        <w:r>
          <w:rPr>
            <w:rFonts w:ascii="Times New Roman" w:cs="Times New Roman" w:eastAsia="Times New Roman" w:hAnsi="Times New Roman"/>
            <w:sz w:val="18"/>
            <w:szCs w:val="18"/>
            <w:u w:val="single" w:color="auto"/>
            <w:color w:val="0000EE"/>
          </w:rPr>
          <w:t>February 7, 2024</w:t>
        </w:r>
      </w:hyperlink>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EE"/>
          </w:rPr>
          <w:t>February 16,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exhibits 99.4 and 99.5),</w:t>
      </w:r>
      <w:r>
        <w:rPr>
          <w:rFonts w:ascii="Times New Roman" w:cs="Times New Roman" w:eastAsia="Times New Roman" w:hAnsi="Times New Roman"/>
          <w:sz w:val="18"/>
          <w:szCs w:val="18"/>
          <w:color w:val="0000EE"/>
        </w:rPr>
        <w:t xml:space="preserve"> </w:t>
      </w:r>
      <w:hyperlink r:id="rId108">
        <w:r>
          <w:rPr>
            <w:rFonts w:ascii="Times New Roman" w:cs="Times New Roman" w:eastAsia="Times New Roman" w:hAnsi="Times New Roman"/>
            <w:sz w:val="18"/>
            <w:szCs w:val="18"/>
            <w:u w:val="single" w:color="auto"/>
            <w:color w:val="0000EE"/>
          </w:rPr>
          <w:t xml:space="preserve">March 6,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09">
        <w:r>
          <w:rPr>
            <w:rFonts w:ascii="Times New Roman" w:cs="Times New Roman" w:eastAsia="Times New Roman" w:hAnsi="Times New Roman"/>
            <w:sz w:val="18"/>
            <w:szCs w:val="18"/>
            <w:u w:val="single" w:color="auto"/>
            <w:color w:val="0000EE"/>
          </w:rPr>
          <w:t xml:space="preserve">April 10, 2024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exhibit 99.1);</w:t>
      </w:r>
    </w:p>
    <w:p>
      <w:pPr>
        <w:spacing w:after="0" w:line="67" w:lineRule="exact"/>
        <w:rPr>
          <w:rFonts w:ascii="Times New Roman" w:cs="Times New Roman" w:eastAsia="Times New Roman" w:hAnsi="Times New Roman"/>
          <w:sz w:val="18"/>
          <w:szCs w:val="18"/>
          <w:color w:val="0000EE"/>
        </w:rPr>
      </w:pPr>
    </w:p>
    <w:p>
      <w:pPr>
        <w:ind w:left="1080" w:right="32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5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February 4, 2021, as updated by the description of our ordinary shares filed as </w:t>
      </w:r>
      <w:hyperlink r:id="rId110">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20-F for the fiscal year ended December 31, 2023.</w:t>
      </w:r>
    </w:p>
    <w:p>
      <w:pPr>
        <w:spacing w:after="0" w:line="176" w:lineRule="exact"/>
        <w:rPr>
          <w:rFonts w:ascii="Times New Roman" w:cs="Times New Roman" w:eastAsia="Times New Roman" w:hAnsi="Times New Roman"/>
          <w:sz w:val="18"/>
          <w:szCs w:val="18"/>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6-K that it is being incorporated by reference into this prospectus.</w:t>
      </w:r>
    </w:p>
    <w:p>
      <w:pPr>
        <w:spacing w:after="0" w:line="180" w:lineRule="exact"/>
        <w:rPr>
          <w:rFonts w:ascii="Times New Roman" w:cs="Times New Roman" w:eastAsia="Times New Roman" w:hAnsi="Times New Roman"/>
          <w:sz w:val="18"/>
          <w:szCs w:val="18"/>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Emmy Noetherweg 2, 2333 BK Leiden, The Netherlands or via telephone at +31 (0)71 203 6410.</w:t>
      </w:r>
    </w:p>
    <w:p>
      <w:pPr>
        <w:spacing w:after="0" w:line="90"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5"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ENFORCEMENT OF JUDGMENTS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Times New Roman" w:cs="Times New Roman" w:eastAsia="Times New Roman" w:hAnsi="Times New Roman"/>
          <w:sz w:val="18"/>
          <w:szCs w:val="18"/>
          <w:i w:val="1"/>
          <w:iCs w:val="1"/>
          <w:color w:val="auto"/>
        </w:rPr>
        <w:t>functionarissen</w:t>
      </w:r>
      <w:r>
        <w:rPr>
          <w:rFonts w:ascii="Times New Roman" w:cs="Times New Roman" w:eastAsia="Times New Roman" w:hAnsi="Times New Roman"/>
          <w:sz w:val="18"/>
          <w:szCs w:val="18"/>
          <w:color w:val="auto"/>
        </w:rPr>
        <w:t>) (including our directors and executive officers) are governed in certain respects by the laws of the Netherlands.</w:t>
      </w:r>
    </w:p>
    <w:p>
      <w:pPr>
        <w:spacing w:after="0" w:line="176"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Also, service of process against non-residents of the United States can in principle (absent, for example, a valid choice of domicile) not be effected in the United States.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Furthermore, substantially all of our assets are located outside the United States. As of the date of this prospectus,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Times New Roman" w:cs="Times New Roman" w:eastAsia="Times New Roman" w:hAnsi="Times New Roman"/>
          <w:sz w:val="18"/>
          <w:szCs w:val="18"/>
          <w:i w:val="1"/>
          <w:iCs w:val="1"/>
          <w:color w:val="auto"/>
        </w:rPr>
        <w:t>behoorlijke rechtspleging</w:t>
      </w:r>
      <w:r>
        <w:rPr>
          <w:rFonts w:ascii="Times New Roman" w:cs="Times New Roman" w:eastAsia="Times New Roman" w:hAnsi="Times New Roman"/>
          <w:sz w:val="18"/>
          <w:szCs w:val="18"/>
          <w:color w:val="auto"/>
        </w:rPr>
        <w:t>), (iii) binding effect of such United States judgment is not contrary to Dutch public order (</w:t>
      </w:r>
      <w:r>
        <w:rPr>
          <w:rFonts w:ascii="Times New Roman" w:cs="Times New Roman" w:eastAsia="Times New Roman" w:hAnsi="Times New Roman"/>
          <w:sz w:val="18"/>
          <w:szCs w:val="18"/>
          <w:i w:val="1"/>
          <w:iCs w:val="1"/>
          <w:color w:val="auto"/>
        </w:rPr>
        <w:t>openbare orde</w:t>
      </w:r>
      <w:r>
        <w:rPr>
          <w:rFonts w:ascii="Times New Roman" w:cs="Times New Roman" w:eastAsia="Times New Roman" w:hAnsi="Times New Roman"/>
          <w:sz w:val="18"/>
          <w:szCs w:val="18"/>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95"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Thus, United States investors may not be able, or experience difficulty, to enforce a judgment obtained in a United States court against us or our officers.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9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-3175</wp:posOffset>
            </wp:positionV>
            <wp:extent cx="6775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8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Miscellaneous</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771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right"/>
        <w:ind w:right="1720"/>
        <w:spacing w:after="0"/>
        <w:tabs>
          <w:tab w:leader="none" w:pos="800" w:val="left"/>
        </w:tabs>
        <w:rPr>
          <w:sz w:val="20"/>
          <w:szCs w:val="20"/>
          <w:color w:val="auto"/>
        </w:rPr>
      </w:pPr>
      <w:r>
        <w:rPr>
          <w:rFonts w:ascii="Times New Roman" w:cs="Times New Roman" w:eastAsia="Times New Roman" w:hAnsi="Times New Roman"/>
          <w:sz w:val="18"/>
          <w:szCs w:val="18"/>
          <w:color w:val="auto"/>
        </w:rPr>
        <w:t>$</w:t>
        <w:tab/>
        <w:t>            *</w:t>
      </w:r>
    </w:p>
    <w:p>
      <w:pPr>
        <w:spacing w:after="0" w:line="27"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775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ind w:left="980" w:hanging="971"/>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775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6775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2800"/>
          </w:cols>
          <w:pgMar w:left="320" w:top="455" w:right="559" w:bottom="1440" w:gutter="0" w:footer="0" w:header="0"/>
          <w:type w:val="continuous"/>
        </w:sectPr>
      </w:pPr>
    </w:p>
    <w:p>
      <w:pPr>
        <w:spacing w:after="0" w:line="52"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validity of the ordinary shares and certain other matters of Dutch law will be passed upon for us by NautaDutilh N.V. Certain matters of U.S.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and New York State law will be passed upon for us by Kirkland &amp; Ellis LLP, New York, New York.</w:t>
      </w: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20-F for the year ended December 31, 2023 have been so incorporated in reliance on the report of PricewaterhouseCoopers Accountants N.V., an independent registered public accounting firm, given on the authority of said firm as experts in auditing and accounting.</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320" w:top="455" w:right="5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5"/>
          <w:szCs w:val="25"/>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178435</wp:posOffset>
            </wp:positionV>
            <wp:extent cx="2383155" cy="3429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238315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32"/>
          <w:szCs w:val="32"/>
          <w:b w:val="1"/>
          <w:bCs w:val="1"/>
          <w:color w:val="auto"/>
        </w:rPr>
        <w:t>Pharvaris N.V.</w:t>
      </w:r>
    </w:p>
    <w:p>
      <w:pPr>
        <w:spacing w:after="0" w:line="200" w:lineRule="exact"/>
        <w:rPr>
          <w:sz w:val="20"/>
          <w:szCs w:val="20"/>
          <w:color w:val="auto"/>
        </w:rPr>
      </w:pPr>
    </w:p>
    <w:p>
      <w:pPr>
        <w:spacing w:after="0" w:line="24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1275715</wp:posOffset>
            </wp:positionV>
            <wp:extent cx="1474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Morgan Stanley</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Leerink Partners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Cantor</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Oppenheimer &amp; Co.</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Van Lanschot Kempen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lowerRoman"/>
      <w:start w:val="2"/>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1)"/>
      <w:numFmt w:val="lowerRoman"/>
      <w:start w:val="2"/>
    </w:lvl>
  </w:abstractNum>
  <w:abstractNum w:abstractNumId="10">
    <w:nsid w:val="5C482A97"/>
    <w:multiLevelType w:val="hybridMultilevel"/>
    <w:lvl w:ilvl="0">
      <w:lvlJc w:val="left"/>
      <w:lvlText w:val="(%1)"/>
      <w:numFmt w:val="lowerRoman"/>
      <w:start w:val="1"/>
    </w:lvl>
  </w:abstractNum>
  <w:abstractNum w:abstractNumId="11">
    <w:nsid w:val="2463B9EA"/>
    <w:multiLevelType w:val="hybridMultilevel"/>
    <w:lvl w:ilvl="0">
      <w:lvlJc w:val="left"/>
      <w:lvlText w:val="(%1)"/>
      <w:numFmt w:val="lowerRoman"/>
      <w:start w:val="3"/>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lowerRoman"/>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1)"/>
      <w:numFmt w:val="lowerRoman"/>
      <w:start w:val="1"/>
    </w:lvl>
  </w:abstractNum>
  <w:abstractNum w:abstractNumId="16">
    <w:nsid w:val="153EA438"/>
    <w:multiLevelType w:val="hybridMultilevel"/>
    <w:lvl w:ilvl="0">
      <w:lvlJc w:val="left"/>
      <w:lvlText w:val="(%1)"/>
      <w:numFmt w:val="lowerRoman"/>
      <w:start w:val="1"/>
    </w:lvl>
  </w:abstractNum>
  <w:abstractNum w:abstractNumId="17">
    <w:nsid w:val="3855585C"/>
    <w:multiLevelType w:val="hybridMultilevel"/>
    <w:lvl w:ilvl="0">
      <w:lvlJc w:val="left"/>
      <w:lvlText w:val="(%1)"/>
      <w:numFmt w:val="lowerRoman"/>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lowerRoman"/>
      <w:start w:val="4"/>
    </w:lvl>
  </w:abstractNum>
  <w:abstractNum w:abstractNumId="20">
    <w:nsid w:val="2A487CB0"/>
    <w:multiLevelType w:val="hybridMultilevel"/>
    <w:lvl w:ilvl="0">
      <w:lvlJc w:val="left"/>
      <w:lvlText w:val="(%1)"/>
      <w:numFmt w:val="lowerLetter"/>
      <w:start w:val="1"/>
    </w:lvl>
  </w:abstractNum>
  <w:abstractNum w:abstractNumId="21">
    <w:nsid w:val="1D4ED43B"/>
    <w:multiLevelType w:val="hybridMultilevel"/>
    <w:lvl w:ilvl="0">
      <w:lvlJc w:val="left"/>
      <w:lvlText w:val="(%1)"/>
      <w:numFmt w:val="lowerLetter"/>
      <w:start w:val="2"/>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upperLetter"/>
      <w:start w:val="2"/>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upperLetter"/>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upperLetter"/>
      <w:start w:val="1"/>
    </w:lvl>
    <w:lvl w:ilvl="1">
      <w:lvlJc w:val="left"/>
      <w:lvlText w:val="•"/>
      <w:numFmt w:val="bullet"/>
      <w:start w:val="1"/>
    </w:lvl>
  </w:abstractNum>
  <w:abstractNum w:abstractNumId="30">
    <w:nsid w:val="7644A45C"/>
    <w:multiLevelType w:val="hybridMultilevel"/>
    <w:lvl w:ilvl="0">
      <w:lvlJc w:val="left"/>
      <w:lvlText w:val="%1."/>
      <w:numFmt w:val="upperLetter"/>
      <w:start w:val="4"/>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upperLetter"/>
      <w:start w:val="5"/>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upperLetter"/>
      <w:start w:val="6"/>
    </w:lvl>
  </w:abstractNum>
  <w:abstractNum w:abstractNumId="36">
    <w:nsid w:val="1BA026FA"/>
    <w:multiLevelType w:val="hybridMultilevel"/>
    <w:lvl w:ilvl="0">
      <w:lvlJc w:val="left"/>
      <w:lvlText w:val="%1."/>
      <w:numFmt w:val="upperLetter"/>
      <w:start w:val="7"/>
    </w:lvl>
  </w:abstractNum>
  <w:abstractNum w:abstractNumId="37">
    <w:nsid w:val="79A1DEAA"/>
    <w:multiLevelType w:val="hybridMultilevel"/>
    <w:lvl w:ilvl="0">
      <w:lvlJc w:val="left"/>
      <w:lvlText w:val="%1."/>
      <w:numFmt w:val="upperLetter"/>
      <w:start w:val="8"/>
    </w:lvl>
  </w:abstractNum>
  <w:abstractNum w:abstractNumId="38">
    <w:nsid w:val="75C6C33A"/>
    <w:multiLevelType w:val="hybridMultilevel"/>
    <w:lvl w:ilvl="0">
      <w:lvlJc w:val="left"/>
      <w:lvlText w:val="(%1)"/>
      <w:numFmt w:val="lowerRoman"/>
      <w:start w:val="2"/>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1)"/>
      <w:numFmt w:val="lowerRoman"/>
      <w:start w:val="2"/>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lowerRoman"/>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decimal"/>
      <w:start w:val="2"/>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lvl w:ilvl="1">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jpe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jpe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53" Type="http://schemas.openxmlformats.org/officeDocument/2006/relationships/hyperlink" Target="http://www.sec.gov/ix?doc=/Archives/edgar/data/0001830487/000095017025051347/phvs-20241231.htm" TargetMode="External"/><Relationship Id="rId54" Type="http://schemas.openxmlformats.org/officeDocument/2006/relationships/hyperlink" Target="http://www.sec.gov/Archives/edgar/data/1830487/000095017025084094/6-k_agm_pr_announcement_.htm" TargetMode="External"/><Relationship Id="rId55" Type="http://schemas.openxmlformats.org/officeDocument/2006/relationships/hyperlink" Target="http://www.sec.gov/Archives/edgar/data/1830487/000095017025090887/annual_general_meeting_2.htm" TargetMode="External"/><Relationship Id="rId56" Type="http://schemas.openxmlformats.org/officeDocument/2006/relationships/hyperlink" Target="http://www.sec.gov/Archives/edgar/data/1830487/000119312521028346/d91705d8a12b.htm" TargetMode="External"/><Relationship Id="rId57" Type="http://schemas.openxmlformats.org/officeDocument/2006/relationships/hyperlink" Target="http://www.sec.gov/Archives/edgar/data/1830487/000119312521140476/d51199dex21.htm" TargetMode="External"/><Relationship Id="rId103" Type="http://schemas.openxmlformats.org/officeDocument/2006/relationships/hyperlink" Target="http://www.sec.gov/ix?doc=/Archives/edgar/data/0001830487/000095017024043358/phvs-20231231.htm" TargetMode="External"/><Relationship Id="rId104" Type="http://schemas.openxmlformats.org/officeDocument/2006/relationships/hyperlink" Target="http://www.sec.gov/Archives/edgar/data/1830487/000095017024002680/corporate_presentation_j.htm" TargetMode="External"/><Relationship Id="rId105" Type="http://schemas.openxmlformats.org/officeDocument/2006/relationships/hyperlink" Target="http://www.sec.gov/Archives/edgar/data/1830487/000095017024005923/corp_presentation_2024_u.htm" TargetMode="External"/><Relationship Id="rId106" Type="http://schemas.openxmlformats.org/officeDocument/2006/relationships/hyperlink" Target="http://www.sec.gov/Archives/edgar/data/1830487/000095017024012166/registration_rights_agre.htm" TargetMode="External"/><Relationship Id="rId107" Type="http://schemas.openxmlformats.org/officeDocument/2006/relationships/hyperlink" Target="http://www.sec.gov/Archives/edgar/data/1830487/000095017024016144/6-k_egm_pr_announcement.htm" TargetMode="External"/><Relationship Id="rId108" Type="http://schemas.openxmlformats.org/officeDocument/2006/relationships/hyperlink" Target="http://www.sec.gov/Archives/edgar/data/1830487/000095017024027155/egm_2024.htm" TargetMode="External"/><Relationship Id="rId109" Type="http://schemas.openxmlformats.org/officeDocument/2006/relationships/hyperlink" Target="http://www.sec.gov/Archives/edgar/data/1830487/000095017024043354/pr_fin_results_2023.htm" TargetMode="External"/><Relationship Id="rId110" Type="http://schemas.openxmlformats.org/officeDocument/2006/relationships/hyperlink" Target="http://www.sec.gov/Archives/edgar/data/1830487/000095017024043358/phvs-ex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2025-07-22T15:25:44Z</dcterms:created>
  <dcterms:modified xsi:type="dcterms:W3CDTF">2025-07-22T15:25:44Z</dcterms:modified>
</cp:coreProperties>
</file>