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7" w:lineRule="exact"/>
        <w:rPr>
          <w:sz w:val="24"/>
          <w:szCs w:val="24"/>
          <w:color w:val="auto"/>
        </w:rPr>
      </w:pPr>
    </w:p>
    <w:p>
      <w:pPr>
        <w:jc w:val="center"/>
        <w:ind w:right="-259"/>
        <w:spacing w:after="0"/>
        <w:rPr>
          <w:sz w:val="20"/>
          <w:szCs w:val="20"/>
          <w:color w:val="auto"/>
        </w:rPr>
      </w:pPr>
      <w:r>
        <w:rPr>
          <w:rFonts w:ascii="Arial" w:cs="Arial" w:eastAsia="Arial" w:hAnsi="Arial"/>
          <w:sz w:val="28"/>
          <w:szCs w:val="28"/>
          <w:b w:val="1"/>
          <w:bCs w:val="1"/>
          <w:color w:val="auto"/>
        </w:rPr>
        <w:t>SECURITIES AND EXCHANGE COMMISSION</w:t>
      </w:r>
    </w:p>
    <w:p>
      <w:pPr>
        <w:spacing w:after="0" w:line="5"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WASHINGTON, D.C. 20549</w:t>
      </w:r>
    </w:p>
    <w:p>
      <w:pPr>
        <w:spacing w:after="0" w:line="159" w:lineRule="exact"/>
        <w:rPr>
          <w:sz w:val="24"/>
          <w:szCs w:val="24"/>
          <w:color w:val="auto"/>
        </w:rPr>
      </w:pPr>
    </w:p>
    <w:p>
      <w:pPr>
        <w:jc w:val="center"/>
        <w:ind w:right="-259"/>
        <w:spacing w:after="0"/>
        <w:rPr>
          <w:sz w:val="20"/>
          <w:szCs w:val="20"/>
          <w:color w:val="auto"/>
        </w:rPr>
      </w:pPr>
      <w:r>
        <w:rPr>
          <w:rFonts w:ascii="Arial" w:cs="Arial" w:eastAsia="Arial" w:hAnsi="Arial"/>
          <w:sz w:val="28"/>
          <w:szCs w:val="2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-195580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98"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6"/>
          <w:szCs w:val="16"/>
          <w:b w:val="1"/>
          <w:bCs w:val="1"/>
          <w:color w:val="auto"/>
        </w:rPr>
        <w:t>PURSUANT TO RULE 13A-16 OR 15D-16 UNDER</w:t>
      </w:r>
    </w:p>
    <w:p>
      <w:pPr>
        <w:jc w:val="center"/>
        <w:ind w:right="-259"/>
        <w:spacing w:after="0"/>
        <w:rPr>
          <w:sz w:val="20"/>
          <w:szCs w:val="20"/>
          <w:color w:val="auto"/>
        </w:rPr>
      </w:pPr>
      <w:r>
        <w:rPr>
          <w:rFonts w:ascii="Arial" w:cs="Arial" w:eastAsia="Arial" w:hAnsi="Arial"/>
          <w:sz w:val="16"/>
          <w:szCs w:val="16"/>
          <w:b w:val="1"/>
          <w:bCs w:val="1"/>
          <w:color w:val="auto"/>
        </w:rPr>
        <w:t>THE SECURITIES EXCHANGE ACT OF 1934</w:t>
      </w:r>
    </w:p>
    <w:p>
      <w:pPr>
        <w:spacing w:after="0" w:line="33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For the month of February 2023</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Commission File Number: 001-40010</w:t>
      </w:r>
    </w:p>
    <w:p>
      <w:pPr>
        <w:spacing w:after="0" w:line="146" w:lineRule="exact"/>
        <w:rPr>
          <w:sz w:val="24"/>
          <w:szCs w:val="24"/>
          <w:color w:val="auto"/>
        </w:rPr>
      </w:pPr>
    </w:p>
    <w:p>
      <w:pPr>
        <w:jc w:val="center"/>
        <w:ind w:right="-259"/>
        <w:spacing w:after="0"/>
        <w:rPr>
          <w:sz w:val="20"/>
          <w:szCs w:val="20"/>
          <w:color w:val="auto"/>
        </w:rPr>
      </w:pPr>
      <w:r>
        <w:rPr>
          <w:rFonts w:ascii="Arial" w:cs="Arial" w:eastAsia="Arial" w:hAnsi="Arial"/>
          <w:sz w:val="38"/>
          <w:szCs w:val="38"/>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56"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Emmy Noetherweg 2</w:t>
      </w:r>
    </w:p>
    <w:p>
      <w:pPr>
        <w:spacing w:after="0" w:line="28"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2333 BK Leiden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The Netherlands</w:t>
      </w:r>
    </w:p>
    <w:p>
      <w:pPr>
        <w:ind w:left="4320"/>
        <w:spacing w:after="0"/>
        <w:rPr>
          <w:sz w:val="20"/>
          <w:szCs w:val="20"/>
          <w:color w:val="auto"/>
        </w:rPr>
      </w:pPr>
      <w:r>
        <w:rPr>
          <w:rFonts w:ascii="Arial" w:cs="Arial" w:eastAsia="Arial" w:hAnsi="Arial"/>
          <w:sz w:val="16"/>
          <w:szCs w:val="16"/>
          <w:color w:val="auto"/>
        </w:rPr>
        <w:t>(Address of principal executive office)</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81" w:lineRule="exact"/>
        <w:tabs>
          <w:tab w:leader="none" w:pos="146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Form 40-F </w:t>
      </w:r>
      <w:r>
        <w:rPr>
          <w:rFonts w:ascii="MS PGothic" w:cs="MS PGothic" w:eastAsia="MS PGothic" w:hAnsi="MS PGothic"/>
          <w:sz w:val="15"/>
          <w:szCs w:val="15"/>
          <w:color w:val="auto"/>
        </w:rPr>
        <w:t>☐</w:t>
      </w:r>
    </w:p>
    <w:p>
      <w:pPr>
        <w:spacing w:after="0" w:line="181"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ind w:right="200"/>
        <w:spacing w:after="0" w:line="229"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181"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35"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159385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80"/>
          </w:cols>
          <w:pgMar w:left="320" w:top="422"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PHARVARIS N.V.</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February 14, 2023 in connection with an investor event, Pharvaris N.V. provided a corporate update included in a corporate presentation on its website in which, among other things, Pharvaris disclosed that it has finalized the protocol for a 26-week rodent toxicology study with the FDA and that the 26-week study will initiate soon. The presentation is attached as Exhibit 99.1 hereto and is incorporated by reference herein.</w:t>
      </w:r>
    </w:p>
    <w:p>
      <w:pPr>
        <w:spacing w:after="0" w:line="97"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A copy of the corporate presentation is attached hereto as Exhibit 99.1. This Report on Form 6-K (excluding Exhibit 99.1) shall be deemed to be incorporated by reference into the registration statements on Form F-3 (Registration Number 333-263198) and Form S-8 (Registration Number 333-252897).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149225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80" w:type="dxa"/>
            <w:vAlign w:val="bottom"/>
          </w:tcPr>
          <w:p>
            <w:pPr>
              <w:spacing w:after="0"/>
              <w:rPr>
                <w:sz w:val="18"/>
                <w:szCs w:val="18"/>
                <w:color w:val="auto"/>
              </w:rPr>
            </w:pPr>
          </w:p>
        </w:tc>
        <w:tc>
          <w:tcPr>
            <w:tcW w:w="7580" w:type="dxa"/>
            <w:vAlign w:val="bottom"/>
            <w:gridSpan w:val="2"/>
          </w:tcPr>
          <w:p>
            <w:pPr>
              <w:ind w:left="1960"/>
              <w:spacing w:after="0"/>
              <w:rPr>
                <w:sz w:val="20"/>
                <w:szCs w:val="20"/>
                <w:color w:val="auto"/>
              </w:rPr>
            </w:pPr>
            <w:r>
              <w:rPr>
                <w:rFonts w:ascii="Arial" w:cs="Arial" w:eastAsia="Arial" w:hAnsi="Arial"/>
                <w:sz w:val="16"/>
                <w:szCs w:val="16"/>
                <w:b w:val="1"/>
                <w:bCs w:val="1"/>
                <w:color w:val="auto"/>
              </w:rPr>
              <w:t>PHARVARIS N.V.</w:t>
            </w:r>
          </w:p>
        </w:tc>
      </w:tr>
      <w:tr>
        <w:trPr>
          <w:trHeight w:val="419"/>
        </w:trPr>
        <w:tc>
          <w:tcPr>
            <w:tcW w:w="3680" w:type="dxa"/>
            <w:vAlign w:val="bottom"/>
          </w:tcPr>
          <w:p>
            <w:pPr>
              <w:spacing w:after="0"/>
              <w:rPr>
                <w:sz w:val="20"/>
                <w:szCs w:val="20"/>
                <w:color w:val="auto"/>
              </w:rPr>
            </w:pPr>
            <w:r>
              <w:rPr>
                <w:rFonts w:ascii="Arial" w:cs="Arial" w:eastAsia="Arial" w:hAnsi="Arial"/>
                <w:sz w:val="16"/>
                <w:szCs w:val="16"/>
                <w:color w:val="auto"/>
              </w:rPr>
              <w:t>Date: February 14, 2023</w:t>
            </w:r>
          </w:p>
        </w:tc>
        <w:tc>
          <w:tcPr>
            <w:tcW w:w="2880" w:type="dxa"/>
            <w:vAlign w:val="bottom"/>
          </w:tcPr>
          <w:p>
            <w:pPr>
              <w:ind w:left="1960"/>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207"/>
        </w:trPr>
        <w:tc>
          <w:tcPr>
            <w:tcW w:w="3680" w:type="dxa"/>
            <w:vAlign w:val="bottom"/>
          </w:tcPr>
          <w:p>
            <w:pPr>
              <w:spacing w:after="0"/>
              <w:rPr>
                <w:sz w:val="17"/>
                <w:szCs w:val="17"/>
                <w:color w:val="auto"/>
              </w:rPr>
            </w:pPr>
          </w:p>
        </w:tc>
        <w:tc>
          <w:tcPr>
            <w:tcW w:w="2880" w:type="dxa"/>
            <w:vAlign w:val="bottom"/>
          </w:tcPr>
          <w:p>
            <w:pPr>
              <w:ind w:left="1960"/>
              <w:spacing w:after="0"/>
              <w:rPr>
                <w:sz w:val="20"/>
                <w:szCs w:val="20"/>
                <w:color w:val="auto"/>
              </w:rPr>
            </w:pPr>
            <w:r>
              <w:rPr>
                <w:rFonts w:ascii="Arial" w:cs="Arial" w:eastAsia="Arial" w:hAnsi="Arial"/>
                <w:sz w:val="16"/>
                <w:szCs w:val="16"/>
                <w:color w:val="auto"/>
              </w:rPr>
              <w:t>Name:</w:t>
            </w:r>
          </w:p>
        </w:tc>
        <w:tc>
          <w:tcPr>
            <w:tcW w:w="4700" w:type="dxa"/>
            <w:vAlign w:val="bottom"/>
          </w:tcPr>
          <w:p>
            <w:pPr>
              <w:ind w:left="20"/>
              <w:spacing w:after="0"/>
              <w:rPr>
                <w:sz w:val="20"/>
                <w:szCs w:val="20"/>
                <w:color w:val="auto"/>
              </w:rPr>
            </w:pPr>
            <w:r>
              <w:rPr>
                <w:rFonts w:ascii="Arial" w:cs="Arial" w:eastAsia="Arial" w:hAnsi="Arial"/>
                <w:sz w:val="16"/>
                <w:szCs w:val="16"/>
                <w:color w:val="auto"/>
              </w:rPr>
              <w:t>Berndt Modig</w:t>
            </w:r>
          </w:p>
        </w:tc>
      </w:tr>
      <w:tr>
        <w:trPr>
          <w:trHeight w:val="210"/>
        </w:trPr>
        <w:tc>
          <w:tcPr>
            <w:tcW w:w="3680" w:type="dxa"/>
            <w:vAlign w:val="bottom"/>
          </w:tcPr>
          <w:p>
            <w:pPr>
              <w:spacing w:after="0"/>
              <w:rPr>
                <w:sz w:val="18"/>
                <w:szCs w:val="18"/>
                <w:color w:val="auto"/>
              </w:rPr>
            </w:pPr>
          </w:p>
        </w:tc>
        <w:tc>
          <w:tcPr>
            <w:tcW w:w="2880" w:type="dxa"/>
            <w:vAlign w:val="bottom"/>
          </w:tcPr>
          <w:p>
            <w:pPr>
              <w:ind w:left="1960"/>
              <w:spacing w:after="0"/>
              <w:rPr>
                <w:sz w:val="20"/>
                <w:szCs w:val="20"/>
                <w:color w:val="auto"/>
              </w:rPr>
            </w:pPr>
            <w:r>
              <w:rPr>
                <w:rFonts w:ascii="Arial" w:cs="Arial" w:eastAsia="Arial" w:hAnsi="Arial"/>
                <w:sz w:val="16"/>
                <w:szCs w:val="16"/>
                <w:color w:val="auto"/>
              </w:rPr>
              <w:t>Title:</w:t>
            </w:r>
          </w:p>
        </w:tc>
        <w:tc>
          <w:tcPr>
            <w:tcW w:w="47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486"/>
        </w:trPr>
        <w:tc>
          <w:tcPr>
            <w:tcW w:w="36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10"/>
        </w:trPr>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tcPr>
          <w:p>
            <w:pPr>
              <w:spacing w:after="0"/>
              <w:rPr>
                <w:sz w:val="18"/>
                <w:szCs w:val="18"/>
                <w:color w:val="auto"/>
              </w:rPr>
            </w:pPr>
          </w:p>
        </w:tc>
      </w:tr>
      <w:tr>
        <w:trPr>
          <w:trHeight w:val="154"/>
        </w:trPr>
        <w:tc>
          <w:tcPr>
            <w:tcW w:w="1020" w:type="dxa"/>
            <w:vAlign w:val="bottom"/>
          </w:tcPr>
          <w:p>
            <w:pPr>
              <w:spacing w:after="0" w:line="134" w:lineRule="exact"/>
              <w:rPr>
                <w:sz w:val="20"/>
                <w:szCs w:val="20"/>
                <w:color w:val="auto"/>
              </w:rPr>
            </w:pPr>
            <w:r>
              <w:rPr>
                <w:rFonts w:ascii="Arial" w:cs="Arial" w:eastAsia="Arial" w:hAnsi="Arial"/>
                <w:sz w:val="15"/>
                <w:szCs w:val="15"/>
                <w:color w:val="auto"/>
              </w:rPr>
              <w:t>99.1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gridSpan w:val="2"/>
          </w:tcPr>
          <w:p>
            <w:pPr>
              <w:spacing w:after="0" w:line="134" w:lineRule="exact"/>
              <w:rPr>
                <w:sz w:val="20"/>
                <w:szCs w:val="20"/>
                <w:color w:val="auto"/>
              </w:rPr>
            </w:pPr>
            <w:r>
              <w:rPr>
                <w:rFonts w:ascii="Calibri" w:cs="Calibri" w:eastAsia="Calibri" w:hAnsi="Calibri"/>
                <w:sz w:val="14"/>
                <w:szCs w:val="14"/>
                <w:color w:val="0000FF"/>
              </w:rPr>
              <w:t>Corporate Presentaton, dated February 14, 2023</w:t>
            </w:r>
          </w:p>
        </w:tc>
      </w:tr>
      <w:tr>
        <w:trPr>
          <w:trHeight w:val="1072"/>
        </w:trPr>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60" w:type="dxa"/>
            <w:vAlign w:val="bottom"/>
            <w:tcBorders>
              <w:top w:val="single" w:sz="8" w:color="0000FF"/>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2023-02-14T06:15:46Z</dcterms:created>
  <dcterms:modified xsi:type="dcterms:W3CDTF">2023-02-14T06:15:46Z</dcterms:modified>
</cp:coreProperties>
</file>