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Emmy Noetherweg 2</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2333 BK Leiden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3, 2025, Pharvaris N.V. issued a press release announcing positive topline data from the RAPIDe-3 pivotal study. A copy of the press release is attached hereto as Exhibit 99.1.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3, 2025.</w:t>
      </w:r>
    </w:p>
    <w:p>
      <w:pPr>
        <w:sectPr>
          <w:pgSz w:w="11900" w:h="16838" w:orient="portrait"/>
          <w:cols w:equalWidth="0" w:num="1">
            <w:col w:w="10740"/>
          </w:cols>
          <w:pgMar w:left="440" w:top="266"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2025</w:t>
            </w: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Berndt Modig</w:t>
            </w:r>
          </w:p>
        </w:tc>
      </w:tr>
      <w:tr>
        <w:trPr>
          <w:trHeight w:val="191"/>
        </w:trPr>
        <w:tc>
          <w:tcPr>
            <w:tcW w:w="3640" w:type="dxa"/>
            <w:vAlign w:val="bottom"/>
          </w:tcPr>
          <w:p>
            <w:pPr>
              <w:spacing w:after="0"/>
              <w:rPr>
                <w:sz w:val="16"/>
                <w:szCs w:val="16"/>
                <w:color w:val="auto"/>
              </w:rPr>
            </w:pPr>
          </w:p>
        </w:tc>
        <w:tc>
          <w:tcPr>
            <w:tcW w:w="242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09994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Pharvaris Announces Positive Topline Data from RAPIDe-3 Pivotal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Study Confirming Potential of Deucrictibant for On-Demand Treatment of HAE Attacks</w:t>
      </w:r>
    </w:p>
    <w:p>
      <w:pPr>
        <w:spacing w:after="0" w:line="230"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Primary endpoint met; median time to onset of symptom relief achieved in </w:t>
      </w:r>
      <w:r>
        <w:rPr>
          <w:rFonts w:ascii="Times New Roman" w:cs="Times New Roman" w:eastAsia="Times New Roman" w:hAnsi="Times New Roman"/>
          <w:sz w:val="18"/>
          <w:szCs w:val="18"/>
          <w:b w:val="1"/>
          <w:bCs w:val="1"/>
          <w:color w:val="auto"/>
        </w:rPr>
        <w:t>1.28 hours</w:t>
      </w:r>
      <w:r>
        <w:rPr>
          <w:rFonts w:ascii="Times New Roman" w:cs="Times New Roman" w:eastAsia="Times New Roman" w:hAnsi="Times New Roman"/>
          <w:sz w:val="18"/>
          <w:szCs w:val="18"/>
          <w:color w:val="auto"/>
        </w:rPr>
        <w:t>, significantly faster versus placebo (p&lt;0.0001)</w:t>
      </w:r>
    </w:p>
    <w:p>
      <w:pPr>
        <w:spacing w:after="0" w:line="130" w:lineRule="exact"/>
        <w:rPr>
          <w:rFonts w:ascii="Times New Roman" w:cs="Times New Roman" w:eastAsia="Times New Roman" w:hAnsi="Times New Roman"/>
          <w:sz w:val="18"/>
          <w:szCs w:val="18"/>
          <w:color w:val="auto"/>
        </w:rPr>
      </w:pPr>
    </w:p>
    <w:p>
      <w:pPr>
        <w:ind w:left="964" w:right="600" w:hanging="424"/>
        <w:spacing w:after="0" w:line="215"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secondary efficacy endpoints met (p&lt;0.0001), including End of Progression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(median </w:t>
      </w:r>
      <w:r>
        <w:rPr>
          <w:rFonts w:ascii="Times New Roman" w:cs="Times New Roman" w:eastAsia="Times New Roman" w:hAnsi="Times New Roman"/>
          <w:sz w:val="18"/>
          <w:szCs w:val="18"/>
          <w:b w:val="1"/>
          <w:bCs w:val="1"/>
          <w:color w:val="auto"/>
        </w:rPr>
        <w:t>17.47 minutes</w:t>
      </w:r>
      <w:r>
        <w:rPr>
          <w:rFonts w:ascii="Times New Roman" w:cs="Times New Roman" w:eastAsia="Times New Roman" w:hAnsi="Times New Roman"/>
          <w:sz w:val="18"/>
          <w:szCs w:val="18"/>
          <w:color w:val="auto"/>
        </w:rPr>
        <w:t xml:space="preserve">) and complete symptom resolution (median </w:t>
      </w:r>
      <w:r>
        <w:rPr>
          <w:rFonts w:ascii="Times New Roman" w:cs="Times New Roman" w:eastAsia="Times New Roman" w:hAnsi="Times New Roman"/>
          <w:sz w:val="18"/>
          <w:szCs w:val="18"/>
          <w:b w:val="1"/>
          <w:bCs w:val="1"/>
          <w:color w:val="auto"/>
        </w:rPr>
        <w:t>11.95 hours</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Well-tolerated safety profile of deucrictibant confirmed</w:t>
      </w:r>
    </w:p>
    <w:p>
      <w:pPr>
        <w:spacing w:after="0" w:line="130" w:lineRule="exact"/>
        <w:rPr>
          <w:rFonts w:ascii="Times New Roman" w:cs="Times New Roman" w:eastAsia="Times New Roman" w:hAnsi="Times New Roman"/>
          <w:sz w:val="18"/>
          <w:szCs w:val="18"/>
          <w:color w:val="auto"/>
        </w:rPr>
      </w:pPr>
    </w:p>
    <w:p>
      <w:pPr>
        <w:ind w:left="964" w:right="64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outcomes consistent across all HAE subtypes represented (HAE type 1, HAE type 2, and HAE with normal C1 inhibitor) and varying attack severities and locations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Pharvaris to host a conference call and webcast today at 8:00 a.m. EST</w:t>
      </w:r>
    </w:p>
    <w:p>
      <w:pPr>
        <w:spacing w:after="0" w:line="225"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ZUG, Switzerland, December 3, 2025 – Pharvaris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announced RAPIDe-3 pivotal data confirming the potential of deucrictibant’s differentiated profile for the on-demand treatment of HAE attacks. The data from Pharvaris’ first pivotal Phase 3 study will serve as the basis for marketing authorization applications, which are planned to be filed starting in the first half of 2026.</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RAPIDe-3 Study Design and Results</w:t>
      </w:r>
    </w:p>
    <w:p>
      <w:pPr>
        <w:spacing w:after="0" w:line="121" w:lineRule="exact"/>
        <w:rPr>
          <w:sz w:val="20"/>
          <w:szCs w:val="20"/>
          <w:color w:val="auto"/>
        </w:rPr>
      </w:pPr>
    </w:p>
    <w:p>
      <w:pPr>
        <w:ind w:left="4" w:right="20"/>
        <w:spacing w:after="0" w:line="238" w:lineRule="auto"/>
        <w:rPr>
          <w:sz w:val="20"/>
          <w:szCs w:val="20"/>
          <w:color w:val="auto"/>
        </w:rPr>
      </w:pPr>
      <w:r>
        <w:rPr>
          <w:rFonts w:ascii="Times New Roman" w:cs="Times New Roman" w:eastAsia="Times New Roman" w:hAnsi="Times New Roman"/>
          <w:sz w:val="18"/>
          <w:szCs w:val="18"/>
          <w:color w:val="auto"/>
        </w:rPr>
        <w:t>The RAPIDe-3 (</w:t>
      </w:r>
      <w:r>
        <w:rPr>
          <w:rFonts w:ascii="Times New Roman" w:cs="Times New Roman" w:eastAsia="Times New Roman" w:hAnsi="Times New Roman"/>
          <w:sz w:val="18"/>
          <w:szCs w:val="18"/>
          <w:u w:val="single" w:color="auto"/>
          <w:color w:val="auto"/>
        </w:rPr>
        <w:t>NCT06343779</w:t>
      </w:r>
      <w:r>
        <w:rPr>
          <w:rFonts w:ascii="Times New Roman" w:cs="Times New Roman" w:eastAsia="Times New Roman" w:hAnsi="Times New Roman"/>
          <w:sz w:val="18"/>
          <w:szCs w:val="18"/>
          <w:color w:val="auto"/>
        </w:rPr>
        <w:t>) global Phase 3, placebo-controlled study evaluated orally administered deucrictibant immediate-release (IR) capsule (20 mg) for the on-demand treatment of attacks in people 12 years and older with HAE. The study enrolled a total of 134 participants from 24 countries on six continents. The patient population studied included adolescents and adults; participants on and not on long-term prophylaxis (LTP); people with HAE type 1, HAE type 2, and HAE with normal C1 inhibitor; and attacks studied included those of varying severities and across all body locations. This makes this participant population the most representative and, based on prespecified endpoints, the RAPIDe-3 study the first-ever on-demand HAE study to be fully compliant with the Core Outcome Set recommended in the AURORA consensus.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primary endpoint and all 11 secondary efficacy endpoints, assessed sequentially under a multiplicity-control procedure, achieved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End of Progression is a registered trademark of Pharvaris GmbH.</w:t>
      </w:r>
    </w:p>
    <w:p>
      <w:pPr>
        <w:spacing w:after="0" w:line="1" w:lineRule="exact"/>
        <w:rPr>
          <w:sz w:val="20"/>
          <w:szCs w:val="20"/>
          <w:color w:val="auto"/>
        </w:rPr>
      </w:pPr>
    </w:p>
    <w:p>
      <w:pPr>
        <w:ind w:left="424" w:right="1140" w:hanging="424"/>
        <w:spacing w:after="0" w:line="199"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Petersen RS, et al. A Core Outcome Set for Efficacy of Acute Treatment of Hereditary Angioedema. J Allergy Clin Immunol Pract. 2024;12(6):1614-1621. doi:10.1016/j.jaip.2024.04.007.</w:t>
      </w:r>
    </w:p>
    <w:p>
      <w:pPr>
        <w:sectPr>
          <w:pgSz w:w="11900" w:h="16838" w:orient="portrait"/>
          <w:cols w:equalWidth="0" w:num="1">
            <w:col w:w="11024"/>
          </w:cols>
          <w:pgMar w:left="436"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9994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8610"/>
                    </a:xfrm>
                    <a:prstGeom prst="rect">
                      <a:avLst/>
                    </a:prstGeom>
                    <a:noFill/>
                  </pic:spPr>
                </pic:pic>
              </a:graphicData>
            </a:graphic>
          </wp:anchor>
        </w:drawing>
        <w:t>Compared to placebo, deucrictibant demonstrated compelling and differentiating efficacy:</w:t>
      </w:r>
    </w:p>
    <w:p>
      <w:pPr>
        <w:spacing w:after="0" w:line="127"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Faster </w:t>
      </w:r>
      <w:r>
        <w:rPr>
          <w:rFonts w:ascii="Times New Roman" w:cs="Times New Roman" w:eastAsia="Times New Roman" w:hAnsi="Times New Roman"/>
          <w:sz w:val="18"/>
          <w:szCs w:val="18"/>
          <w:color w:val="auto"/>
        </w:rPr>
        <w:t>median time to onset of treatment response:</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onset of symptom relief by PGI-C</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at least “a little better”: </w:t>
      </w:r>
      <w:r>
        <w:rPr>
          <w:rFonts w:ascii="Times New Roman" w:cs="Times New Roman" w:eastAsia="Times New Roman" w:hAnsi="Times New Roman"/>
          <w:sz w:val="18"/>
          <w:szCs w:val="18"/>
          <w:b w:val="1"/>
          <w:bCs w:val="1"/>
          <w:color w:val="auto"/>
        </w:rPr>
        <w:t>1.28 hours</w:t>
      </w:r>
      <w:r>
        <w:rPr>
          <w:rFonts w:ascii="Times New Roman" w:cs="Times New Roman" w:eastAsia="Times New Roman" w:hAnsi="Times New Roman"/>
          <w:sz w:val="18"/>
          <w:szCs w:val="18"/>
          <w:color w:val="auto"/>
        </w:rPr>
        <w:t xml:space="preserve"> versus &gt;12 hours (p&lt;0.0001)</w:t>
      </w:r>
    </w:p>
    <w:p>
      <w:pPr>
        <w:spacing w:after="0" w:line="62"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End of Progression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17.47 minutes</w:t>
      </w:r>
      <w:r>
        <w:rPr>
          <w:rFonts w:ascii="Times New Roman" w:cs="Times New Roman" w:eastAsia="Times New Roman" w:hAnsi="Times New Roman"/>
          <w:sz w:val="18"/>
          <w:szCs w:val="18"/>
          <w:color w:val="auto"/>
        </w:rPr>
        <w:t xml:space="preserve"> versus 228.67 minutes (p&lt;0.0001)</w:t>
      </w:r>
    </w:p>
    <w:p>
      <w:pPr>
        <w:spacing w:after="0" w:line="38"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Shorter </w:t>
      </w:r>
      <w:r>
        <w:rPr>
          <w:rFonts w:ascii="Times New Roman" w:cs="Times New Roman" w:eastAsia="Times New Roman" w:hAnsi="Times New Roman"/>
          <w:sz w:val="18"/>
          <w:szCs w:val="18"/>
          <w:color w:val="auto"/>
        </w:rPr>
        <w:t>median time to substantial symptom relief:</w:t>
      </w:r>
    </w:p>
    <w:p>
      <w:pPr>
        <w:spacing w:after="0" w:line="106"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to substantial symptom relief by PGI-C at least “better”: </w:t>
      </w:r>
      <w:r>
        <w:rPr>
          <w:rFonts w:ascii="Times New Roman" w:cs="Times New Roman" w:eastAsia="Times New Roman" w:hAnsi="Times New Roman"/>
          <w:sz w:val="18"/>
          <w:szCs w:val="18"/>
          <w:b w:val="1"/>
          <w:bCs w:val="1"/>
          <w:color w:val="auto"/>
        </w:rPr>
        <w:t>2.85 hours</w:t>
      </w:r>
      <w:r>
        <w:rPr>
          <w:rFonts w:ascii="Times New Roman" w:cs="Times New Roman" w:eastAsia="Times New Roman" w:hAnsi="Times New Roman"/>
          <w:sz w:val="18"/>
          <w:szCs w:val="18"/>
          <w:color w:val="auto"/>
        </w:rPr>
        <w:t xml:space="preserve"> versus &gt;12 hours (p&lt;0.0001)</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to substantial symptom relief by PGI-S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xml:space="preserve"> ≥1-level improvement: </w:t>
      </w:r>
      <w:r>
        <w:rPr>
          <w:rFonts w:ascii="Times New Roman" w:cs="Times New Roman" w:eastAsia="Times New Roman" w:hAnsi="Times New Roman"/>
          <w:sz w:val="17"/>
          <w:szCs w:val="17"/>
          <w:b w:val="1"/>
          <w:bCs w:val="1"/>
          <w:color w:val="auto"/>
        </w:rPr>
        <w:t>2.41 hours</w:t>
      </w:r>
      <w:r>
        <w:rPr>
          <w:rFonts w:ascii="Times New Roman" w:cs="Times New Roman" w:eastAsia="Times New Roman" w:hAnsi="Times New Roman"/>
          <w:sz w:val="17"/>
          <w:szCs w:val="17"/>
          <w:color w:val="auto"/>
        </w:rPr>
        <w:t xml:space="preserve"> versus &gt;12 hours (p&lt;0.0001)</w:t>
      </w:r>
    </w:p>
    <w:p>
      <w:pPr>
        <w:spacing w:after="0" w:line="74" w:lineRule="exact"/>
        <w:rPr>
          <w:rFonts w:ascii="Times New Roman" w:cs="Times New Roman" w:eastAsia="Times New Roman" w:hAnsi="Times New Roman"/>
          <w:sz w:val="17"/>
          <w:szCs w:val="17"/>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Earlier </w:t>
      </w:r>
      <w:r>
        <w:rPr>
          <w:rFonts w:ascii="Times New Roman" w:cs="Times New Roman" w:eastAsia="Times New Roman" w:hAnsi="Times New Roman"/>
          <w:sz w:val="18"/>
          <w:szCs w:val="18"/>
          <w:color w:val="auto"/>
        </w:rPr>
        <w:t>complete symptom resolution:</w:t>
      </w:r>
    </w:p>
    <w:p>
      <w:pPr>
        <w:spacing w:after="0" w:line="106"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Median time to complete symptom resolution by PGI-S “none”: </w:t>
      </w:r>
      <w:r>
        <w:rPr>
          <w:rFonts w:ascii="Times New Roman" w:cs="Times New Roman" w:eastAsia="Times New Roman" w:hAnsi="Times New Roman"/>
          <w:sz w:val="18"/>
          <w:szCs w:val="18"/>
          <w:b w:val="1"/>
          <w:bCs w:val="1"/>
          <w:color w:val="auto"/>
        </w:rPr>
        <w:t>11.95 hours</w:t>
      </w:r>
      <w:r>
        <w:rPr>
          <w:rFonts w:ascii="Times New Roman" w:cs="Times New Roman" w:eastAsia="Times New Roman" w:hAnsi="Times New Roman"/>
          <w:sz w:val="18"/>
          <w:szCs w:val="18"/>
          <w:color w:val="auto"/>
        </w:rPr>
        <w:t xml:space="preserve"> versus &gt;24 hours (p&lt;0.0001)</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Fewer </w:t>
      </w:r>
      <w:r>
        <w:rPr>
          <w:rFonts w:ascii="Times New Roman" w:cs="Times New Roman" w:eastAsia="Times New Roman" w:hAnsi="Times New Roman"/>
          <w:sz w:val="18"/>
          <w:szCs w:val="18"/>
          <w:color w:val="auto"/>
        </w:rPr>
        <w:t>attacks treated with second dose or rescue medication within 12 hours: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83.0% </w:t>
      </w:r>
      <w:r>
        <w:rPr>
          <w:rFonts w:ascii="Times New Roman" w:cs="Times New Roman" w:eastAsia="Times New Roman" w:hAnsi="Times New Roman"/>
          <w:sz w:val="18"/>
          <w:szCs w:val="18"/>
          <w:color w:val="auto"/>
        </w:rPr>
        <w:t>of attacks were treated with a single capsule of deucrictibant IR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93.2% </w:t>
      </w:r>
      <w:r>
        <w:rPr>
          <w:rFonts w:ascii="Times New Roman" w:cs="Times New Roman" w:eastAsia="Times New Roman" w:hAnsi="Times New Roman"/>
          <w:sz w:val="18"/>
          <w:szCs w:val="18"/>
          <w:color w:val="auto"/>
        </w:rPr>
        <w:t>of deucrictibant-treated attacks were treated without use of rescue medication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PGI-C: Patient Global Impression of Change</w:t>
      </w:r>
    </w:p>
    <w:p>
      <w:pPr>
        <w:ind w:left="424" w:hanging="424"/>
        <w:spacing w:after="0" w:line="180"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PGI-S: Patient Global Impression of Severity</w:t>
      </w:r>
    </w:p>
    <w:p>
      <w:pPr>
        <w:sectPr>
          <w:pgSz w:w="11900" w:h="16838" w:orient="portrait"/>
          <w:cols w:equalWidth="0" w:num="1">
            <w:col w:w="10023"/>
          </w:cols>
          <w:pgMar w:left="436" w:top="999"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915025" cy="3737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Marc A. Riedl, M.D., M.S., Professor of Medicine, Clinical Director of the U.S. Hereditary Angioedema Association (HAEA) Angioedema Center at the University of California San Diego (UCSD), and principal investigator in the RAPIDe-3 study, commented, “Bradykinin B2 receptor antagonism is a proven and effective mechanism for treatment of bradykinin-mediated angioedema. Injectable and oral on-demand therapies for HAE are available, however unmet medical needs remain. Effective, well-tolerated, and convenient acute treatment is an essential part of all HAE management plans due to unpredictable angioedema symptoms. The comprehensive and compelling outcomes of RAPIDe-3, specifically the fast treatment response and early complete symptom resolution, demonstrate the potential benefits of deucrictibant as an important on-demand treatment for people living with HAE.”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Peng Lu, M.D., Ph.D., Chief Medical Officer of Pharvaris, stated, “I would like to sincerely thank the clinical study participants and their caregivers, the site investigators and staff, our study partners, the HAE community, and the Pharvaris team for their contributions to the RAPIDe-3 study. Together, we carefully designed and rigorously executed a study evaluating deucrictibant’s ability to effectively address the unmet needs and high expectations of physicians, regulators, payers, and, most importantly, people living with HAE.”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 Lu continued, “These clinically meaningful and statistically significant results demonstrate deucrictibant’s early-onset treatment response, fast symptom relief and resolution, and well-tolerated safety profile. This is an important step toward realizing deucrictibant’s potential to offer control of bradykinin-mediated angioedema attacks. With these data in hand, our team is working diligently to prepare for regulatory filings to enable access to this promising therapy.”</w:t>
      </w:r>
    </w:p>
    <w:p>
      <w:pPr>
        <w:sectPr>
          <w:pgSz w:w="11900" w:h="16838" w:orient="portrait"/>
          <w:cols w:equalWidth="0" w:num="1">
            <w:col w:w="11020"/>
          </w:cols>
          <w:pgMar w:left="440" w:top="1440" w:right="4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9994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8610"/>
                    </a:xfrm>
                    <a:prstGeom prst="rect">
                      <a:avLst/>
                    </a:prstGeom>
                    <a:noFill/>
                  </pic:spPr>
                </pic:pic>
              </a:graphicData>
            </a:graphic>
          </wp:anchor>
        </w:drawing>
        <w:t>Berndt Modig, Chief Executive Officer of Pharvaris, added “Since its founding, Pharvaris has spent the last decade pioneering science for patient choice. Deucrictibant combines the proven and effective mechanism of bradykinin B2 receptor antagonism in HAE with the convenience of oral administration. We are thrilled that RAPIDe-3 confirmed the profile of deucrictibant IR capsule established in Phase 2. If the CHAPTER-3 pivotal Phase 3 study confirms deucrictibant extended-release tablet as a long-term prophylactic of HAE attacks, deucrictibant could be the first and only oral therapy to offer control in both the on-demand and prophylactic treatment of bradykinin-mediated angioedema attacks.”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RAPIDe-3, deucrictibant was well tolerated with no treatment-related serious adverse events and no participants discontinuing treatment due to treatment-emergent adverse events. To date, the safety and tolerability profile was consistent with completed and ongoing studies of deucrictibant for the treatment of HAE attacks with no safety signals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open-label extension of deucrictibant for the on-demand treatment of HAE attacks, RAPIDe-2 Part B, is ongoing.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plans to present additional efficacy, safety, and patient experience data at upcoming medical congresses.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Pharvaris remains on track to submit a New Drug Application (NDA) with the U.S. Food and Drug Administration (FDA) in the first half of 2026 for the on-demand treatment of acute attacks of HAE.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Pharvaris will host a live conference call and webcast to discuss the RAPIDe-3 study topline data in greater detail at 8:00 a.m. EST today via a live webcast; presentation slides may be accessed on the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page of the Pharvaris investor relations website. Participants interested in asking a verbal question during the Q&amp;A may do so in the live conference call. An archived replay will also be available on the website for 90 days following the event.</w:t>
      </w:r>
    </w:p>
    <w:p>
      <w:pPr>
        <w:sectPr>
          <w:pgSz w:w="11900" w:h="16838" w:orient="portrait"/>
          <w:cols w:equalWidth="0" w:num="1">
            <w:col w:w="11000"/>
          </w:cols>
          <w:pgMar w:left="440" w:top="999"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9994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8610"/>
                    </a:xfrm>
                    <a:prstGeom prst="rect">
                      <a:avLst/>
                    </a:prstGeom>
                    <a:noFill/>
                  </pic:spPr>
                </pic:pic>
              </a:graphicData>
            </a:graphic>
          </wp:anchor>
        </w:drawing>
        <w:t>About Deucrictibant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the European Commission, and Swissmedic.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Pharvaris</w:t>
      </w:r>
    </w:p>
    <w:p>
      <w:pPr>
        <w:spacing w:after="0" w:line="12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 well-tolerated profile, and the convenience of oral administration to prevent and treat bradykinin-mediated angioedema attacks. By delivering on this aspiration, Pharvaris aims to provide a new standard of care in bradykinin-mediated angioedema. Pharvaris is preparing global marketing authorization applications for deucrictibant immediate-release capsule as an on-demand treatment of HAE attacks, and a global pivotal Phase 3 study of deucrictibant extended-release tablet for the prevention of HAE attacks (CHAPTER-3) is ongoing with topline data anticipated in the second half of 2026. In addition, CREAATE is an ongoing Phase 3 study of deucrictibant for the prophylactic and on-demand treatment of AAE-C1INH. For more information, visit </w:t>
      </w:r>
      <w:r>
        <w:rPr>
          <w:rFonts w:ascii="Times New Roman" w:cs="Times New Roman" w:eastAsia="Times New Roman" w:hAnsi="Times New Roman"/>
          <w:sz w:val="18"/>
          <w:szCs w:val="18"/>
          <w:u w:val="single" w:color="auto"/>
          <w:color w:val="auto"/>
        </w:rPr>
        <w:t>https://pharvaris.com</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w:t>
      </w:r>
    </w:p>
    <w:p>
      <w:pPr>
        <w:sectPr>
          <w:pgSz w:w="11900" w:h="16838" w:orient="portrait"/>
          <w:cols w:equalWidth="0" w:num="1">
            <w:col w:w="11000"/>
          </w:cols>
          <w:pgMar w:left="440" w:top="995"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9994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8610"/>
                    </a:xfrm>
                    <a:prstGeom prst="rect">
                      <a:avLst/>
                    </a:prstGeom>
                    <a:noFill/>
                  </pic:spPr>
                </pic:pic>
              </a:graphicData>
            </a:graphic>
          </wp:anchor>
        </w:drawing>
        <w:t>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RAPIDe-3, and CHAPTER-1 Phase 2 and Phase 3 studies in ongoing and future nonclinical studies and clinical trials, such as CHAPTER-3, and CREAATE; the timing and outcome of regulatory approvals, including the timing and outcome of our planned submission of an NDA with the FDA in the first half of 2026 for the on-demand treatment of acute attacks of HAE; risks arising from 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ectPr>
          <w:pgSz w:w="11900" w:h="16838" w:orient="portrait"/>
          <w:cols w:equalWidth="0" w:num="1">
            <w:col w:w="11000"/>
          </w:cols>
          <w:pgMar w:left="440" w:top="999"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9994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099945" cy="308610"/>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 Beller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Corporate and Investor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maggie.beller@pharvaris.com</w:t>
      </w:r>
    </w:p>
    <w:sectPr>
      <w:pgSz w:w="11900" w:h="16838" w:orient="portrait"/>
      <w:cols w:equalWidth="0" w:num="1">
        <w:col w:w="10019"/>
      </w:cols>
      <w:pgMar w:left="440" w:top="9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2025-12-03T06:10:36Z</dcterms:created>
  <dcterms:modified xsi:type="dcterms:W3CDTF">2025-12-03T06:10:36Z</dcterms:modified>
</cp:coreProperties>
</file>