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1"/>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w w:val="99"/>
              </w:rPr>
              <w:t>UNITED STATES</w:t>
            </w:r>
          </w:p>
        </w:tc>
      </w:tr>
      <w:tr>
        <w:trPr>
          <w:trHeight w:val="339"/>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7"/>
              </w:rPr>
              <w:t>WASHINGTON, D.C. 20549</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383"/>
        </w:trPr>
        <w:tc>
          <w:tcPr>
            <w:tcW w:w="1200" w:type="dxa"/>
            <w:vAlign w:val="bottom"/>
          </w:tcPr>
          <w:p>
            <w:pPr>
              <w:spacing w:after="0"/>
              <w:rPr>
                <w:sz w:val="24"/>
                <w:szCs w:val="24"/>
                <w:color w:val="auto"/>
              </w:rPr>
            </w:pPr>
          </w:p>
        </w:tc>
        <w:tc>
          <w:tcPr>
            <w:tcW w:w="10060" w:type="dxa"/>
            <w:vAlign w:val="bottom"/>
          </w:tcPr>
          <w:p>
            <w:pPr>
              <w:jc w:val="center"/>
              <w:ind w:right="1125"/>
              <w:spacing w:after="0"/>
              <w:rPr>
                <w:sz w:val="20"/>
                <w:szCs w:val="20"/>
                <w:color w:val="auto"/>
              </w:rPr>
            </w:pPr>
            <w:r>
              <w:rPr>
                <w:rFonts w:ascii="Arial" w:cs="Arial" w:eastAsia="Arial" w:hAnsi="Arial"/>
                <w:sz w:val="28"/>
                <w:szCs w:val="28"/>
                <w:b w:val="1"/>
                <w:bCs w:val="1"/>
                <w:color w:val="auto"/>
              </w:rPr>
              <w:t>FORM 6-K</w:t>
            </w:r>
          </w:p>
        </w:tc>
      </w:tr>
      <w:tr>
        <w:trPr>
          <w:trHeight w:val="129"/>
        </w:trPr>
        <w:tc>
          <w:tcPr>
            <w:tcW w:w="120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r>
        <w:trPr>
          <w:trHeight w:val="152"/>
        </w:trPr>
        <w:tc>
          <w:tcPr>
            <w:tcW w:w="1200" w:type="dxa"/>
            <w:vAlign w:val="bottom"/>
          </w:tcPr>
          <w:p>
            <w:pPr>
              <w:spacing w:after="0"/>
              <w:rPr>
                <w:sz w:val="13"/>
                <w:szCs w:val="13"/>
                <w:color w:val="auto"/>
              </w:rPr>
            </w:pPr>
          </w:p>
        </w:tc>
        <w:tc>
          <w:tcPr>
            <w:tcW w:w="10060" w:type="dxa"/>
            <w:vAlign w:val="bottom"/>
          </w:tcPr>
          <w:p>
            <w:pPr>
              <w:jc w:val="center"/>
              <w:ind w:right="1105"/>
              <w:spacing w:after="0" w:line="152" w:lineRule="exact"/>
              <w:rPr>
                <w:sz w:val="20"/>
                <w:szCs w:val="20"/>
                <w:color w:val="auto"/>
              </w:rPr>
            </w:pPr>
            <w:r>
              <w:rPr>
                <w:rFonts w:ascii="Arial" w:cs="Arial" w:eastAsia="Arial" w:hAnsi="Arial"/>
                <w:sz w:val="16"/>
                <w:szCs w:val="16"/>
                <w:b w:val="1"/>
                <w:bCs w:val="1"/>
                <w:color w:val="auto"/>
                <w:w w:val="97"/>
              </w:rPr>
              <w:t>REPORT OF FOREIGN PRIVATE ISSUER</w:t>
            </w:r>
          </w:p>
        </w:tc>
      </w:tr>
      <w:tr>
        <w:trPr>
          <w:trHeight w:val="177"/>
        </w:trPr>
        <w:tc>
          <w:tcPr>
            <w:tcW w:w="1200" w:type="dxa"/>
            <w:vAlign w:val="bottom"/>
          </w:tcPr>
          <w:p>
            <w:pPr>
              <w:spacing w:after="0"/>
              <w:rPr>
                <w:sz w:val="15"/>
                <w:szCs w:val="15"/>
                <w:color w:val="auto"/>
              </w:rPr>
            </w:pPr>
          </w:p>
        </w:tc>
        <w:tc>
          <w:tcPr>
            <w:tcW w:w="10060" w:type="dxa"/>
            <w:vAlign w:val="bottom"/>
          </w:tcPr>
          <w:p>
            <w:pPr>
              <w:jc w:val="center"/>
              <w:ind w:right="1105"/>
              <w:spacing w:after="0" w:line="178" w:lineRule="exact"/>
              <w:rPr>
                <w:sz w:val="20"/>
                <w:szCs w:val="20"/>
                <w:color w:val="auto"/>
              </w:rPr>
            </w:pPr>
            <w:r>
              <w:rPr>
                <w:rFonts w:ascii="Arial" w:cs="Arial" w:eastAsia="Arial" w:hAnsi="Arial"/>
                <w:sz w:val="16"/>
                <w:szCs w:val="16"/>
                <w:b w:val="1"/>
                <w:bCs w:val="1"/>
                <w:color w:val="auto"/>
                <w:w w:val="98"/>
              </w:rPr>
              <w:t>PURSUANT TO RULE 13A-16 OR 15D-16 UNDER</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THE SECURITIES EXCHANGE ACT OF 1934</w:t>
            </w:r>
          </w:p>
        </w:tc>
      </w:tr>
      <w:tr>
        <w:trPr>
          <w:trHeight w:val="493"/>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For the month of September 2024</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8"/>
              </w:rPr>
              <w:t>Commission File Number: 001-40010</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415"/>
        </w:trPr>
        <w:tc>
          <w:tcPr>
            <w:tcW w:w="1200" w:type="dxa"/>
            <w:vAlign w:val="bottom"/>
          </w:tcPr>
          <w:p>
            <w:pPr>
              <w:spacing w:after="0"/>
              <w:rPr>
                <w:sz w:val="24"/>
                <w:szCs w:val="24"/>
                <w:color w:val="auto"/>
              </w:rPr>
            </w:pPr>
          </w:p>
        </w:tc>
        <w:tc>
          <w:tcPr>
            <w:tcW w:w="10060" w:type="dxa"/>
            <w:vAlign w:val="bottom"/>
          </w:tcPr>
          <w:p>
            <w:pPr>
              <w:jc w:val="center"/>
              <w:ind w:right="1125"/>
              <w:spacing w:after="0" w:line="414" w:lineRule="exact"/>
              <w:rPr>
                <w:sz w:val="20"/>
                <w:szCs w:val="20"/>
                <w:color w:val="auto"/>
              </w:rPr>
            </w:pPr>
            <w:r>
              <w:rPr>
                <w:rFonts w:ascii="Arial" w:cs="Arial" w:eastAsia="Arial" w:hAnsi="Arial"/>
                <w:sz w:val="38"/>
                <w:szCs w:val="38"/>
                <w:color w:val="auto"/>
                <w:w w:val="97"/>
              </w:rPr>
              <w:t>Pharvaris N.V.</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color w:val="auto"/>
                <w:w w:val="98"/>
              </w:rPr>
              <w:t>(Translation of registrant’s name into English)</w:t>
            </w:r>
          </w:p>
        </w:tc>
      </w:tr>
      <w:tr>
        <w:trPr>
          <w:trHeight w:val="163"/>
        </w:trPr>
        <w:tc>
          <w:tcPr>
            <w:tcW w:w="120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r>
      <w:tr>
        <w:trPr>
          <w:trHeight w:val="161"/>
        </w:trPr>
        <w:tc>
          <w:tcPr>
            <w:tcW w:w="1200" w:type="dxa"/>
            <w:vAlign w:val="bottom"/>
          </w:tcPr>
          <w:p>
            <w:pPr>
              <w:spacing w:after="0"/>
              <w:rPr>
                <w:sz w:val="14"/>
                <w:szCs w:val="14"/>
                <w:color w:val="auto"/>
              </w:rPr>
            </w:pPr>
          </w:p>
        </w:tc>
        <w:tc>
          <w:tcPr>
            <w:tcW w:w="10060" w:type="dxa"/>
            <w:vAlign w:val="bottom"/>
          </w:tcPr>
          <w:p>
            <w:pPr>
              <w:jc w:val="center"/>
              <w:ind w:right="1125"/>
              <w:spacing w:after="0"/>
              <w:rPr>
                <w:sz w:val="20"/>
                <w:szCs w:val="20"/>
                <w:color w:val="auto"/>
              </w:rPr>
            </w:pPr>
            <w:r>
              <w:rPr>
                <w:rFonts w:ascii="Arial" w:cs="Arial" w:eastAsia="Arial" w:hAnsi="Arial"/>
                <w:sz w:val="13"/>
                <w:szCs w:val="13"/>
                <w:b w:val="1"/>
                <w:bCs w:val="1"/>
                <w:color w:val="auto"/>
                <w:w w:val="96"/>
              </w:rPr>
              <w:t>Emmy Noetherweg 2</w:t>
            </w:r>
          </w:p>
        </w:tc>
      </w:tr>
      <w:tr>
        <w:trPr>
          <w:trHeight w:val="172"/>
        </w:trPr>
        <w:tc>
          <w:tcPr>
            <w:tcW w:w="1200" w:type="dxa"/>
            <w:vAlign w:val="bottom"/>
          </w:tcPr>
          <w:p>
            <w:pPr>
              <w:spacing w:after="0"/>
              <w:rPr>
                <w:sz w:val="14"/>
                <w:szCs w:val="14"/>
                <w:color w:val="auto"/>
              </w:rPr>
            </w:pPr>
          </w:p>
        </w:tc>
        <w:tc>
          <w:tcPr>
            <w:tcW w:w="10060" w:type="dxa"/>
            <w:vAlign w:val="bottom"/>
          </w:tcPr>
          <w:p>
            <w:pPr>
              <w:jc w:val="center"/>
              <w:ind w:right="1105"/>
              <w:spacing w:after="0"/>
              <w:rPr>
                <w:sz w:val="20"/>
                <w:szCs w:val="20"/>
                <w:color w:val="auto"/>
              </w:rPr>
            </w:pPr>
            <w:r>
              <w:rPr>
                <w:rFonts w:ascii="Arial" w:cs="Arial" w:eastAsia="Arial" w:hAnsi="Arial"/>
                <w:sz w:val="13"/>
                <w:szCs w:val="13"/>
                <w:b w:val="1"/>
                <w:bCs w:val="1"/>
                <w:color w:val="auto"/>
                <w:w w:val="97"/>
              </w:rPr>
              <w:t>2333 BK Leiden</w:t>
            </w:r>
          </w:p>
        </w:tc>
      </w:tr>
      <w:tr>
        <w:trPr>
          <w:trHeight w:val="140"/>
        </w:trPr>
        <w:tc>
          <w:tcPr>
            <w:tcW w:w="1200" w:type="dxa"/>
            <w:vAlign w:val="bottom"/>
          </w:tcPr>
          <w:p>
            <w:pPr>
              <w:spacing w:after="0"/>
              <w:rPr>
                <w:sz w:val="12"/>
                <w:szCs w:val="12"/>
                <w:color w:val="auto"/>
              </w:rPr>
            </w:pPr>
          </w:p>
        </w:tc>
        <w:tc>
          <w:tcPr>
            <w:tcW w:w="10060" w:type="dxa"/>
            <w:vAlign w:val="bottom"/>
          </w:tcPr>
          <w:p>
            <w:pPr>
              <w:jc w:val="center"/>
              <w:ind w:right="1105"/>
              <w:spacing w:after="0" w:line="141" w:lineRule="exact"/>
              <w:rPr>
                <w:sz w:val="20"/>
                <w:szCs w:val="20"/>
                <w:color w:val="auto"/>
              </w:rPr>
            </w:pPr>
            <w:r>
              <w:rPr>
                <w:rFonts w:ascii="Arial" w:cs="Arial" w:eastAsia="Arial" w:hAnsi="Arial"/>
                <w:sz w:val="13"/>
                <w:szCs w:val="13"/>
                <w:b w:val="1"/>
                <w:bCs w:val="1"/>
                <w:color w:val="auto"/>
                <w:w w:val="96"/>
              </w:rPr>
              <w:t>The Netherlands</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color w:val="auto"/>
                <w:w w:val="98"/>
              </w:rPr>
              <w:t>(Address of principal executive office)</w:t>
            </w:r>
          </w:p>
        </w:tc>
      </w:tr>
      <w:tr>
        <w:trPr>
          <w:trHeight w:val="305"/>
        </w:trPr>
        <w:tc>
          <w:tcPr>
            <w:tcW w:w="112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tc>
      </w:tr>
      <w:tr>
        <w:trPr>
          <w:trHeight w:val="264"/>
        </w:trPr>
        <w:tc>
          <w:tcPr>
            <w:tcW w:w="1200" w:type="dxa"/>
            <w:vAlign w:val="bottom"/>
          </w:tcPr>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p>
        </w:tc>
        <w:tc>
          <w:tcPr>
            <w:tcW w:w="10060" w:type="dxa"/>
            <w:vAlign w:val="bottom"/>
          </w:tcPr>
          <w:p>
            <w:pPr>
              <w:ind w:left="280"/>
              <w:spacing w:after="0" w:line="184" w:lineRule="exact"/>
              <w:rPr>
                <w:sz w:val="20"/>
                <w:szCs w:val="20"/>
                <w:color w:val="auto"/>
              </w:rPr>
            </w:pP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tc>
      </w:tr>
    </w:tbl>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6"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518795</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Pharvaris Provides Business Update and Expands Development Program for Deucrictibant</w:t>
      </w:r>
    </w:p>
    <w:p>
      <w:pPr>
        <w:spacing w:after="0" w:line="17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On September 5, 2024, Pharvaris N.V. (the “Company”) issued a press release titled “Pharvaris Provides Business Update and Expands Development Program for Deucrictibant” which announced the planned initiation of CHAPTER-3, the pivotal Phase 3 study of deucrictibant for the prophylactic treatment of HAE by the end of 2024, and its intention to pursue clinical development of deucrictibant in a newly named indication, acquired angioedema (AAE).</w:t>
      </w:r>
    </w:p>
    <w:p>
      <w:pPr>
        <w:spacing w:after="0" w:line="142"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Pharvaris Presents Deucrictibant Long-Term Extension Data for both the Prophylactic and On-Demand Treatment of HAE at the Bradykinin Symposium 2024</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September 5, 2024, the Company issued a press release titled “Pharvaris Presents Deucrictibant Long-Term Extension Data for both the Prophylactic and On-Demand Treatment of HAE at the Bradykinin Symposium 2024” highlighting certain presentations to be made on deucrictibant as a prophylactic and on-demand treatment of HAE attacks at the 7th Bradykinin Symposium, being held in Berlin from September 5-6, 2024, summarized below.</w:t>
      </w:r>
    </w:p>
    <w:p>
      <w:pPr>
        <w:spacing w:after="0" w:line="144" w:lineRule="exact"/>
        <w:rPr>
          <w:sz w:val="20"/>
          <w:szCs w:val="20"/>
          <w:color w:val="auto"/>
        </w:rPr>
      </w:pPr>
    </w:p>
    <w:p>
      <w:pPr>
        <w:ind w:right="220"/>
        <w:spacing w:after="0" w:line="237" w:lineRule="auto"/>
        <w:rPr>
          <w:sz w:val="20"/>
          <w:szCs w:val="20"/>
          <w:color w:val="auto"/>
        </w:rPr>
      </w:pPr>
      <w:r>
        <w:rPr>
          <w:rFonts w:ascii="Arial" w:cs="Arial" w:eastAsia="Arial" w:hAnsi="Arial"/>
          <w:sz w:val="16"/>
          <w:szCs w:val="16"/>
          <w:color w:val="auto"/>
        </w:rPr>
        <w:t>CHAPTER-1 (NCT05047185) is a two-part Phase 2 study evaluating the efficacy and safety of deucrictibant for long-term prophylaxis of HAE attacks. Positive top-line data from the double-blind, randomized, placebo-controlled portion (part 1) of the CHAPTER-1 study were announced in December 2023. Further exploration of health-related quality of life (HRQoL), disease control, and treatment satisfaction data will be presented by Dr. Markus Magerl in an oral presentation and will show that 90% of participants receiving deucrictibant (N=20) reported well-controlled HAE symptoms at week 12 compared to 37.5% of participants receiving placebo (N=8) as measured by the Angioedema Control Test (AECT). Deucrictibant treated participants experienced greater efficacy and global satisfaction compared to placebo, while experiencing placebo-like side effects.</w:t>
      </w:r>
    </w:p>
    <w:p>
      <w:pPr>
        <w:spacing w:after="0" w:line="152"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Upon completing part 1 of CHAPTER-1, all eligible participants (N=30) enrolled into the ongoing open-label extension (part 2) during which they received deucrictibant 40 mg/day with a mean treatment duration of 12.83 months. The current analysis (cutoff date: June 10, 2024) will be presented by Dr. Riedl in a poster presentation and show that deucrictibant was well-tolerated, with no safety signals observed. Efficacy analyses show:</w:t>
      </w:r>
    </w:p>
    <w:p>
      <w:pPr>
        <w:spacing w:after="0" w:line="61" w:lineRule="exact"/>
        <w:rPr>
          <w:sz w:val="20"/>
          <w:szCs w:val="20"/>
          <w:color w:val="auto"/>
        </w:rPr>
      </w:pPr>
    </w:p>
    <w:p>
      <w:pPr>
        <w:ind w:left="1020" w:hanging="516"/>
        <w:spacing w:after="0"/>
        <w:tabs>
          <w:tab w:leader="none" w:pos="10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reduced the attack rate in the open-label extension by 93.0% compared to the part 1 study baseline.</w:t>
      </w:r>
    </w:p>
    <w:p>
      <w:pPr>
        <w:spacing w:after="0" w:line="99" w:lineRule="exact"/>
        <w:rPr>
          <w:rFonts w:ascii="Times New Roman" w:cs="Times New Roman" w:eastAsia="Times New Roman" w:hAnsi="Times New Roman"/>
          <w:sz w:val="16"/>
          <w:szCs w:val="16"/>
          <w:color w:val="auto"/>
        </w:rPr>
      </w:pPr>
    </w:p>
    <w:p>
      <w:pPr>
        <w:ind w:left="1020" w:right="320" w:hanging="516"/>
        <w:spacing w:after="0" w:line="260" w:lineRule="auto"/>
        <w:tabs>
          <w:tab w:leader="none" w:pos="10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The reduction in occurrence of moderate and severe attacks and of attacks treated with on-demand medication remained low in the open-label extension.</w:t>
      </w:r>
    </w:p>
    <w:p>
      <w:pPr>
        <w:spacing w:after="0" w:line="133"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RAPIDe-2 (NCT05396105) isan ongoing two-part Phase 2/3 extension study, evaluating long-term safety and efficacy of orally administered deucrictibant for the on-demand treatment of HAE attacks. The safety analysis (cutoff date: June 10, 2024) includes a total of 337 attacks and shows that deucrictibant was well-tolerated for all studied doses with no new safety signals observed. The efficacy analysis (cutoff date: March 1, 2024) includes a total of 265 attacks and shows:</w:t>
      </w:r>
    </w:p>
    <w:p>
      <w:pPr>
        <w:spacing w:after="0" w:line="45" w:lineRule="exact"/>
        <w:rPr>
          <w:sz w:val="20"/>
          <w:szCs w:val="20"/>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Median time to onset of symptom relief was 1.1 hours with 98.5% of attacks achieving onset of symptom relief by 12 hours (PGI-C).</w:t>
      </w:r>
    </w:p>
    <w:p>
      <w:pPr>
        <w:spacing w:after="0" w:line="99" w:lineRule="exact"/>
        <w:rPr>
          <w:rFonts w:ascii="Times New Roman" w:cs="Times New Roman" w:eastAsia="Times New Roman" w:hAnsi="Times New Roman"/>
          <w:sz w:val="16"/>
          <w:szCs w:val="16"/>
          <w:color w:val="auto"/>
        </w:rPr>
      </w:pPr>
    </w:p>
    <w:p>
      <w:pPr>
        <w:ind w:left="1020" w:right="160" w:hanging="516"/>
        <w:spacing w:after="0" w:line="260" w:lineRule="auto"/>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Median time to reduction in attack severity was 2.6 hours with 97.7% of attacks achieving reduction in attack severity by 12 hours (Patient Global Impression of Severity [PGI-S]).</w:t>
      </w:r>
    </w:p>
    <w:p>
      <w:pPr>
        <w:spacing w:after="0" w:line="50" w:lineRule="exact"/>
        <w:rPr>
          <w:rFonts w:ascii="Times New Roman" w:cs="Times New Roman" w:eastAsia="Times New Roman" w:hAnsi="Times New Roman"/>
          <w:sz w:val="16"/>
          <w:szCs w:val="16"/>
          <w:color w:val="auto"/>
        </w:rPr>
      </w:pPr>
    </w:p>
    <w:p>
      <w:pPr>
        <w:ind w:left="1020" w:right="40" w:hanging="516"/>
        <w:spacing w:after="0" w:line="260" w:lineRule="auto"/>
        <w:tabs>
          <w:tab w:leader="none" w:pos="10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Median time to complete attack resolution was 11.5 hours with 85.8% of attacks achieving complete attack resolution within 24 hours and 90.2% of those attacks requiring only one dose of deucrictibant (PGI-S).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Pharvaris Presents Data at the Bradykinin Symposium 2024</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September 5, 2024, the Company issued a press release titled “Pharvaris Presents Data at the Bradykinin Symposium 2024” which announced a summary of data being presented at the ongoing 7th Bradykinin Symposium. The presentations are listed below:</w:t>
      </w:r>
    </w:p>
    <w:p>
      <w:pPr>
        <w:spacing w:after="0" w:line="228" w:lineRule="exact"/>
        <w:rPr>
          <w:sz w:val="20"/>
          <w:szCs w:val="20"/>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Long-Term Safety and Efficacy of Oral Deucrictibant for HAE Prophylaxis, a poster presentation by Marc A. Riedl, M.D., M.A.</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Treatment of HAE Attacks with Oral Deucrictibant: RAPIDe-2 Extension Results, a poster presentation by Emel Aygören-Pürsün,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420370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2" w:name="page3"/>
    <w:bookmarkEnd w:id="2"/>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Prophylactic Treatment with Deucrictibant Improves HAE Disease Control and HRQoL, an oral presentation by Markus Magerl, M.D.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vs. Standard of Care in HAE: Propensity Score-Matched Analysis, a poster presentation by Marc A. Riedl, M.D., M.A.</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Prophylaxis of Hereditary Angioedema Attacks with Oral Deucrictibant: CHAPTER-1 Results, a poster presentation by Emel Aygören-Pürsün, M.D.</w:t>
      </w:r>
    </w:p>
    <w:p>
      <w:pPr>
        <w:spacing w:after="0" w:line="110"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Conformity with AURORA COS: a systematic literature review, a poster presentation by Remy Petersen, M.D., Ph.D.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Bradykinin Challenge Model in Humanized Bradykinin B2 receptor Transgenic Rat, an oral presentation by Jolanta Skarbaliene, Ph.D.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inhibits carrageenan-induced edema in bradykinin B2 receptor transgenic rat, a poster presentation by Anne Lesage, Ph.D.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The bradykinin challenge model translates across rat, monkey and human, a poster presentation by Juan Bravo, Ph.D.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 novel kinin biomarker assay for characterization of bradykinin-mediated disorders, a poster presentation by Evangelia Pardali, Ph.D.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 HMWK capillary immunoblotting assay to characterize bradykinin-mediated disorders, a poster presentation by Evangelia Pardali, Ph.D.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On September 5, 2024, the Company made available a corporate presentation on its website.</w:t>
      </w:r>
    </w:p>
    <w:p>
      <w:pPr>
        <w:spacing w:after="0" w:line="17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Except as stated herein, this Report on Form 6-K shall be deemed to be incorporated by reference into the registration statements on Form F-3 (Registration Numbers 333-278650, 333-277705 and 333-273757) and Form S-8 (Registration Number 333-252897) of Pharvaris N.V. and to be a part thereof from the date on which this report is filed, to the extent not superseded by documents or reports subsequently filed or furnished.</w:t>
      </w:r>
    </w:p>
    <w:p>
      <w:pPr>
        <w:spacing w:after="0" w:line="156"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Copies of the press releases and corporate presentation are attached hereto as Exhibits 99.1, 99.2, 99.3 and 99.4. Exhibits 99.1, 99.2, 99.3 and 99.4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7560" w:type="dxa"/>
            <w:vAlign w:val="bottom"/>
            <w:gridSpan w:val="2"/>
          </w:tcPr>
          <w:p>
            <w:pPr>
              <w:ind w:left="1940"/>
              <w:spacing w:after="0"/>
              <w:rPr>
                <w:sz w:val="20"/>
                <w:szCs w:val="20"/>
                <w:color w:val="auto"/>
              </w:rPr>
            </w:pPr>
            <w:r>
              <w:rPr>
                <w:rFonts w:ascii="Arial" w:cs="Arial" w:eastAsia="Arial" w:hAnsi="Arial"/>
                <w:sz w:val="16"/>
                <w:szCs w:val="16"/>
                <w:b w:val="1"/>
                <w:bCs w:val="1"/>
                <w:color w:val="auto"/>
              </w:rPr>
              <w:t>PHARVARIS N.V.</w:t>
            </w:r>
          </w:p>
        </w:tc>
      </w:tr>
      <w:tr>
        <w:trPr>
          <w:trHeight w:val="419"/>
        </w:trPr>
        <w:tc>
          <w:tcPr>
            <w:tcW w:w="3700" w:type="dxa"/>
            <w:vAlign w:val="bottom"/>
          </w:tcPr>
          <w:p>
            <w:pPr>
              <w:spacing w:after="0"/>
              <w:rPr>
                <w:sz w:val="20"/>
                <w:szCs w:val="20"/>
                <w:color w:val="auto"/>
              </w:rPr>
            </w:pPr>
            <w:r>
              <w:rPr>
                <w:rFonts w:ascii="Arial" w:cs="Arial" w:eastAsia="Arial" w:hAnsi="Arial"/>
                <w:sz w:val="16"/>
                <w:szCs w:val="16"/>
                <w:color w:val="auto"/>
              </w:rPr>
              <w:t>Date: September 5, 2024</w:t>
            </w:r>
          </w:p>
        </w:tc>
        <w:tc>
          <w:tcPr>
            <w:tcW w:w="2860" w:type="dxa"/>
            <w:vAlign w:val="bottom"/>
          </w:tcPr>
          <w:p>
            <w:pPr>
              <w:ind w:left="194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07"/>
        </w:trPr>
        <w:tc>
          <w:tcPr>
            <w:tcW w:w="3700" w:type="dxa"/>
            <w:vAlign w:val="bottom"/>
          </w:tcPr>
          <w:p>
            <w:pPr>
              <w:spacing w:after="0"/>
              <w:rPr>
                <w:sz w:val="17"/>
                <w:szCs w:val="17"/>
                <w:color w:val="auto"/>
              </w:rPr>
            </w:pPr>
          </w:p>
        </w:tc>
        <w:tc>
          <w:tcPr>
            <w:tcW w:w="2860" w:type="dxa"/>
            <w:vAlign w:val="bottom"/>
          </w:tcPr>
          <w:p>
            <w:pPr>
              <w:ind w:left="1940"/>
              <w:spacing w:after="0"/>
              <w:rPr>
                <w:sz w:val="20"/>
                <w:szCs w:val="20"/>
                <w:color w:val="auto"/>
              </w:rPr>
            </w:pPr>
            <w:r>
              <w:rPr>
                <w:rFonts w:ascii="Arial" w:cs="Arial" w:eastAsia="Arial" w:hAnsi="Arial"/>
                <w:sz w:val="16"/>
                <w:szCs w:val="16"/>
                <w:color w:val="auto"/>
              </w:rPr>
              <w:t>Name:</w:t>
            </w:r>
          </w:p>
        </w:tc>
        <w:tc>
          <w:tcPr>
            <w:tcW w:w="47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0"/>
        </w:trPr>
        <w:tc>
          <w:tcPr>
            <w:tcW w:w="3700" w:type="dxa"/>
            <w:vAlign w:val="bottom"/>
          </w:tcPr>
          <w:p>
            <w:pPr>
              <w:spacing w:after="0"/>
              <w:rPr>
                <w:sz w:val="18"/>
                <w:szCs w:val="18"/>
                <w:color w:val="auto"/>
              </w:rPr>
            </w:pPr>
          </w:p>
        </w:tc>
        <w:tc>
          <w:tcPr>
            <w:tcW w:w="2860" w:type="dxa"/>
            <w:vAlign w:val="bottom"/>
          </w:tcPr>
          <w:p>
            <w:pPr>
              <w:ind w:left="194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61"/>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1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Description</w:t>
            </w:r>
          </w:p>
        </w:tc>
      </w:tr>
      <w:tr>
        <w:trPr>
          <w:trHeight w:val="154"/>
        </w:trPr>
        <w:tc>
          <w:tcPr>
            <w:tcW w:w="280" w:type="dxa"/>
            <w:vAlign w:val="bottom"/>
          </w:tcPr>
          <w:p>
            <w:pPr>
              <w:spacing w:after="0" w:line="154" w:lineRule="exact"/>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5"/>
          </w:tcPr>
          <w:p>
            <w:pPr>
              <w:spacing w:after="0" w:line="154" w:lineRule="exact"/>
              <w:rPr>
                <w:sz w:val="20"/>
                <w:szCs w:val="20"/>
                <w:color w:val="auto"/>
              </w:rPr>
            </w:pPr>
            <w:r>
              <w:rPr>
                <w:rFonts w:ascii="Arial" w:cs="Arial" w:eastAsia="Arial" w:hAnsi="Arial"/>
                <w:sz w:val="14"/>
                <w:szCs w:val="14"/>
                <w:color w:val="0000FF"/>
              </w:rPr>
              <w:t>Bradykinin Symposium Press Release, dated September 5, 2024.</w:t>
            </w:r>
          </w:p>
        </w:tc>
      </w:tr>
      <w:tr>
        <w:trPr>
          <w:trHeight w:val="20"/>
        </w:trPr>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69"/>
        </w:trPr>
        <w:tc>
          <w:tcPr>
            <w:tcW w:w="280" w:type="dxa"/>
            <w:vAlign w:val="bottom"/>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5"/>
          </w:tcPr>
          <w:p>
            <w:pPr>
              <w:spacing w:after="0"/>
              <w:rPr>
                <w:sz w:val="20"/>
                <w:szCs w:val="20"/>
                <w:color w:val="auto"/>
              </w:rPr>
            </w:pPr>
            <w:r>
              <w:rPr>
                <w:rFonts w:ascii="Arial" w:cs="Arial" w:eastAsia="Arial" w:hAnsi="Arial"/>
                <w:sz w:val="14"/>
                <w:szCs w:val="14"/>
                <w:color w:val="0000FF"/>
              </w:rPr>
              <w:t>Deucrictibant OLE/LTE data Press Release, dated September 5, 2024.</w:t>
            </w:r>
          </w:p>
        </w:tc>
      </w:tr>
      <w:tr>
        <w:trPr>
          <w:trHeight w:val="169"/>
        </w:trPr>
        <w:tc>
          <w:tcPr>
            <w:tcW w:w="2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3</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rPr>
              <w:t>Business Update Press Release, dated September 5, 2024.</w:t>
            </w:r>
          </w:p>
        </w:tc>
        <w:tc>
          <w:tcPr>
            <w:tcW w:w="680" w:type="dxa"/>
            <w:vAlign w:val="bottom"/>
            <w:tcBorders>
              <w:top w:val="single" w:sz="8" w:color="0000FF"/>
            </w:tcBorders>
            <w:gridSpan w:val="2"/>
          </w:tcPr>
          <w:p>
            <w:pPr>
              <w:spacing w:after="0"/>
              <w:rPr>
                <w:sz w:val="14"/>
                <w:szCs w:val="14"/>
                <w:color w:val="auto"/>
              </w:rPr>
            </w:pPr>
          </w:p>
        </w:tc>
        <w:tc>
          <w:tcPr>
            <w:tcW w:w="5680" w:type="dxa"/>
            <w:vAlign w:val="bottom"/>
          </w:tcPr>
          <w:p>
            <w:pPr>
              <w:spacing w:after="0"/>
              <w:rPr>
                <w:sz w:val="14"/>
                <w:szCs w:val="14"/>
                <w:color w:val="auto"/>
              </w:rPr>
            </w:pPr>
          </w:p>
        </w:tc>
      </w:tr>
      <w:tr>
        <w:trPr>
          <w:trHeight w:val="169"/>
        </w:trPr>
        <w:tc>
          <w:tcPr>
            <w:tcW w:w="280" w:type="dxa"/>
            <w:vAlign w:val="bottom"/>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4</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5"/>
          </w:tcPr>
          <w:p>
            <w:pPr>
              <w:spacing w:after="0"/>
              <w:rPr>
                <w:sz w:val="20"/>
                <w:szCs w:val="20"/>
                <w:color w:val="auto"/>
              </w:rPr>
            </w:pPr>
            <w:r>
              <w:rPr>
                <w:rFonts w:ascii="Arial" w:cs="Arial" w:eastAsia="Arial" w:hAnsi="Arial"/>
                <w:sz w:val="14"/>
                <w:szCs w:val="14"/>
                <w:color w:val="0000FF"/>
              </w:rPr>
              <w:t>Corporate Presentation, dated September 5, 2024.</w:t>
            </w:r>
          </w:p>
        </w:tc>
      </w:tr>
      <w:tr>
        <w:trPr>
          <w:trHeight w:val="1060"/>
        </w:trPr>
        <w:tc>
          <w:tcPr>
            <w:tcW w:w="28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5261610</wp:posOffset>
            </wp:positionH>
            <wp:positionV relativeFrom="page">
              <wp:posOffset>449580</wp:posOffset>
            </wp:positionV>
            <wp:extent cx="2065020" cy="307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65020" cy="307975"/>
                    </a:xfrm>
                    <a:prstGeom prst="rect">
                      <a:avLst/>
                    </a:prstGeom>
                    <a:noFill/>
                  </pic:spPr>
                </pic:pic>
              </a:graphicData>
            </a:graphic>
          </wp:anchor>
        </w:drawing>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Pharvaris Presents Data at the Bradykinin Symposium 2024</w:t>
      </w:r>
    </w:p>
    <w:p>
      <w:pPr>
        <w:spacing w:after="0" w:line="183"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7"/>
          <w:szCs w:val="17"/>
          <w:color w:val="auto"/>
        </w:rPr>
        <w:t>ZUG, Switzerland, September 5, 2024 -- Pharvaris (Nasdaq: PHVS), a late-stage biopharmaceutical company developing novel, oral bradykinin B2 receptor antagonists to prevent and treat hereditary angioedema (HAE) attacks, today announced a summary of data being presented at the ongoing 7th Bradykinin Symposium. Details of the presentations are outlined below:</w:t>
      </w:r>
    </w:p>
    <w:p>
      <w:pPr>
        <w:spacing w:after="0" w:line="1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b w:val="1"/>
          <w:bCs w:val="1"/>
          <w:color w:val="auto"/>
        </w:rPr>
        <w:t>Long-Term Safety and Efficacy of Oral Deucrictibant for HAE Prophylaxis</w:t>
      </w:r>
      <w:r>
        <w:rPr>
          <w:rFonts w:ascii="Times New Roman" w:cs="Times New Roman" w:eastAsia="Times New Roman" w:hAnsi="Times New Roman"/>
          <w:sz w:val="17"/>
          <w:szCs w:val="17"/>
          <w:color w:val="auto"/>
        </w:rPr>
        <w:t>, a poster presentation by Marc A. Riedl, M.D., M.S. In the current analysis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ongoing open-label extension of the CHAPTER-1 Phase 2 study, deucrictibant 40 mg/day was well-tolerated, with no new safety signals observed. The results presented provide evidence of the long-term safety and efficacy of deucrictibant for the prevention of HAE attacks and support further development of deucrictibant as a potential prophylactic therapy for HAE. Results of this analysis provide support that:</w:t>
      </w:r>
    </w:p>
    <w:p>
      <w:pPr>
        <w:spacing w:after="0" w:line="2" w:lineRule="exact"/>
        <w:rPr>
          <w:sz w:val="20"/>
          <w:szCs w:val="20"/>
          <w:color w:val="auto"/>
        </w:rPr>
      </w:pPr>
    </w:p>
    <w:p>
      <w:pPr>
        <w:ind w:left="740" w:right="320" w:hanging="370"/>
        <w:spacing w:after="0" w:line="246"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deucrictibant treatment sustained the early-onset attack reduction seen in the randomized, placebo-controlled portion of the trial, with a median attack rate of zero for every month for over a year in the open-label part of the study</w:t>
      </w:r>
    </w:p>
    <w:p>
      <w:pPr>
        <w:spacing w:after="0" w:line="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average, less than one attack per year per participant was treated with on-demand medication</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b w:val="1"/>
          <w:bCs w:val="1"/>
          <w:color w:val="auto"/>
        </w:rPr>
        <w:t>Treatment of HAE Attacks with Oral Deucrictibant: RAPIDe-2 Extension Results</w:t>
      </w:r>
      <w:r>
        <w:rPr>
          <w:rFonts w:ascii="Times New Roman" w:cs="Times New Roman" w:eastAsia="Times New Roman" w:hAnsi="Times New Roman"/>
          <w:sz w:val="17"/>
          <w:szCs w:val="17"/>
          <w:color w:val="auto"/>
        </w:rPr>
        <w:t>, a poster presentation by Emel Aygören-Pürsün, M.D. In the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analysis of the ongoing RAPIDe-2 Phase 2/3 extension study, deucrictibant immediate release capsule was well-tolerated for all studied doses with no new safety signals observed. Results from the ongoing RAPIDe-2 extension are consistent with the randomized, placebo-controlled RAPIDe-1 Phase 2 study and provide evidence regarding the long-term safety and efficacy of deucrictibant IR capsule for repeat treatment of HAE attacks. Outcome analyses showed:</w:t>
      </w:r>
    </w:p>
    <w:p>
      <w:pPr>
        <w:spacing w:after="0" w:line="2" w:lineRule="exact"/>
        <w:rPr>
          <w:sz w:val="20"/>
          <w:szCs w:val="20"/>
          <w:color w:val="auto"/>
        </w:rPr>
      </w:pPr>
    </w:p>
    <w:p>
      <w:pPr>
        <w:ind w:left="740" w:right="560" w:hanging="370"/>
        <w:spacing w:after="0" w:line="246"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time to onset of symptom relief as measured by the Patient Global Impression of Change (PGI-C) was 1.1 hours, with 98.5% of attacks achieving onset of symptom relief by 12 hours</w:t>
      </w:r>
    </w:p>
    <w:p>
      <w:pPr>
        <w:spacing w:after="0" w:line="1" w:lineRule="exact"/>
        <w:rPr>
          <w:rFonts w:ascii="Times New Roman" w:cs="Times New Roman" w:eastAsia="Times New Roman" w:hAnsi="Times New Roman"/>
          <w:sz w:val="17"/>
          <w:szCs w:val="17"/>
          <w:color w:val="auto"/>
        </w:rPr>
      </w:pPr>
    </w:p>
    <w:p>
      <w:pPr>
        <w:ind w:left="740" w:right="320" w:hanging="370"/>
        <w:spacing w:after="0" w:line="246"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time to reduction in attack severity as measured by the Patient Global Impression of Severity (PGI-S) was 2.6 hours, with 97.7% of attacks achieving reduction in attack severity by 12 hours</w:t>
      </w:r>
    </w:p>
    <w:p>
      <w:pPr>
        <w:spacing w:after="0" w:line="1" w:lineRule="exact"/>
        <w:rPr>
          <w:rFonts w:ascii="Times New Roman" w:cs="Times New Roman" w:eastAsia="Times New Roman" w:hAnsi="Times New Roman"/>
          <w:sz w:val="17"/>
          <w:szCs w:val="17"/>
          <w:color w:val="auto"/>
        </w:rPr>
      </w:pPr>
    </w:p>
    <w:p>
      <w:pPr>
        <w:ind w:left="740" w:right="100" w:hanging="370"/>
        <w:spacing w:after="0" w:line="260"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time to complete attack resolution as measure by PGI-S was 11.5 hours, with 85.8% of attacks achieving complete attack resolution within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755015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9" w:right="319" w:bottom="1440" w:gutter="0" w:footer="0" w:header="0"/>
        </w:sectPr>
      </w:pPr>
    </w:p>
    <w:bookmarkStart w:id="4" w:name="page5"/>
    <w:bookmarkEnd w:id="4"/>
    <w:p>
      <w:pPr>
        <w:ind w:left="740" w:hanging="370"/>
        <w:spacing w:after="0"/>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86.0% of attacks were treated with a single dose of deucrictibant immediate-release capsule</w:t>
      </w:r>
    </w:p>
    <w:p>
      <w:pPr>
        <w:spacing w:after="0" w:line="205"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7"/>
          <w:szCs w:val="17"/>
          <w:b w:val="1"/>
          <w:bCs w:val="1"/>
          <w:color w:val="auto"/>
        </w:rPr>
        <w:t>Prophylactic Treatment with Deucrictibant Improves HAE Disease Control and HRQoL</w:t>
      </w:r>
      <w:r>
        <w:rPr>
          <w:rFonts w:ascii="Times New Roman" w:cs="Times New Roman" w:eastAsia="Times New Roman" w:hAnsi="Times New Roman"/>
          <w:sz w:val="17"/>
          <w:szCs w:val="17"/>
          <w:color w:val="auto"/>
        </w:rPr>
        <w:t>, an oral presentation by Markus Magerl, M.D. In the randomized,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placebo-controlled part of CHAPTER-1, a Phase 2 clinical study of deucrictibant for the prophylactic treatment of HAE attacks, health-related quality of life was evaluated using several measures. In the study, it was demonstrated that deucrictibant treatment led to improvements in disease control versus placebo, with 90% of participants in the deucrictibant-groups demonstrating well-controlled HAE at week 12. Presentation details included:</w:t>
      </w:r>
    </w:p>
    <w:p>
      <w:pPr>
        <w:spacing w:after="0" w:line="2" w:lineRule="exact"/>
        <w:rPr>
          <w:sz w:val="20"/>
          <w:szCs w:val="20"/>
          <w:color w:val="auto"/>
        </w:rPr>
      </w:pPr>
    </w:p>
    <w:p>
      <w:pPr>
        <w:ind w:left="740" w:right="640" w:hanging="370"/>
        <w:spacing w:after="0" w:line="246"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Deucrictibant improved Angioedema Quality of Life Questionnaire (AE-QoL) scores, particularly in “functioning” and “fear/shame” domains compared to placebo</w:t>
      </w:r>
    </w:p>
    <w:p>
      <w:pPr>
        <w:spacing w:after="0" w:line="1" w:lineRule="exact"/>
        <w:rPr>
          <w:rFonts w:ascii="Times New Roman" w:cs="Times New Roman" w:eastAsia="Times New Roman" w:hAnsi="Times New Roman"/>
          <w:sz w:val="17"/>
          <w:szCs w:val="17"/>
          <w:color w:val="auto"/>
        </w:rPr>
      </w:pPr>
    </w:p>
    <w:p>
      <w:pPr>
        <w:ind w:left="740" w:right="180" w:hanging="370"/>
        <w:spacing w:after="0" w:line="260"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Deucrictibant-treated participants reported greater satisfaction than those treated with placebo with regards to effectiveness and the domain of global satisfaction, and a comparable satisfaction for side effects, as measured by Treatment Satisfaction Questionnaire for Medication (TSQM)</w:t>
      </w:r>
    </w:p>
    <w:p>
      <w:pPr>
        <w:spacing w:after="0" w:line="15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b w:val="1"/>
          <w:bCs w:val="1"/>
          <w:color w:val="auto"/>
        </w:rPr>
        <w:t>Deucrictibant vs. Standard of Care in HAE: Propensity Score-Matched Analysis</w:t>
      </w:r>
      <w:r>
        <w:rPr>
          <w:rFonts w:ascii="Times New Roman" w:cs="Times New Roman" w:eastAsia="Times New Roman" w:hAnsi="Times New Roman"/>
          <w:sz w:val="17"/>
          <w:szCs w:val="17"/>
          <w:color w:val="auto"/>
        </w:rPr>
        <w:t>, a poster presentation by Marc A. Riedl, M.D., M.S. A propensity score-matched comparison of clinical outcomes between a subgroup of attacks (N=73) from the RAPIDe-2 study and a subgroup of attacks (N=73) from an observational real-world study treated with standard of care, the outcomes were more favorable for the attacks treated with deucrictibant on PGI-C- and PGI-S-based assessments. Deucrictibant had a shorter (1.07 hours) median time to onset of symptom relief as measured by PGI-C “a little better” compared to standard of care (2.38 hours).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b w:val="1"/>
          <w:bCs w:val="1"/>
          <w:color w:val="auto"/>
        </w:rPr>
        <w:t>Cardiovascular safety of repeated oral administration of the B2-receptor antagonist deucrictibant</w:t>
      </w:r>
      <w:r>
        <w:rPr>
          <w:rFonts w:ascii="Times New Roman" w:cs="Times New Roman" w:eastAsia="Times New Roman" w:hAnsi="Times New Roman"/>
          <w:sz w:val="17"/>
          <w:szCs w:val="17"/>
          <w:color w:val="auto"/>
        </w:rPr>
        <w:t>, a poster presentation by Nieves Crespo, Ph.D. In chronic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nonclinical safety studies of deucrictibant in non-human primates, no evident effects on cardiac electrophysiology, morphology and hemodynamic parameters were observed. Deucrictibant has showed no evident effects on cardiac electrophysiology and hemodynamic parameters in clinical studies in humans to date, following prophylactic treatment up to 12 weeks of administration in the randomized, placebo-controlled part of the Phase 2 CHAPTER-1 clinical study and up to one year in the ongoing open-label extension (OLE) part.</w:t>
      </w:r>
    </w:p>
    <w:p>
      <w:pPr>
        <w:spacing w:after="0" w:line="16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b w:val="1"/>
          <w:bCs w:val="1"/>
          <w:color w:val="auto"/>
        </w:rPr>
        <w:t>Prophylaxis of Hereditary Angioedema Attacks with Oral Deucrictibant: CHAPTER-1 Results</w:t>
      </w:r>
      <w:r>
        <w:rPr>
          <w:rFonts w:ascii="Times New Roman" w:cs="Times New Roman" w:eastAsia="Times New Roman" w:hAnsi="Times New Roman"/>
          <w:sz w:val="17"/>
          <w:szCs w:val="17"/>
          <w:color w:val="auto"/>
        </w:rPr>
        <w:t>, a poster presentation by Emel Aygören-Pürsün, M.D.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CHAPTER-1 study demonstrated that deucrictibant may significantly reduce the occurrence of HAE attacks, and clinically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741045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5" w:name="page6"/>
    <w:bookmarkEnd w:id="5"/>
    <w:p>
      <w:pPr>
        <w:jc w:val="both"/>
        <w:ind w:right="300"/>
        <w:spacing w:after="0" w:line="265" w:lineRule="auto"/>
        <w:rPr>
          <w:sz w:val="20"/>
          <w:szCs w:val="20"/>
          <w:color w:val="auto"/>
        </w:rPr>
      </w:pPr>
      <w:r>
        <w:rPr>
          <w:rFonts w:ascii="Times New Roman" w:cs="Times New Roman" w:eastAsia="Times New Roman" w:hAnsi="Times New Roman"/>
          <w:sz w:val="17"/>
          <w:szCs w:val="17"/>
          <w:color w:val="auto"/>
        </w:rPr>
        <w:t>reduction in occurrence of moderate and severe HAE attacks, as well as HAE attacks treated with on-demand medication, was observed. CHAPTER-1 results provide evidence of the efficacy and safety of deucrictibant for the prevention of HAE attacks and support its further development as a potential prophylactic therapy for HAE.</w:t>
      </w:r>
    </w:p>
    <w:p>
      <w:pPr>
        <w:spacing w:after="0" w:line="1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b w:val="1"/>
          <w:bCs w:val="1"/>
          <w:color w:val="auto"/>
        </w:rPr>
        <w:t>Clinical Trials Conformity with AURORA COS: a systematic literature review</w:t>
      </w:r>
      <w:r>
        <w:rPr>
          <w:rFonts w:ascii="Times New Roman" w:cs="Times New Roman" w:eastAsia="Times New Roman" w:hAnsi="Times New Roman"/>
          <w:sz w:val="17"/>
          <w:szCs w:val="17"/>
          <w:color w:val="auto"/>
        </w:rPr>
        <w:t>, a poster presentation by Remy S. Petersen, M.D., Ph.D. Conforming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core outcome set (COS) across various study designs, such as the COS recommended for HAE clinical studies by the Panel of Experts participating in the AURORA Project, may homogenize the use of specific outcomes for clinical studies and support future indirect comparisons among interventions. The design of the RAPIDe-3 Phase 3 study of deucrictibant immediate-release capsule for the on-demand treatment of HAE attacks fully conforms with the AURORA COS based on its prespecified endpoints.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b w:val="1"/>
          <w:bCs w:val="1"/>
          <w:color w:val="auto"/>
        </w:rPr>
        <w:t>Bradykinin Challenge Model in Humanized Bradykinin B2 receptor Transgenic Rat</w:t>
      </w:r>
      <w:r>
        <w:rPr>
          <w:rFonts w:ascii="Times New Roman" w:cs="Times New Roman" w:eastAsia="Times New Roman" w:hAnsi="Times New Roman"/>
          <w:sz w:val="17"/>
          <w:szCs w:val="17"/>
          <w:color w:val="auto"/>
        </w:rPr>
        <w:t>, an oral presentation by Jolanta Skarbaliene, Ph.D. The bradykinin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(BK) challenge model is a tool to assess pharmacokinetic and pharmacodynamic activity of bradykinin B2 receptor antagonists. A BK challenge model was successfully developed in humanized bradykinin B2 receptor transgenic rats that are pharmacologically responsive to bradykinin B2 receptor antagonists. The BK challenge model in humanized bradykinin B2 receptor transgenic rats can offer a valuable, easy to manage, and cost-effective tool for efficacy studies compared to those involving non-human primates.</w:t>
      </w:r>
    </w:p>
    <w:p>
      <w:pPr>
        <w:spacing w:after="0" w:line="164"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7"/>
          <w:szCs w:val="17"/>
          <w:b w:val="1"/>
          <w:bCs w:val="1"/>
          <w:color w:val="auto"/>
        </w:rPr>
        <w:t>Deucrictibant inhibits carrageenan-induced edema in bradykinin B2 receptor transgenic rat</w:t>
      </w:r>
      <w:r>
        <w:rPr>
          <w:rFonts w:ascii="Times New Roman" w:cs="Times New Roman" w:eastAsia="Times New Roman" w:hAnsi="Times New Roman"/>
          <w:sz w:val="17"/>
          <w:szCs w:val="17"/>
          <w:color w:val="auto"/>
        </w:rPr>
        <w:t>, a poster presentation by Anne Lesage, Ph.D. A humanized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bradykinin B2 receptor transgenic rat model was used to address the challenge of deucrictibant species selectivity in experimental models. Oral deucrictibant inhibited carrageenan-induced paw edema in humanized bradykinin B2 receptor transgenic rats.</w:t>
      </w:r>
    </w:p>
    <w:p>
      <w:pPr>
        <w:spacing w:after="0" w:line="15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b w:val="1"/>
          <w:bCs w:val="1"/>
          <w:color w:val="auto"/>
        </w:rPr>
        <w:t>The bradykinin challenge model translates across rat, monkey and human</w:t>
      </w:r>
      <w:r>
        <w:rPr>
          <w:rFonts w:ascii="Times New Roman" w:cs="Times New Roman" w:eastAsia="Times New Roman" w:hAnsi="Times New Roman"/>
          <w:sz w:val="17"/>
          <w:szCs w:val="17"/>
          <w:color w:val="auto"/>
        </w:rPr>
        <w:t>, a poster presentation by Juan Bravo, Ph.D. The pharmacokinetics (PK)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pharmacodynamics (PD) of icatibant were analyzed from BK challenge studies in humanized bradykinin B2 receptor transgenic rats, non-human primates, and healthy volunteers. Analyses across species showed similar responses, demonstrating that the BK challenge model in transgenic rats and non-human primates may be predictive of PK/PD outcomes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875665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6" w:name="page7"/>
    <w:bookmarkEnd w:id="6"/>
    <w:p>
      <w:pPr>
        <w:ind w:right="140"/>
        <w:spacing w:after="0" w:line="258" w:lineRule="auto"/>
        <w:rPr>
          <w:sz w:val="20"/>
          <w:szCs w:val="20"/>
          <w:color w:val="auto"/>
        </w:rPr>
      </w:pPr>
      <w:r>
        <w:rPr>
          <w:rFonts w:ascii="Times New Roman" w:cs="Times New Roman" w:eastAsia="Times New Roman" w:hAnsi="Times New Roman"/>
          <w:sz w:val="17"/>
          <w:szCs w:val="17"/>
          <w:b w:val="1"/>
          <w:bCs w:val="1"/>
          <w:color w:val="auto"/>
        </w:rPr>
        <w:t>A novel kinin biomarker assay for characterization of bradykinin-mediated disorders</w:t>
      </w:r>
      <w:r>
        <w:rPr>
          <w:rFonts w:ascii="Times New Roman" w:cs="Times New Roman" w:eastAsia="Times New Roman" w:hAnsi="Times New Roman"/>
          <w:sz w:val="17"/>
          <w:szCs w:val="17"/>
          <w:color w:val="auto"/>
        </w:rPr>
        <w:t>, a poster presentation by Evangelia Pardali, Ph.D. BK is involved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various physiological and pathological processes, including angioedema (AE). Differentiating BK-mediated from histamine-mediated AE and assessing the role of BK in the pathogenesis of other conditions by measuring kinin peptides remains a challenge due to their proteolytic instability and limitations of current analytical assays. A kinin biomarker assay was established and qualified, which could become a key tool for identifying, studying, and managing BK-mediated diseases.</w:t>
      </w:r>
    </w:p>
    <w:p>
      <w:pPr>
        <w:spacing w:after="0" w:line="3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b w:val="1"/>
          <w:bCs w:val="1"/>
          <w:color w:val="auto"/>
        </w:rPr>
        <w:t>A HMWK capillary immunoblotting assay to characterize bradykinin-mediated disorders</w:t>
      </w:r>
      <w:r>
        <w:rPr>
          <w:rFonts w:ascii="Times New Roman" w:cs="Times New Roman" w:eastAsia="Times New Roman" w:hAnsi="Times New Roman"/>
          <w:sz w:val="17"/>
          <w:szCs w:val="17"/>
          <w:color w:val="auto"/>
        </w:rPr>
        <w:t>, a poster presentation by Evangelia Pardali, Ph.D. Activation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plasma kallikrein-kinin system (KKS) can result in cleavage of high molecular weight kininogen (HMWK) and production of vasodilatory kinins, such as BK. A HMWK immunoblotting assay was established and qualified to reliably measure KKS biomarkers in human plasma and could become a key tool for identifying, studying, and managing BK-mediated diseases.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presentation slides and posters are available on the Investors section of the Pharvaris website at: https://ir.pharvaris.com/news-events/events-presentations.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2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Deucrictibant is a novel, potent, oral small-molecule bradykinin B2 receptor antagonist. By inhibiting bradykinin signaling through the bradykinin B2 receptor, deucrictibant has the potential to prevent the occurrence of HAE attacks and to treat the manifestations of attacks if they occur. Based on its chemical properties, Pharvaris is developing two formulations of deucrictibant for oral administration: an extended-release tablet to enable sustained absorption and efficacy for prophylactic treatment, and an immediate-release capsule to enable rapid onset of activity for on-demand treatment.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Pharvaris is a late-stage biopharmaceutical company developing novel, oral bradykinin B2 receptor antagonists to prevent and treat HAE attacks. By directly pursuing this clinically proven therapeutic target with novel small molecules, the Pharvaris team aspires to offer people with all types of bradykinin-mediated angioedema effective, well-tolerated, and easy-to-administer alternatives to treat attacks, both prophylactically and on-demand . With positive data in both Phase 2 prophylaxis and on-demand studies in HAE, Pharvaris is encouraged to further develop deucrictibant. Pharvaris is currently enrolling a pivotal Phase 3 study for the on-demand treatment of HAE attacks and plans to initiate a pivotal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study of deucrictibant for the prevention of HAE attacks in the coming months. For more information, visit https://pharvaris.com/.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767080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7"/>
          <w:szCs w:val="17"/>
          <w:color w:val="auto"/>
        </w:rPr>
        <w:t>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Corporate and Investor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1148080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9" w:name="page10"/>
    <w:bookmarkEnd w:id="9"/>
    <w:p>
      <w:pPr>
        <w:ind w:left="10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5253990</wp:posOffset>
            </wp:positionH>
            <wp:positionV relativeFrom="page">
              <wp:posOffset>449580</wp:posOffset>
            </wp:positionV>
            <wp:extent cx="2072640" cy="307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72640" cy="307975"/>
                    </a:xfrm>
                    <a:prstGeom prst="rect">
                      <a:avLst/>
                    </a:prstGeom>
                    <a:noFill/>
                  </pic:spPr>
                </pic:pic>
              </a:graphicData>
            </a:graphic>
          </wp:anchor>
        </w:drawing>
        <w:t>Exhibit 99.2</w:t>
      </w:r>
    </w:p>
    <w:p>
      <w:pPr>
        <w:spacing w:after="0" w:line="31" w:lineRule="exact"/>
        <w:rPr>
          <w:sz w:val="20"/>
          <w:szCs w:val="20"/>
          <w:color w:val="auto"/>
        </w:rPr>
      </w:pPr>
    </w:p>
    <w:p>
      <w:pPr>
        <w:jc w:val="center"/>
        <w:ind w:right="60"/>
        <w:spacing w:after="0" w:line="244" w:lineRule="auto"/>
        <w:rPr>
          <w:sz w:val="20"/>
          <w:szCs w:val="20"/>
          <w:color w:val="auto"/>
        </w:rPr>
      </w:pPr>
      <w:r>
        <w:rPr>
          <w:rFonts w:ascii="Times New Roman" w:cs="Times New Roman" w:eastAsia="Times New Roman" w:hAnsi="Times New Roman"/>
          <w:sz w:val="22"/>
          <w:szCs w:val="22"/>
          <w:b w:val="1"/>
          <w:bCs w:val="1"/>
          <w:color w:val="auto"/>
        </w:rPr>
        <w:t>Pharvaris Presents Deucrictibant Long-Term Extension Data for Both the Prophylactic and On-Demand Treatment of HAE at the Bradykinin Symposium 2024</w:t>
      </w:r>
    </w:p>
    <w:p>
      <w:pPr>
        <w:spacing w:after="0" w:line="1" w:lineRule="exact"/>
        <w:rPr>
          <w:sz w:val="20"/>
          <w:szCs w:val="20"/>
          <w:color w:val="auto"/>
        </w:rPr>
      </w:pPr>
    </w:p>
    <w:p>
      <w:pPr>
        <w:ind w:left="740" w:right="80" w:hanging="370"/>
        <w:spacing w:after="0" w:line="246"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 data confirm the observed safety and tolerability profile from Phase 2 studies and further support the potential for deucrictibant to become a preferred therapy for the management of HAE</w:t>
      </w:r>
    </w:p>
    <w:p>
      <w:pPr>
        <w:spacing w:after="0" w:line="1" w:lineRule="exact"/>
        <w:rPr>
          <w:rFonts w:ascii="Times New Roman" w:cs="Times New Roman" w:eastAsia="Times New Roman" w:hAnsi="Times New Roman"/>
          <w:sz w:val="17"/>
          <w:szCs w:val="17"/>
          <w:color w:val="auto"/>
        </w:rPr>
      </w:pPr>
    </w:p>
    <w:p>
      <w:pPr>
        <w:ind w:left="740" w:right="520" w:hanging="370"/>
        <w:spacing w:after="0" w:line="246"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prophylaxis extension data of deucrictibant shows attack reduction is maintained for over one year; open-label extension participants experienced a 93% reduction in attacks compared to baseline</w:t>
      </w:r>
    </w:p>
    <w:p>
      <w:pPr>
        <w:spacing w:after="0" w:line="1" w:lineRule="exact"/>
        <w:rPr>
          <w:rFonts w:ascii="Times New Roman" w:cs="Times New Roman" w:eastAsia="Times New Roman" w:hAnsi="Times New Roman"/>
          <w:sz w:val="17"/>
          <w:szCs w:val="17"/>
          <w:color w:val="auto"/>
        </w:rPr>
      </w:pPr>
    </w:p>
    <w:p>
      <w:pPr>
        <w:ind w:left="740" w:right="140" w:hanging="370"/>
        <w:spacing w:after="0" w:line="260"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on-demand extension data of deucrictibant immediate-release capsule shows median onset of symptom relief in ~1.1 hours, with 85.8% of attacks resolving completely within 24 hours</w:t>
      </w:r>
    </w:p>
    <w:p>
      <w:pPr>
        <w:spacing w:after="0" w:line="16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ZUG, Switzerland, September 5, 2024 -- Pharvaris (Nasdaq: PHVS), a late-stage biopharmaceutical company developing novel, oral bradykinin B2 receptor antagonists to prevent and treat hereditary angioedema (HAE) attacks, is highlighting the differentiated profile of deucrictibant as a prophylactic and on-demand treatment of HAE attacks at the Bradykinin Symposium 2024, being held in Berlin from September 5-6, 2024. A summary of the data being presented at the congress can be found here.</w:t>
      </w:r>
    </w:p>
    <w:p>
      <w:pPr>
        <w:spacing w:after="0" w:line="1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“Based on a snapshot analysis, treatment with deucrictibant led to a 93% reduction in attack rate compared to study baseline, a median attack rate of zero for every month, and a mean proportion of attack-free days of 99% after more than a year of mean duration of treatment in a prophylactic extension study. Together with the improvements in disease control and health-related quality of life observed in the randomized, placebo-controlled part of the CHAPTER-1 study, these data underscore the potential of deucrictibant to be an effective and well-tolerated prophylactic agent in the treatment of HAE,” said Peng Lu, M.D., Ph.D., Chief Medical Officer of Pharvaris. “Long-term extension data of deucrictibant in the on-demand setting similarly confirm its potential to become a preferred option for the treatment of HAE attacks with a median onset of symptom relief of 1.1 hours, as measured by Patient Global Impression of Change (PGI-C) and median complete resolution of 11.5 hours, as measured by Patient Global Impression of Severity (PGI-S). The rapid onset of symptom relief reported in RAPIDe-2 and the results of a propensity score-matched analysis favoring deucrictibant over standard of care provide confidence in our ability to differentiate deucrictibant in the on-demand HAE space. Lastly, the safety and tolerability profile of deucrictibant has been reaffirmed in multiple nonclinical and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762000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9" w:right="319" w:bottom="1440" w:gutter="0" w:footer="0" w:header="0"/>
        </w:sectPr>
      </w:pPr>
    </w:p>
    <w:bookmarkStart w:id="10" w:name="page11"/>
    <w:bookmarkEnd w:id="10"/>
    <w:p>
      <w:pPr>
        <w:spacing w:after="0" w:line="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Marc A. Riedl, M.D., M.S., Professor of Medicine, Clinical Director of the U.S. Hereditary Angioedema Association (HAEA) Angioedema Center at the University of California San Diego (UCSD), Clinical Service Chief for Allergy/Immunology at UCSD, added, “The goal of HAE management is for affected individuals to live a normal life, ensuring they can engage in all work, school, family, and leisure activities as desired without limitation from angioedema symptoms. Therapies that offer improved efficacy, tolerability, and convenience have the potential to normalize the lives of people living with HAE. These long-term extension and health-related quality of life data, together with the Phase 2 clinical trial data, provide evidence of the benefits of deucrictibant as a potential treatment for HAE, and highlight the importance of additional data from late-stage clinical development of deucrictibant in both treatment settings.”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Prophylactic Program</w:t>
      </w:r>
    </w:p>
    <w:p>
      <w:pPr>
        <w:spacing w:after="0" w:line="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CHAPTER-1 (NCT05047185) is a two-part Phase 2 study evaluating the efficacy and safety of deucrictibant for long-term prophylaxis of HAE attacks. Positive top-line data from the double-blind, randomized, placebo-controlled portion (part 1) of the CHAPTER-1 study were announced in December 2023. Further exploration of disease control, health-related quality of life (HRQoL), and treatment satisfaction data will be presented by Dr. Markus Magerl in an oral presentation and show that 90% of participants receiving deucrictibant (N=20) reported well-controlled HAE at week 12 compared to 37.5% of participants receiving placebo (N=8) as measured by the Angioedema Control Test (AECT). Deucrictibant-treated participants reported greater satisfaction than those treated with placebo with regards to effectiveness and the domain of global satisfaction, and a comparable satisfaction for side effects.</w:t>
      </w:r>
    </w:p>
    <w:p>
      <w:pPr>
        <w:spacing w:after="0" w:line="1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All eligible participants completing part 1 of CHAPTER-1 (N=30) enrolled into the ongoing open-label extension (part 2) during which they have received deucrictibant 40 mg/day with a mean treatment duration in the extension of 12.83 months. The current analysis (cutoff date: June 10, 2024) will be presented by Dr. Riedl in a poster presentation and show that deucrictibant was well-tolerated, with no safety signals observed. Efficacy analyses show:</w:t>
      </w:r>
    </w:p>
    <w:p>
      <w:pPr>
        <w:ind w:left="740" w:hanging="370"/>
        <w:spacing w:after="0"/>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Deucrictibant reduced the attack rate in the open-label extension by 93.0% compared to the part 1 study baseline</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“moderate and severe” attacks and of attacks treated with on-demand medication remained low in the open-label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892175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On-Demand Program</w:t>
      </w:r>
    </w:p>
    <w:p>
      <w:pPr>
        <w:spacing w:after="0" w:line="2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7"/>
          <w:szCs w:val="17"/>
          <w:color w:val="auto"/>
        </w:rPr>
        <w:t>Dr. Emel Aygören-Pürsün will present a poster on RAPIDe-2 (NCT05396105), an ongoing two-part Phase 2/3 extension study, evaluating long-term safety and efficacy of orally administered deucrictibant immediate-release capsule for the on-demand treatment of HAE attacks. The safety analysis (cutoff date: June 10, 2024) includes a total of 337 attacks and shows that deucrictibant was well-tolerated for all studied doses with no new safety signals observed. The efficacy analysis (cutoff date: March 1, 2024) includes a total of 265 attacks and shows:</w:t>
      </w:r>
    </w:p>
    <w:p>
      <w:pPr>
        <w:spacing w:after="0" w:line="3" w:lineRule="exact"/>
        <w:rPr>
          <w:sz w:val="20"/>
          <w:szCs w:val="20"/>
          <w:color w:val="auto"/>
        </w:rPr>
      </w:pPr>
    </w:p>
    <w:p>
      <w:pPr>
        <w:ind w:left="740" w:hanging="370"/>
        <w:spacing w:after="0"/>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time to onset of symptom relief was 1.1(PGI-C) hours with 98.5% of attacks achieving onset of symptom relief by 12 hours</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time to reduction in attack severity was 2.6 hours (PGI-S) with 97.7% of attacks achieving reduction in attack severity by 12 hours</w:t>
      </w:r>
    </w:p>
    <w:p>
      <w:pPr>
        <w:spacing w:after="0" w:line="5" w:lineRule="exact"/>
        <w:rPr>
          <w:rFonts w:ascii="Times New Roman" w:cs="Times New Roman" w:eastAsia="Times New Roman" w:hAnsi="Times New Roman"/>
          <w:sz w:val="17"/>
          <w:szCs w:val="17"/>
          <w:color w:val="auto"/>
        </w:rPr>
      </w:pPr>
    </w:p>
    <w:p>
      <w:pPr>
        <w:ind w:left="740" w:right="340" w:hanging="370"/>
        <w:spacing w:after="0" w:line="260" w:lineRule="auto"/>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time to complete attack resolution was 11.5 hours with 85.8% of attacks achieving complete attack resolution within 24 hours (PGI-S) and 90.2% of these attacks requiring a single dose of deucrictibant</w:t>
      </w:r>
    </w:p>
    <w:p>
      <w:pPr>
        <w:spacing w:after="0" w:line="16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RAPIDe-2 data were used to conduct a comparison of deucrictibant immediate-release capsule to standard of care on-demand therapy in a propensity-score matched analysis. The analysis to be presented by Dr. Riedl in a poster presentation, indicates that PGI-C- and PGI-S-based outcomes were more favorable for the attacks treated with deucrictibant in RAPIDe-2 study than for the attacks treated with standard of care in an observational study.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Safety</w:t>
      </w:r>
    </w:p>
    <w:p>
      <w:pPr>
        <w:spacing w:after="0" w:line="2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Dr. Nieves Crespo will present a poster on an assessment of the cardiovascular safety of deucrictibant after repeated dosing which shows no evidence of any impact on cardiovascular parameters in nonclinical studies in non-human primates, including a 3-month and chronic study, nor in clinical studies to date, following prophylactic treatment up to 12 weeks of administration in the randomized, placebo-controlled part 1 of CHAPTER-1 clinical study and up to one year in its ongoing open-label extension.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presentation slides and posters are available on the Investors section of the Pharvaris website at: https://ir.pharvaris.com/news-events/events-presentations.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2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Deucrictibant is a novel, potent, oral small-molecule bradykinin B2 receptor antagonist. By inhibiting bradykinin signaling through the bradykinin B2 receptor, deucrictibant has the potential to prevent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755015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2" w:name="page13"/>
    <w:bookmarkEnd w:id="12"/>
    <w:p>
      <w:pPr>
        <w:spacing w:after="0" w:line="265" w:lineRule="auto"/>
        <w:rPr>
          <w:sz w:val="20"/>
          <w:szCs w:val="20"/>
          <w:color w:val="auto"/>
        </w:rPr>
      </w:pPr>
      <w:r>
        <w:rPr>
          <w:rFonts w:ascii="Times New Roman" w:cs="Times New Roman" w:eastAsia="Times New Roman" w:hAnsi="Times New Roman"/>
          <w:sz w:val="17"/>
          <w:szCs w:val="17"/>
          <w:color w:val="auto"/>
        </w:rPr>
        <w:t>occurrence of HAE attacks and to treat the manifestations of an attack if they occur. Based on its chemical properties, Pharvaris is developing two formulations of deucrictibant for oral administration: an extended-release tablet to enable sustained absorption and efficacy for prophylactic treatment, and an immediate-release capsule to enable rapid onset of activity for on-demand treatment.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Pharvaris is a late-stage biopharmaceutical company developing novel, oral bradykinin B2 receptor antagonists to prevent and treat HAE attacks. By directly pursuing this clinically proven therapeutic target with novel small molecules, the Pharvaris team aspires to offer people with all types of bradykinin-mediated angioedema effective, well-tolerated, and easy-to-administer alternatives to treat attacks, both prophylactically and on-demand . With positive data in both Phase 2 prophylaxis and on-demand studies in HAE, Pharvaris is encouraged to further develop deucrictibant. Pharvaris is currently enrolling a pivotal Phase 3 study for the on-demand treatment of HAE attacks and plans to initiate a pivotal Phase 3 study of deucrictibant for the prevention of HAE attacks in the coming months. For more information, visit https://pharvaris.com/.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762000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3" w:name="page14"/>
    <w:bookmarkEnd w:id="13"/>
    <w:p>
      <w:pPr>
        <w:spacing w:after="0" w:line="249" w:lineRule="auto"/>
        <w:rPr>
          <w:sz w:val="20"/>
          <w:szCs w:val="20"/>
          <w:color w:val="auto"/>
        </w:rPr>
      </w:pPr>
      <w:r>
        <w:rPr>
          <w:rFonts w:ascii="Times New Roman" w:cs="Times New Roman" w:eastAsia="Times New Roman" w:hAnsi="Times New Roman"/>
          <w:sz w:val="17"/>
          <w:szCs w:val="17"/>
          <w:color w:val="auto"/>
        </w:rPr>
        <w:t>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Corporate and Investor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1148080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54" w:right="4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5276215</wp:posOffset>
            </wp:positionH>
            <wp:positionV relativeFrom="page">
              <wp:posOffset>449580</wp:posOffset>
            </wp:positionV>
            <wp:extent cx="2050415"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50415" cy="300355"/>
                    </a:xfrm>
                    <a:prstGeom prst="rect">
                      <a:avLst/>
                    </a:prstGeom>
                    <a:noFill/>
                  </pic:spPr>
                </pic:pic>
              </a:graphicData>
            </a:graphic>
          </wp:anchor>
        </w:drawing>
        <w:t>Exhibit 99.3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Pharvaris Provides Business Update and Expands Development Program for Deucrictibant</w:t>
      </w:r>
    </w:p>
    <w:p>
      <w:pPr>
        <w:spacing w:after="0" w:line="2" w:lineRule="exact"/>
        <w:rPr>
          <w:sz w:val="20"/>
          <w:szCs w:val="20"/>
          <w:color w:val="auto"/>
        </w:rPr>
      </w:pPr>
    </w:p>
    <w:p>
      <w:pPr>
        <w:ind w:left="740" w:right="440" w:hanging="370"/>
        <w:spacing w:after="0" w:line="246" w:lineRule="auto"/>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CHAPTER-3, the global pivotal Phase 3 clinical study of deucrictibant for the prophylactic treatment for HAE using once-daily extended-release tablet, is expected to initiate by YE2024</w:t>
      </w:r>
    </w:p>
    <w:p>
      <w:pPr>
        <w:spacing w:after="0" w:line="1" w:lineRule="exact"/>
        <w:rPr>
          <w:rFonts w:ascii="Times New Roman" w:cs="Times New Roman" w:eastAsia="Times New Roman" w:hAnsi="Times New Roman"/>
          <w:sz w:val="17"/>
          <w:szCs w:val="17"/>
          <w:color w:val="auto"/>
        </w:rPr>
      </w:pPr>
    </w:p>
    <w:p>
      <w:pPr>
        <w:ind w:left="740" w:right="380" w:hanging="370"/>
        <w:spacing w:after="0" w:line="246" w:lineRule="auto"/>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Differentiated deucrictibant profile, including long-term extension results, to be highlighted in clinical, real-world, nonclinical, and discovery data presentations at the 2024 Bradykinin Symposium</w:t>
      </w:r>
    </w:p>
    <w:p>
      <w:pPr>
        <w:spacing w:after="0" w:line="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Pharvaris intends to pursue clinical development in acquired angioedema as a newly named indication</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Pharvaris to host a conference call today at 8:00 a.m. ET</w:t>
      </w:r>
    </w:p>
    <w:p>
      <w:pPr>
        <w:spacing w:after="0" w:line="200" w:lineRule="exact"/>
        <w:rPr>
          <w:sz w:val="20"/>
          <w:szCs w:val="20"/>
          <w:color w:val="auto"/>
        </w:rPr>
      </w:pPr>
    </w:p>
    <w:p>
      <w:pPr>
        <w:spacing w:after="0" w:line="2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ZUG, Switzerland, September 5, 2024 -- Pharvaris (Nasdaq: PHVS), a late-stage biopharmaceutical company developing novel, oral bradykinin B2 receptor antagonists to prevent and treat hereditary angioedema (HAE) attacks, today announced the planned initiation of CHAPTER-3, the pivotal Phase 3 study of deucrictibant extended-release tablets for the prophylactic treatment of HAE; announced its intention to pursue clinical development of deucrictibant in a newly named indication, acquired angioedema due to C1-inhibitor deficiency (AAE-C1INH); and presented a robust data set highlighting the differentiating characteristics of deucrictibant.</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“Given the totality of data for deucrictibant, now bolstered by new data from ongoing long-term extension studies showing tolerability and efficacy in both prophylaxis and on-demand treatment, we believe deucrictibant has the potential to become a preferred therapy for the management of HAE,” said Berndt Modig, Chief Executive Officer at Pharvaris. “We remain focused on the efficient execution of our clinical studies, with the CHAPTER-3 study expected to initiate by the end of the year while RAPIDe-3 is progressing as planned. Pharvaris has the expertise to expand deucrictibant beyond HAE to other bradykinin-mediated-disease —such as AAE-C1INH—and we are excited to explore the potential for deucrictibant to meet a currently unaddressed medical need.”</w:t>
      </w:r>
    </w:p>
    <w:p>
      <w:pPr>
        <w:spacing w:after="0" w:line="162"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7"/>
          <w:szCs w:val="17"/>
          <w:b w:val="1"/>
          <w:bCs w:val="1"/>
          <w:color w:val="auto"/>
        </w:rPr>
        <w:t>CHAPTER-3, a global, pivotal Phase 3 study of deucrictibant extended-release tablet for the prophylactic treatment of HAE attacks, is expected to initiate by year end 2024.</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Startup activities are on track to initiate CHAPTER-3 by the end of 2024. CHAPTER-3 will assess the efficacy and safety of once-daily dosing of the extended-release tablet formulation of deucrictibant, which is designed to provide sustained protection from HAE attacks by maintaining plasma exposure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755015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therapeutic level for over 24 hours and achieving pharmacokinetic steady state in approximately two to three days.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Stefan Abele, Ph.D., Chief Technical Operations Officer of Pharvaris, commented, “Pharvaris’ supply chain and CMC teams have been working diligently to ensure timely delivery of deucrictibant extended-release tablets in the commercial formulation to our Phase 3 clinical sites. The use of deucrictibant extended-release tablets in the CHAPTER-3 Phase 3 study enables us to evaluate deucrictibant’s ability to address the need for improvements in quality-of-life that people living with HAE want and deserve: a therapy providing injectable-like efficacy, from the first day of therapy, with a favorable tolerability and the convenience of once-daily oral administration.”</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Pharvaris intends to pursue clinical development of deucrictibant in AAE-C1INH following publication of compelling data from an investigator-initiated trial. </w:t>
      </w:r>
      <w:r>
        <w:rPr>
          <w:rFonts w:ascii="Times New Roman" w:cs="Times New Roman" w:eastAsia="Times New Roman" w:hAnsi="Times New Roman"/>
          <w:sz w:val="17"/>
          <w:szCs w:val="17"/>
          <w:color w:val="auto"/>
        </w:rPr>
        <w:t>Data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Journal of Allergy and Clinical Immunology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July 2024 explored the potential for deucrictibant to address the unmet medical need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well-tolerated and effective therapies for the prophylactic and on-demand treatment of AAE-C1INH. A randomized, double-blind, placebo-controlled study was conducted by Investigators at the Amsterdam University Medical Center (Amsterdam UMC). Three people living with AAE-C1INH were enrolled; the individual mean monthly attack rates were 2.0, 0.6, and 1.0 during the placebo period and 0.0 across all participants during treatment with deucrictibant. There were no severe adverse events and one self-limiting treatment-emergent adverse event (abdominal pain).</w:t>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Remy Petersen, M.D., at Amsterdam UMC, stated, “There is an unmet need for therapies approved specifically for the treatment of AAE-C1INH. At Amsterdam UMC, we were pleased to confirm our hypothesis that a bradykinin B2 receptor antagonist, such as deucrictibant, has the potential to successfully prevent and treat AAE-C1INH. We look forward to continuing our collaboration with Pharvaris in the clinical development of deucrictibant for AAE-C1INH to further demonstrate the therapeutic benefit for those living with bradykinin-mediated angioedema.”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Differentiated clinical profile of deucrictibant presented at the Bradykinin Symposium.</w:t>
      </w:r>
    </w:p>
    <w:p>
      <w:pPr>
        <w:spacing w:after="0" w:line="2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A snapshot of long-term extension data from the ongoing prophylactic (CHAPTER-1 part 2: NCT05047185) and on-demand (RAPIDe-2: NCT05396105) extension studies provide evidence of the sustained product profile of deucrictibant in both HAE treatment settings. Additional information can be found in the detailed data press release and in the complete presentation summary. The presentation slides and posters are available on the Investors section of the Pharvaris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54" w:right="399" w:bottom="1440" w:gutter="0" w:footer="0" w:header="0"/>
        </w:sectPr>
      </w:pPr>
    </w:p>
    <w:bookmarkStart w:id="16" w:name="page17"/>
    <w:bookmarkEnd w:id="1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Upcoming Event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CIIC Fall 2024 Conference. </w:t>
      </w:r>
      <w:r>
        <w:rPr>
          <w:rFonts w:ascii="Times New Roman" w:cs="Times New Roman" w:eastAsia="Times New Roman" w:hAnsi="Times New Roman"/>
          <w:sz w:val="17"/>
          <w:szCs w:val="17"/>
          <w:color w:val="auto"/>
        </w:rPr>
        <w:t>Dallas, TX, September 13-14, 2024. Two abstracts have been accepted for e-Poster presentation. Details are as follows:</w:t>
      </w:r>
    </w:p>
    <w:p>
      <w:pPr>
        <w:spacing w:after="0" w:line="6" w:lineRule="exact"/>
        <w:rPr>
          <w:sz w:val="20"/>
          <w:szCs w:val="20"/>
          <w:color w:val="auto"/>
        </w:rPr>
      </w:pPr>
    </w:p>
    <w:p>
      <w:pPr>
        <w:ind w:left="740" w:right="20" w:hanging="370"/>
        <w:spacing w:after="0" w:line="246" w:lineRule="auto"/>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Efficacy and Safety of Oral Deucrictibant, a Bradykinin B2 Receptor Antagonist, in Treatment of Hereditary Angioedema Attacks: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Results of the RAPIDe-2 Extension Study</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Joshua S. Jacobs, M.D.</w:t>
      </w:r>
    </w:p>
    <w:p>
      <w:pPr>
        <w:spacing w:after="0" w:line="5"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ePoster</w:t>
      </w:r>
    </w:p>
    <w:p>
      <w:pPr>
        <w:spacing w:after="0" w:line="5" w:lineRule="exact"/>
        <w:rPr>
          <w:rFonts w:ascii="Times New Roman" w:cs="Times New Roman" w:eastAsia="Times New Roman" w:hAnsi="Times New Roman"/>
          <w:sz w:val="17"/>
          <w:szCs w:val="17"/>
          <w:color w:val="auto"/>
        </w:rPr>
      </w:pPr>
    </w:p>
    <w:p>
      <w:pPr>
        <w:ind w:left="740" w:right="40" w:hanging="370"/>
        <w:spacing w:after="0" w:line="246" w:lineRule="auto"/>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Safety and Efficacy of Prophylactic Oral Deucrictibant, a Bradykinin B2 Receptor Antagonist, in Hereditary Angioedema: Results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CHAPTER-1 Open Label Extension Study</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Looped e-Poster Display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Conference Call and Webcast</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Pharvaris will host a live conference call and webcast today to discuss these updates and data in greater detail at 8:00 a.m. EDT via a live webcast; presentation slides may be accessed on the “Events and Presentations” page of the Pharvaris investor relations website. Participants interested in asking a question during the Q&amp;A may do so in the live conference call. An archived replay will also be available on the website for 90 days following the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2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Deucrictibant is a novel, potent, oral small-molecule bradykinin B2 receptor antagonist. By inhibiting bradykinin signaling through the bradykinin B2 receptor, deucrictibant has the potential to prevent the occurrence of HAE attacks and to treat the manifestations of attacks if they occur. Based on its chemical properties, Pharvaris is developing two formulations of deucrictibant for oral administration: an extended-release tablet to enable sustained absorption and efficacy for prophylactic treatment, and an immediate-release capsule to enable rapid onset of activity for on-demand treatment.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7"/>
          <w:szCs w:val="17"/>
          <w:color w:val="auto"/>
        </w:rPr>
        <w:t>Pharvaris is a late-stage biopharmaceutical company developing novel, oral bradykinin B2 receptor antagonists to prevent and treat HAE attacks. By directly pursuing this clinically proven therapeutic target with novel small molecules, the Pharvaris team aspires to offer people with all types of bradykinin-mediated angioedema effective, well-tolerated, and easy-to-administer alternatives to treat attacks,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759460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7" w:name="page18"/>
    <w:bookmarkEnd w:id="17"/>
    <w:p>
      <w:pPr>
        <w:ind w:right="100"/>
        <w:spacing w:after="0" w:line="265" w:lineRule="auto"/>
        <w:rPr>
          <w:sz w:val="20"/>
          <w:szCs w:val="20"/>
          <w:color w:val="auto"/>
        </w:rPr>
      </w:pPr>
      <w:r>
        <w:rPr>
          <w:rFonts w:ascii="Times New Roman" w:cs="Times New Roman" w:eastAsia="Times New Roman" w:hAnsi="Times New Roman"/>
          <w:sz w:val="17"/>
          <w:szCs w:val="17"/>
          <w:color w:val="auto"/>
        </w:rPr>
        <w:t>prophylactically and on-demand . With positive data in both Phase 2 prophylaxis and on-demand studies in HAE, Pharvaris is encouraged to further develop deucrictibant. Pharvaris is currently enrolling a pivotal Phase 3 study for the on-demand treatment of HAE attacks and plans to initiate a pivotal Phase 3 study of deucrictibant for the prevention of HAE attacks in the coming months. For more information, visit https://pharvaris.com/.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767080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8" w:name="page19"/>
    <w:bookmarkEnd w:id="18"/>
    <w:p>
      <w:pPr>
        <w:spacing w:after="0" w:line="251" w:lineRule="auto"/>
        <w:rPr>
          <w:sz w:val="20"/>
          <w:szCs w:val="20"/>
          <w:color w:val="auto"/>
        </w:rPr>
      </w:pPr>
      <w:r>
        <w:rPr>
          <w:rFonts w:ascii="Times New Roman" w:cs="Times New Roman" w:eastAsia="Times New Roman" w:hAnsi="Times New Roman"/>
          <w:sz w:val="17"/>
          <w:szCs w:val="17"/>
          <w:color w:val="auto"/>
        </w:rPr>
        <w:t>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Corporate and Investor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1148080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4" w:right="37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2024-09-05T06:39:20Z</dcterms:created>
  <dcterms:modified xsi:type="dcterms:W3CDTF">2024-09-05T06:39:20Z</dcterms:modified>
</cp:coreProperties>
</file>