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-629920</wp:posOffset>
            </wp:positionV>
            <wp:extent cx="58420" cy="643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255"/>
                    </a:xfrm>
                    <a:prstGeom prst="rect">
                      <a:avLst/>
                    </a:prstGeom>
                    <a:noFill/>
                  </pic:spPr>
                </pic:pic>
              </a:graphicData>
            </a:graphic>
          </wp:anchor>
        </w:drawing>
        <w:drawing>
          <wp:anchor simplePos="0" relativeHeight="251657728" behindDoc="1" locked="0" layoutInCell="0" allowOverlap="1">
            <wp:simplePos x="0" y="0"/>
            <wp:positionH relativeFrom="column">
              <wp:posOffset>3989070</wp:posOffset>
            </wp:positionH>
            <wp:positionV relativeFrom="paragraph">
              <wp:posOffset>-629920</wp:posOffset>
            </wp:positionV>
            <wp:extent cx="58420" cy="643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2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748665</wp:posOffset>
            </wp:positionV>
            <wp:extent cx="7045960" cy="60210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021070"/>
                    </a:xfrm>
                    <a:prstGeom prst="rect">
                      <a:avLst/>
                    </a:prstGeom>
                    <a:noFill/>
                  </pic:spPr>
                </pic:pic>
              </a:graphicData>
            </a:graphic>
          </wp:anchor>
        </w:drawing>
      </w:r>
    </w:p>
    <w:p>
      <w:pPr>
        <w:spacing w:after="0" w:line="1252" w:lineRule="exact"/>
        <w:rPr>
          <w:sz w:val="24"/>
          <w:szCs w:val="24"/>
          <w:color w:val="auto"/>
        </w:rPr>
      </w:pPr>
    </w:p>
    <w:p>
      <w:pPr>
        <w:sectPr>
          <w:pgSz w:w="11900" w:h="16838" w:orient="portrait"/>
          <w:cols w:equalWidth="0" w:num="2">
            <w:col w:w="2300" w:space="260"/>
            <w:col w:w="8520"/>
          </w:cols>
          <w:pgMar w:left="460" w:top="216" w:right="359" w:bottom="42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Nijdam Anna</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CRANBERRY HILL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Pharvaris N.V.</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PHVS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br w:type="column"/>
      </w:r>
    </w:p>
    <w:p>
      <w:pPr>
        <w:ind w:left="6" w:right="620" w:hanging="6"/>
        <w:spacing w:after="0" w:line="260"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6"/>
        <w:spacing w:after="0"/>
        <w:tabs>
          <w:tab w:leader="none" w:pos="208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26"/>
        <w:spacing w:after="0"/>
        <w:tabs>
          <w:tab w:leader="none" w:pos="208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606"/>
        <w:spacing w:after="0"/>
        <w:rPr>
          <w:sz w:val="20"/>
          <w:szCs w:val="20"/>
          <w:color w:val="auto"/>
        </w:rPr>
      </w:pPr>
      <w:r>
        <w:rPr>
          <w:rFonts w:ascii="Times New Roman" w:cs="Times New Roman" w:eastAsia="Times New Roman" w:hAnsi="Times New Roman"/>
          <w:sz w:val="17"/>
          <w:szCs w:val="17"/>
          <w:color w:val="0000FF"/>
        </w:rPr>
        <w:t>Principal Accounting Officer</w:t>
      </w:r>
    </w:p>
    <w:p>
      <w:pPr>
        <w:spacing w:after="0" w:line="316" w:lineRule="exact"/>
        <w:rPr>
          <w:sz w:val="24"/>
          <w:szCs w:val="24"/>
          <w:color w:val="auto"/>
        </w:rPr>
      </w:pPr>
    </w:p>
    <w:p>
      <w:pPr>
        <w:sectPr>
          <w:pgSz w:w="11900" w:h="16838" w:orient="portrait"/>
          <w:cols w:equalWidth="0" w:num="3">
            <w:col w:w="3180" w:space="720"/>
            <w:col w:w="3114" w:space="720"/>
            <w:col w:w="3346"/>
          </w:cols>
          <w:pgMar w:left="460" w:top="216" w:right="359" w:bottom="42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540" w:type="dxa"/>
            <w:vAlign w:val="bottom"/>
            <w:gridSpan w:val="6"/>
            <w:vMerge w:val="restart"/>
          </w:tcPr>
          <w:p>
            <w:pPr>
              <w:jc w:val="right"/>
              <w:ind w:right="35"/>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540" w:type="dxa"/>
            <w:vAlign w:val="bottom"/>
            <w:gridSpan w:val="6"/>
            <w:vMerge w:val="continue"/>
          </w:tcPr>
          <w:p>
            <w:pPr>
              <w:spacing w:after="0"/>
              <w:rPr>
                <w:sz w:val="7"/>
                <w:szCs w:val="7"/>
                <w:color w:val="auto"/>
              </w:rPr>
            </w:pPr>
          </w:p>
        </w:tc>
        <w:tc>
          <w:tcPr>
            <w:tcW w:w="378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gridSpan w:val="2"/>
          </w:tcPr>
          <w:p>
            <w:pPr>
              <w:ind w:left="44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LEXINGTON</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02421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20" w:type="dxa"/>
            <w:vAlign w:val="bottom"/>
            <w:gridSpan w:val="7"/>
          </w:tcPr>
          <w:p>
            <w:pPr>
              <w:ind w:left="10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940" w:type="dxa"/>
            <w:vAlign w:val="bottom"/>
            <w:tcBorders>
              <w:bottom w:val="single" w:sz="8" w:color="2C2C2C"/>
            </w:tcBorders>
            <w:gridSpan w:val="9"/>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2"/>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jc w:val="center"/>
              <w:ind w:left="43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43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1,829</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20</w:t>
            </w:r>
          </w:p>
        </w:tc>
        <w:tc>
          <w:tcPr>
            <w:tcW w:w="2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1"/>
              </w:rPr>
              <w:t>50,774</w:t>
            </w:r>
            <w:r>
              <w:rPr>
                <w:rFonts w:ascii="Times New Roman" w:cs="Times New Roman" w:eastAsia="Times New Roman" w:hAnsi="Times New Roman"/>
                <w:sz w:val="21"/>
                <w:szCs w:val="21"/>
                <w:color w:val="008000"/>
                <w:w w:val="91"/>
                <w:vertAlign w:val="superscript"/>
              </w:rPr>
              <w:t>(1)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43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1,829</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30.6021</w:t>
            </w:r>
            <w:r>
              <w:rPr>
                <w:rFonts w:ascii="Times New Roman" w:cs="Times New Roman" w:eastAsia="Times New Roman" w:hAnsi="Times New Roman"/>
                <w:sz w:val="21"/>
                <w:szCs w:val="21"/>
                <w:color w:val="008000"/>
                <w:w w:val="96"/>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48,945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60" w:type="dxa"/>
            <w:vAlign w:val="bottom"/>
            <w:gridSpan w:val="3"/>
          </w:tcPr>
          <w:p>
            <w:pPr>
              <w:jc w:val="center"/>
              <w:ind w:left="430"/>
              <w:spacing w:after="0"/>
              <w:rPr>
                <w:sz w:val="20"/>
                <w:szCs w:val="20"/>
                <w:color w:val="auto"/>
              </w:rPr>
            </w:pPr>
            <w:r>
              <w:rPr>
                <w:rFonts w:ascii="Times New Roman" w:cs="Times New Roman" w:eastAsia="Times New Roman" w:hAnsi="Times New Roman"/>
                <w:sz w:val="17"/>
                <w:szCs w:val="17"/>
                <w:color w:val="0000FF"/>
              </w:rPr>
              <w:t>05/22/2026</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8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5,501</w:t>
            </w:r>
          </w:p>
        </w:tc>
        <w:tc>
          <w:tcPr>
            <w:tcW w:w="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left="9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20</w:t>
            </w:r>
          </w:p>
        </w:tc>
        <w:tc>
          <w:tcPr>
            <w:tcW w:w="20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54,446</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7"/>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430"/>
              <w:spacing w:after="0"/>
              <w:rPr>
                <w:sz w:val="20"/>
                <w:szCs w:val="20"/>
                <w:color w:val="auto"/>
              </w:rPr>
            </w:pPr>
            <w:r>
              <w:rPr>
                <w:rFonts w:ascii="Times New Roman" w:cs="Times New Roman" w:eastAsia="Times New Roman" w:hAnsi="Times New Roman"/>
                <w:sz w:val="17"/>
                <w:szCs w:val="17"/>
                <w:color w:val="0000FF"/>
              </w:rPr>
              <w:t>05/22/2026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5,501</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30.737</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48,945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20" w:type="dxa"/>
            <w:vAlign w:val="bottom"/>
            <w:gridSpan w:val="9"/>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w:t>
            </w:r>
          </w:p>
        </w:tc>
        <w:tc>
          <w:tcPr>
            <w:tcW w:w="160" w:type="dxa"/>
            <w:vAlign w:val="bottom"/>
          </w:tcPr>
          <w:p>
            <w:pPr>
              <w:spacing w:after="0"/>
              <w:rPr>
                <w:sz w:val="16"/>
                <w:szCs w:val="16"/>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3"/>
                <w:szCs w:val="13"/>
                <w:color w:val="0000FF"/>
              </w:rPr>
              <w:t>05/21/2026</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1,829</w:t>
            </w:r>
          </w:p>
        </w:tc>
        <w:tc>
          <w:tcPr>
            <w:tcW w:w="78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02/05/2031</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color w:val="0000FF"/>
              </w:rPr>
              <w:t>30,000</w:t>
            </w:r>
          </w:p>
        </w:tc>
        <w:tc>
          <w:tcPr>
            <w:tcW w:w="200" w:type="dxa"/>
            <w:vAlign w:val="bottom"/>
          </w:tcPr>
          <w:p>
            <w:pPr>
              <w:spacing w:after="0"/>
              <w:rPr>
                <w:sz w:val="16"/>
                <w:szCs w:val="16"/>
                <w:color w:val="auto"/>
              </w:rPr>
            </w:pPr>
          </w:p>
        </w:tc>
        <w:tc>
          <w:tcPr>
            <w:tcW w:w="540" w:type="dxa"/>
            <w:vAlign w:val="bottom"/>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28,171</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jc w:val="right"/>
              <w:ind w:right="35"/>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w:t>
            </w:r>
          </w:p>
        </w:tc>
        <w:tc>
          <w:tcPr>
            <w:tcW w:w="160" w:type="dxa"/>
            <w:vAlign w:val="bottom"/>
          </w:tcPr>
          <w:p>
            <w:pPr>
              <w:spacing w:after="0"/>
              <w:rPr>
                <w:sz w:val="16"/>
                <w:szCs w:val="16"/>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3"/>
                <w:szCs w:val="13"/>
                <w:color w:val="0000FF"/>
              </w:rPr>
              <w:t>05/22/2026</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5,501</w:t>
            </w:r>
          </w:p>
        </w:tc>
        <w:tc>
          <w:tcPr>
            <w:tcW w:w="78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02/05/2031</w:t>
            </w: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tcPr>
          <w:p>
            <w:pPr>
              <w:ind w:left="120"/>
              <w:spacing w:after="0" w:line="194" w:lineRule="exact"/>
              <w:rPr>
                <w:sz w:val="20"/>
                <w:szCs w:val="20"/>
                <w:color w:val="auto"/>
              </w:rPr>
            </w:pPr>
            <w:r>
              <w:rPr>
                <w:rFonts w:ascii="Times New Roman" w:cs="Times New Roman" w:eastAsia="Times New Roman" w:hAnsi="Times New Roman"/>
                <w:sz w:val="17"/>
                <w:szCs w:val="17"/>
                <w:color w:val="0000FF"/>
              </w:rPr>
              <w:t>30,000</w:t>
            </w:r>
          </w:p>
        </w:tc>
        <w:tc>
          <w:tcPr>
            <w:tcW w:w="200" w:type="dxa"/>
            <w:vAlign w:val="bottom"/>
          </w:tcPr>
          <w:p>
            <w:pPr>
              <w:spacing w:after="0"/>
              <w:rPr>
                <w:sz w:val="16"/>
                <w:szCs w:val="16"/>
                <w:color w:val="auto"/>
              </w:rPr>
            </w:pPr>
          </w:p>
        </w:tc>
        <w:tc>
          <w:tcPr>
            <w:tcW w:w="540" w:type="dxa"/>
            <w:vAlign w:val="bottom"/>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22,670</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jc w:val="right"/>
              <w:ind w:right="35"/>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jc w:val="both"/>
        <w:ind w:left="40" w:right="320" w:firstLine="3"/>
        <w:spacing w:after="0" w:line="293" w:lineRule="auto"/>
        <w:tabs>
          <w:tab w:leader="none" w:pos="17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April 14, 2026, the reporting person reported an RSU vesting transaction in which 5 additional shares were inadvertently reported as withheld for tax obligations, resulting in an understatement of total beneficial ownership. Following correction of the tax withholding share amount, total beneficial ownership as of April 11, 2026 should have been 48,945 shares rather than 48,940 shares reported previously.</w:t>
      </w:r>
    </w:p>
    <w:p>
      <w:pPr>
        <w:ind w:left="40" w:right="32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represents a weighted average sale price for shares sold in multiple transactions on the reported date. The shares were sold in connection with the exercise of stock options in a cashless exercise transaction. The sales prices for the transactions ranged from $30.60 to $30.61. The reporting person undertakes to provide to the issuer, any security holder of the issuer, or the staff of the Securities and Exchange Commission, upon request, full information regarding the number of shares sold at each separate price.</w:t>
      </w:r>
    </w:p>
    <w:p>
      <w:pPr>
        <w:spacing w:after="0" w:line="25" w:lineRule="exact"/>
        <w:rPr>
          <w:rFonts w:ascii="Times New Roman" w:cs="Times New Roman" w:eastAsia="Times New Roman" w:hAnsi="Times New Roman"/>
          <w:sz w:val="13"/>
          <w:szCs w:val="13"/>
          <w:color w:val="008000"/>
        </w:rPr>
      </w:pPr>
    </w:p>
    <w:p>
      <w:pPr>
        <w:ind w:left="40" w:right="32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represents a weighted average sale price for shares sold in multiple transactions on the reported date. The shares were sold in connection with the exercise of stock options in a cashless exercise transaction. The sales prices for the transactions ranged from $30.60 to $31.00. The reporting person undertakes to provide to the issuer, any security holder of the issuer, or the staff of the Securities and Exchange Commission, upon request, full information regarding the number of shares sold at each separate price.</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option vested on February 5, 2022 with the remaining shares vesting in 1/48 monthly installments thereafter.</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Marnus Nel,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05/26/2026</w:t>
            </w:r>
          </w:p>
        </w:tc>
        <w:tc>
          <w:tcPr>
            <w:tcW w:w="0" w:type="dxa"/>
            <w:vAlign w:val="bottom"/>
          </w:tcPr>
          <w:p>
            <w:pPr>
              <w:spacing w:after="0"/>
              <w:rPr>
                <w:sz w:val="1"/>
                <w:szCs w:val="1"/>
                <w:color w:val="auto"/>
              </w:rPr>
            </w:pPr>
          </w:p>
        </w:tc>
      </w:tr>
      <w:tr>
        <w:trPr>
          <w:trHeight w:val="89"/>
        </w:trPr>
        <w:tc>
          <w:tcPr>
            <w:tcW w:w="148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Fact for Anna Nijdam</w:t>
            </w:r>
          </w:p>
        </w:tc>
        <w:tc>
          <w:tcPr>
            <w:tcW w:w="440" w:type="dxa"/>
            <w:vAlign w:val="bottom"/>
            <w:tcBorders>
              <w:top w:val="single" w:sz="8" w:color="auto"/>
              <w:bottom w:val="single" w:sz="8" w:color="auto"/>
            </w:tcBorders>
            <w:vMerge w:val="restart"/>
          </w:tcPr>
          <w:p>
            <w:pPr>
              <w:spacing w:after="0"/>
              <w:rPr>
                <w:sz w:val="7"/>
                <w:szCs w:val="7"/>
                <w:color w:val="auto"/>
              </w:rPr>
            </w:pPr>
          </w:p>
        </w:tc>
        <w:tc>
          <w:tcPr>
            <w:tcW w:w="2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480" w:type="dxa"/>
            <w:vAlign w:val="bottom"/>
            <w:tcBorders>
              <w:bottom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42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73872" TargetMode="External"/><Relationship Id="rId14" Type="http://schemas.openxmlformats.org/officeDocument/2006/relationships/hyperlink" Target="http://www.sec.gov/cgi-bin/browse-edgar?action=getcompany&amp;CIK=00018304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2026-05-26T17:06:30Z</dcterms:created>
  <dcterms:modified xsi:type="dcterms:W3CDTF">2026-05-26T17:06:30Z</dcterms:modified>
</cp:coreProperties>
</file>