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r_fin_results_2023.htm"/>
      <w:bookmarkStart w:id="1" w:name="kspr_fin_results_2023"/>
      <w:bookmarkEnd w:id="0"/>
      <w:bookmarkEnd w:id="1"/>
      <w:r>
        <w:rPr/>
        <w:t> </w:t>
      </w:r>
    </w:p>
    <w:p>
      <w:pPr>
        <w:pStyle w:val="TextBody"/>
        <w:pBdr>
          <w:top w:val="single" w:sz="2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left"/>
        <w:rPr/>
      </w:pPr>
      <w:r>
        <w:rPr/>
        <w:t> </w:t>
      </w:r>
    </w:p>
    <w:p>
      <w:pPr>
        <w:pStyle w:val="TextBody"/>
        <w:pBdr>
          <w:top w:val="sing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pBdr>
          <w:bottom w:val="single" w:sz="4" w:space="1" w:color="000000"/>
        </w:pBdr>
        <w:bidi w:val="0"/>
        <w:spacing w:before="0" w:after="20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REPORT OF FOREIGN PRIVATE ISSUER</w:t>
        <w:br/>
        <w:t>PURSUANT TO RULE 13A-16 OR 15D-16 UNDER</w:t>
        <w:br/>
        <w:t>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For the month of April 2024</w:t>
        <w:br/>
        <w:br/>
        <w:t>Commission File Number: 001-40010</w:t>
      </w:r>
    </w:p>
    <w:p>
      <w:pPr>
        <w:pStyle w:val="TextBody"/>
        <w:bidi w:val="0"/>
        <w:jc w:val="left"/>
        <w:rPr/>
      </w:pPr>
      <w:r>
        <w:rPr/>
        <w:t> </w:t>
      </w:r>
    </w:p>
    <w:p>
      <w:pPr>
        <w:pStyle w:val="TextBody"/>
        <w:pBdr>
          <w:top w:val="single" w:sz="4"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Pharvaris N.V.</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pBdr>
          <w:bottom w:val="single" w:sz="4" w:space="1" w:color="000000"/>
        </w:pBdr>
        <w:bidi w:val="0"/>
        <w:spacing w:before="0" w:after="200"/>
        <w:jc w:val="center"/>
        <w:rPr/>
      </w:pPr>
      <w:r>
        <w:rPr/>
        <w:t> </w:t>
      </w:r>
    </w:p>
    <w:p>
      <w:pPr>
        <w:pStyle w:val="TextBody"/>
        <w:bidi w:val="0"/>
        <w:jc w:val="center"/>
        <w:rPr>
          <w:rFonts w:ascii="Arial" w:hAnsi="Arial"/>
          <w:b/>
          <w:color w:val="000000"/>
          <w:sz w:val="16"/>
        </w:rPr>
      </w:pPr>
      <w:r>
        <w:rPr>
          <w:rFonts w:ascii="Arial" w:hAnsi="Arial"/>
          <w:b/>
          <w:color w:val="000000"/>
          <w:sz w:val="16"/>
        </w:rPr>
        <w:t>Emmy Noetherweg 2</w:t>
      </w:r>
    </w:p>
    <w:p>
      <w:pPr>
        <w:pStyle w:val="TextBody"/>
        <w:bidi w:val="0"/>
        <w:jc w:val="left"/>
        <w:rPr/>
      </w:pPr>
      <w:r>
        <w:rPr/>
        <w:t> </w:t>
      </w:r>
    </w:p>
    <w:p>
      <w:pPr>
        <w:pStyle w:val="TextBody"/>
        <w:bidi w:val="0"/>
        <w:jc w:val="center"/>
        <w:rPr>
          <w:rFonts w:ascii="Arial" w:hAnsi="Arial"/>
          <w:b/>
          <w:color w:val="000000"/>
          <w:sz w:val="16"/>
        </w:rPr>
      </w:pPr>
      <w:r>
        <w:rPr>
          <w:rFonts w:ascii="Arial" w:hAnsi="Arial"/>
          <w:b/>
          <w:color w:val="000000"/>
          <w:sz w:val="16"/>
        </w:rPr>
        <w:t>2333 BK Leiden</w:t>
      </w:r>
    </w:p>
    <w:p>
      <w:pPr>
        <w:pStyle w:val="TextBody"/>
        <w:bidi w:val="0"/>
        <w:jc w:val="center"/>
        <w:rPr>
          <w:rFonts w:ascii="Times New Roman" w:hAnsi="Times New Roman"/>
          <w:sz w:val="20"/>
        </w:rPr>
      </w:pPr>
      <w:r>
        <w:rPr>
          <w:rFonts w:ascii="Arial" w:hAnsi="Arial"/>
          <w:b/>
          <w:color w:val="000000"/>
          <w:sz w:val="16"/>
        </w:rPr>
        <w:t>The Netherlands</w:t>
      </w:r>
      <w:r>
        <w:rPr>
          <w:rFonts w:ascii="Times New Roman" w:hAnsi="Times New Roman"/>
          <w:b/>
          <w:color w:val="000000"/>
          <w:sz w:val="20"/>
        </w:rPr>
        <w:br/>
      </w:r>
      <w:r>
        <w:rPr>
          <w:rFonts w:ascii="Times New Roman" w:hAnsi="Times New Roman"/>
          <w:color w:val="000000"/>
          <w:sz w:val="20"/>
        </w:rPr>
        <w:t>(Address of principal executive office)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jc w:val="left"/>
        <w:rPr>
          <w:rFonts w:ascii="Times New Roman" w:hAnsi="Times New Roman"/>
          <w:sz w:val="20"/>
        </w:rPr>
      </w:pPr>
      <w:r>
        <w:rPr>
          <w:rFonts w:ascii="Times New Roman" w:hAnsi="Times New Roman"/>
          <w:color w:val="000000"/>
          <w:sz w:val="20"/>
        </w:rPr>
        <w:t xml:space="preserve">Form 20-F </w:t>
      </w:r>
      <w:r>
        <w:rPr>
          <w:rFonts w:ascii="Times New Roman" w:hAnsi="Times New Roman"/>
          <w:sz w:val="20"/>
        </w:rPr>
        <w:t>☒</w:t>
      </w:r>
      <w:r>
        <w:rPr>
          <w:rFonts w:ascii="Times New Roman" w:hAnsi="Times New Roman"/>
          <w:color w:val="000000"/>
          <w:sz w:val="20"/>
        </w:rPr>
        <w:t xml:space="preserve"> Form 40-F </w:t>
      </w:r>
      <w:r>
        <w:rPr>
          <w:rFonts w:ascii="Times New Roman" w:hAnsi="Times New Roman"/>
          <w:sz w:val="20"/>
        </w:rPr>
        <w:t>☐</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101(b)(1): </w:t>
      </w:r>
      <w:r>
        <w:rPr>
          <w:rFonts w:ascii="Times New Roman" w:hAnsi="Times New Roman"/>
          <w:sz w:val="20"/>
        </w:rPr>
        <w:t>☐</w:t>
      </w:r>
    </w:p>
    <w:p>
      <w:pPr>
        <w:pStyle w:val="TextBody"/>
        <w:bidi w:val="0"/>
        <w:jc w:val="left"/>
        <w:rPr>
          <w:rFonts w:ascii="Times New Roman" w:hAnsi="Times New Roman"/>
          <w:color w:val="000000"/>
          <w:sz w:val="20"/>
        </w:rPr>
      </w:pPr>
      <w:r>
        <w:rPr>
          <w:rFonts w:ascii="Times New Roman" w:hAnsi="Times New Roman"/>
          <w:color w:val="000000"/>
          <w:sz w:val="20"/>
        </w:rPr>
        <w:t>Note: Regulation S-T Rule 101(b)(1) only permits the submission in paper of a Form 6-K if submitted solely to provide an attached annual report to security holders.</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101(b)(7):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pStyle w:val="TextBody"/>
        <w:pBdr>
          <w:bottom w:val="single" w:sz="2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PHARVARIS N.V.</w:t>
      </w:r>
    </w:p>
    <w:p>
      <w:pPr>
        <w:pStyle w:val="TextBody"/>
        <w:bidi w:val="0"/>
        <w:spacing w:before="240" w:after="283"/>
        <w:jc w:val="both"/>
        <w:rPr>
          <w:rFonts w:ascii="Arial" w:hAnsi="Arial"/>
          <w:color w:val="000000"/>
          <w:sz w:val="20"/>
        </w:rPr>
      </w:pPr>
      <w:r>
        <w:rPr>
          <w:rFonts w:ascii="Arial" w:hAnsi="Arial"/>
          <w:color w:val="000000"/>
          <w:sz w:val="20"/>
        </w:rPr>
        <w:t>On April 10, 2024, Pharvaris N.V. (the “Company”) reported its financial results for the fourth quarter and fiscal year ended December 31, 2023. A copy of the press release is attached hereto as Exhibit 99.1 and is incorporated by reference herein.</w:t>
      </w:r>
    </w:p>
    <w:p>
      <w:pPr>
        <w:pStyle w:val="TextBody"/>
        <w:bidi w:val="0"/>
        <w:spacing w:before="240" w:after="283"/>
        <w:jc w:val="both"/>
        <w:rPr>
          <w:rFonts w:ascii="Arial" w:hAnsi="Arial"/>
          <w:color w:val="000000"/>
          <w:sz w:val="20"/>
        </w:rPr>
      </w:pPr>
      <w:r>
        <w:rPr>
          <w:rFonts w:ascii="Arial" w:hAnsi="Arial"/>
          <w:color w:val="000000"/>
          <w:sz w:val="20"/>
        </w:rPr>
        <w:t>On April 10, 2024, the Company issued a press release announcing the appointment of David Nassif as Chief Financial Officer, effective April 15, 2024. A copy of the press release is attached hereto as Exhibit 99.2 and is incorporated by reference herein.</w:t>
      </w:r>
    </w:p>
    <w:p>
      <w:pPr>
        <w:pStyle w:val="TextBody"/>
        <w:bidi w:val="0"/>
        <w:spacing w:before="240" w:after="283"/>
        <w:jc w:val="both"/>
        <w:rPr/>
      </w:pPr>
      <w:r>
        <w:rPr/>
        <w:t> </w:t>
      </w:r>
    </w:p>
    <w:p>
      <w:pPr>
        <w:pStyle w:val="TextBody"/>
        <w:bidi w:val="0"/>
        <w:spacing w:before="0" w:after="24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5908" w:type="dxa"/>
        <w:jc w:val="left"/>
        <w:tblInd w:w="0" w:type="dxa"/>
        <w:tblLayout w:type="fixed"/>
        <w:tblCellMar>
          <w:top w:w="28" w:type="dxa"/>
          <w:left w:w="28" w:type="dxa"/>
          <w:bottom w:w="28" w:type="dxa"/>
          <w:right w:w="28" w:type="dxa"/>
        </w:tblCellMar>
      </w:tblPr>
      <w:tblGrid>
        <w:gridCol w:w="751"/>
        <w:gridCol w:w="146"/>
        <w:gridCol w:w="5011"/>
      </w:tblGrid>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11"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bottom w:val="single" w:sz="12"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w:t>
            </w:r>
          </w:p>
        </w:tc>
        <w:tc>
          <w:tcPr>
            <w:tcW w:w="146" w:type="dxa"/>
            <w:tcBorders>
              <w:bottom w:val="single" w:sz="12" w:space="0" w:color="000000"/>
            </w:tcBorders>
            <w:tcMar>
              <w:top w:w="0" w:type="dxa"/>
              <w:left w:w="0" w:type="dxa"/>
              <w:bottom w:w="30" w:type="dxa"/>
              <w:right w:w="0" w:type="dxa"/>
            </w:tcMar>
            <w:vAlign w:val="center"/>
          </w:tcPr>
          <w:p>
            <w:pPr>
              <w:pStyle w:val="TableContents"/>
              <w:bidi w:val="0"/>
              <w:spacing w:before="0" w:after="283"/>
              <w:jc w:val="left"/>
              <w:rPr/>
            </w:pPr>
            <w:r>
              <w:rPr/>
              <w:t> </w:t>
            </w:r>
          </w:p>
        </w:tc>
        <w:tc>
          <w:tcPr>
            <w:tcW w:w="501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99.1</w:t>
            </w:r>
          </w:p>
        </w:tc>
        <w:tc>
          <w:tcPr>
            <w:tcW w:w="146" w:type="dxa"/>
            <w:tcBorders/>
            <w:vAlign w:val="center"/>
          </w:tcPr>
          <w:p>
            <w:pPr>
              <w:pStyle w:val="TableContents"/>
              <w:bidi w:val="0"/>
              <w:spacing w:before="0" w:after="283"/>
              <w:jc w:val="left"/>
              <w:rPr/>
            </w:pPr>
            <w:r>
              <w:rPr/>
              <w:t> </w:t>
            </w:r>
          </w:p>
        </w:tc>
        <w:tc>
          <w:tcPr>
            <w:tcW w:w="5011" w:type="dxa"/>
            <w:tcBorders/>
            <w:vAlign w:val="center"/>
          </w:tcPr>
          <w:p>
            <w:pPr>
              <w:pStyle w:val="TableContents"/>
              <w:bidi w:val="0"/>
              <w:spacing w:before="0" w:after="283"/>
              <w:jc w:val="left"/>
              <w:rPr/>
            </w:pPr>
            <w:hyperlink w:anchor="phvs-ex99_1.htm">
              <w:r>
                <w:rPr>
                  <w:rStyle w:val="InternetLink"/>
                  <w:rFonts w:ascii="Arial" w:hAnsi="Arial"/>
                  <w:color w:val="0000FF"/>
                  <w:sz w:val="20"/>
                  <w:u w:val="single"/>
                </w:rPr>
                <w:t>Press Release, dated April 10, 2024.</w:t>
              </w:r>
            </w:hyperlink>
          </w:p>
        </w:tc>
      </w:tr>
      <w:tr>
        <w:trPr/>
        <w:tc>
          <w:tcPr>
            <w:tcW w:w="75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99.2</w:t>
            </w:r>
          </w:p>
        </w:tc>
        <w:tc>
          <w:tcPr>
            <w:tcW w:w="146" w:type="dxa"/>
            <w:tcBorders/>
            <w:vAlign w:val="center"/>
          </w:tcPr>
          <w:p>
            <w:pPr>
              <w:pStyle w:val="TableContents"/>
              <w:bidi w:val="0"/>
              <w:spacing w:before="0" w:after="283"/>
              <w:jc w:val="left"/>
              <w:rPr/>
            </w:pPr>
            <w:r>
              <w:rPr/>
              <w:t> </w:t>
            </w:r>
          </w:p>
        </w:tc>
        <w:tc>
          <w:tcPr>
            <w:tcW w:w="5011" w:type="dxa"/>
            <w:tcBorders/>
            <w:vAlign w:val="center"/>
          </w:tcPr>
          <w:p>
            <w:pPr>
              <w:pStyle w:val="TableContents"/>
              <w:bidi w:val="0"/>
              <w:spacing w:before="0" w:after="283"/>
              <w:jc w:val="left"/>
              <w:rPr/>
            </w:pPr>
            <w:hyperlink w:anchor="phvs-ex99_2.htm">
              <w:r>
                <w:rPr>
                  <w:rStyle w:val="InternetLink"/>
                  <w:rFonts w:ascii="Arial" w:hAnsi="Arial"/>
                  <w:color w:val="0000FF"/>
                  <w:sz w:val="20"/>
                  <w:u w:val="single"/>
                </w:rPr>
                <w:t>Press release, dated April 10, 2024 (CFO Appointment).</w:t>
              </w:r>
            </w:hyperlink>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4488" w:type="dxa"/>
        <w:jc w:val="left"/>
        <w:tblInd w:w="0" w:type="dxa"/>
        <w:tblLayout w:type="fixed"/>
        <w:tblCellMar>
          <w:top w:w="28" w:type="dxa"/>
          <w:left w:w="28" w:type="dxa"/>
          <w:bottom w:w="28" w:type="dxa"/>
          <w:right w:w="28" w:type="dxa"/>
        </w:tblCellMar>
      </w:tblPr>
      <w:tblGrid>
        <w:gridCol w:w="1786"/>
        <w:gridCol w:w="631"/>
        <w:gridCol w:w="2071"/>
      </w:tblGrid>
      <w:tr>
        <w:trPr/>
        <w:tc>
          <w:tcPr>
            <w:tcW w:w="178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pPr>
            <w:r>
              <w:rPr/>
              <w:t> </w:t>
            </w:r>
          </w:p>
        </w:tc>
        <w:tc>
          <w:tcPr>
            <w:tcW w:w="2702"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PHARVARIS N.V.</w:t>
            </w:r>
          </w:p>
        </w:tc>
      </w:tr>
      <w:tr>
        <w:trPr/>
        <w:tc>
          <w:tcPr>
            <w:tcW w:w="1786" w:type="dxa"/>
            <w:tcBorders/>
            <w:vAlign w:val="center"/>
          </w:tcPr>
          <w:p>
            <w:pPr>
              <w:pStyle w:val="TableContents"/>
              <w:bidi w:val="0"/>
              <w:spacing w:before="0" w:after="283"/>
              <w:jc w:val="left"/>
              <w:rPr/>
            </w:pPr>
            <w:r>
              <w:rPr/>
              <w:t> </w:t>
            </w:r>
          </w:p>
        </w:tc>
        <w:tc>
          <w:tcPr>
            <w:tcW w:w="2702" w:type="dxa"/>
            <w:gridSpan w:val="2"/>
            <w:tcBorders/>
            <w:vAlign w:val="center"/>
          </w:tcPr>
          <w:p>
            <w:pPr>
              <w:pStyle w:val="TableContents"/>
              <w:bidi w:val="0"/>
              <w:spacing w:before="0" w:after="283"/>
              <w:jc w:val="left"/>
              <w:rPr/>
            </w:pPr>
            <w:r>
              <w:rPr/>
              <w:t> </w:t>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10, 2024</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Berndt Modig</w:t>
            </w:r>
          </w:p>
        </w:tc>
      </w:tr>
      <w:tr>
        <w:trPr/>
        <w:tc>
          <w:tcPr>
            <w:tcW w:w="178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Berndt Modig</w:t>
            </w:r>
          </w:p>
        </w:tc>
      </w:tr>
      <w:tr>
        <w:trPr/>
        <w:tc>
          <w:tcPr>
            <w:tcW w:w="178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phvs-ex99_1.htm"/>
      <w:bookmarkStart w:id="3" w:name="ksphvsex99_1"/>
      <w:bookmarkEnd w:id="2"/>
      <w:bookmarkEnd w:id="3"/>
      <w:r>
        <w:rPr/>
        <w:drawing>
          <wp:inline distT="0" distB="0" distL="0" distR="0">
            <wp:extent cx="251460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14600" cy="371475"/>
                    </a:xfrm>
                    <a:prstGeom prst="rect">
                      <a:avLst/>
                    </a:prstGeom>
                  </pic:spPr>
                </pic:pic>
              </a:graphicData>
            </a:graphic>
          </wp:inline>
        </w:drawing>
      </w:r>
      <w:r>
        <w:br w:type="page"/>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Exhibit 99.1</w:t>
      </w:r>
    </w:p>
    <w:p>
      <w:pPr>
        <w:pStyle w:val="TextBody"/>
        <w:bidi w:val="0"/>
        <w:jc w:val="center"/>
        <w:rPr>
          <w:rFonts w:ascii="Times New Roman" w:hAnsi="Times New Roman"/>
          <w:b/>
          <w:color w:val="000000"/>
          <w:sz w:val="28"/>
        </w:rPr>
      </w:pPr>
      <w:r>
        <w:rPr>
          <w:rFonts w:ascii="Times New Roman" w:hAnsi="Times New Roman"/>
          <w:b/>
          <w:color w:val="000000"/>
          <w:sz w:val="28"/>
        </w:rPr>
        <w:t>Pharvaris Reports Fourth Quarter and Full Year 2023 Financial Results and Provides Business Update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RAPIDe-3, a global pivotal Phase 3 study of deucrictibant for the on-demand treatment of HAE attacks, is currently enrolling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End-of-Phase 2 meeting scheduled to discuss development plan of deucrictibant for the prophylaxis of HAE attacks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Strengthened executive committee with hiring of David Nassif, J.D., Chief Financial Officer, and Stefan Abele, Ph.D., as Chief Technical Operations Officer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UK Innovation Passport awarded to deucrictibant for both the on-demand and prophylactic treatment of HAE attacks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 xml:space="preserve">Ended 2023 with cash and cash equivalents of approximately €391 million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Zug, Switzerland, April 10, 2024</w:t>
      </w:r>
      <w:r>
        <w:rPr>
          <w:rFonts w:ascii="Times New Roman" w:hAnsi="Times New Roman"/>
          <w:color w:val="000000"/>
          <w:sz w:val="20"/>
        </w:rPr>
        <w:t xml:space="preserve"> – </w:t>
      </w:r>
      <w:r>
        <w:rPr>
          <w:rFonts w:ascii="Times New Roman" w:hAnsi="Times New Roman"/>
          <w:sz w:val="22"/>
        </w:rPr>
        <w:t>Pharvaris</w:t>
      </w:r>
      <w:r>
        <w:rPr>
          <w:rFonts w:ascii="Times New Roman" w:hAnsi="Times New Roman"/>
          <w:color w:val="000000"/>
          <w:sz w:val="20"/>
        </w:rPr>
        <w:t xml:space="preserve"> </w:t>
      </w:r>
      <w:r>
        <w:rPr>
          <w:rFonts w:ascii="Times New Roman" w:hAnsi="Times New Roman"/>
          <w:color w:val="000000"/>
          <w:sz w:val="22"/>
        </w:rPr>
        <w:t>(Nasdaq: PHVS), a late-stage biopharmaceutical company developing novel, oral bradykinin-B2-receptor antagonists to treat and prevent hereditary angioedema (HAE) attacks, today reported financial results for the fourth quarter and year ended December 31, 2023 and provided a business update.</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2024 is off to a strong start, supported by the incredible momentum we built in an impressive 2023—driven by a second positive data readout of deucrictibant that was validated by the support of our investors,” said Berndt Modig, Chief Executive Officer of Pharvaris. “At the start of the year, the lift of the remaining hold on the prophylaxis program in the U.S. allowed us to progress with the global Phase 3 clinical development plans for deucrictibant for prevention of HAE attacks. As we move toward the initiation of CHAPTER-3, we hope to realize the promise of the proof-of-concept CHAPTER-1 data, which support deucrictibant’s potential to be a best-in-class oral prophylactic therapy. We are pleased with the HAE community’s excitement in RAPIDe-3, which is enrolling as planned; we will provide the anticipated timing of topline data as enrollment progresses and data is accumulated. Receipt of the Innovation Passport designation for deucrictibant in the UK reflects regulatory recognition of deucrictibant’s innovation for better treatment options for people living with HAE.”</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Recent Business Updates and Highlights</w:t>
      </w:r>
    </w:p>
    <w:p>
      <w:pPr>
        <w:pStyle w:val="TextBody"/>
        <w:bidi w:val="0"/>
        <w:jc w:val="left"/>
        <w:rPr>
          <w:rFonts w:ascii="Times New Roman" w:hAnsi="Times New Roman"/>
          <w:i/>
          <w:color w:val="000000"/>
          <w:sz w:val="22"/>
        </w:rPr>
      </w:pPr>
      <w:r>
        <w:rPr>
          <w:rFonts w:ascii="Times New Roman" w:hAnsi="Times New Roman"/>
          <w:i/>
          <w:color w:val="000000"/>
          <w:sz w:val="22"/>
        </w:rPr>
        <w:t>Development Pipeline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Enrollment initiated in RAPIDe-3 (</w:t>
      </w:r>
      <w:r>
        <w:rPr>
          <w:rFonts w:ascii="Times New Roman" w:hAnsi="Times New Roman"/>
          <w:b/>
          <w:sz w:val="22"/>
        </w:rPr>
        <w:t>NCT06343779</w:t>
      </w:r>
      <w:r>
        <w:rPr>
          <w:rFonts w:ascii="Times New Roman" w:hAnsi="Times New Roman"/>
          <w:b/>
          <w:color w:val="000000"/>
          <w:sz w:val="22"/>
        </w:rPr>
        <w:t xml:space="preserve">) a global Phase 3 clinical study. </w:t>
      </w:r>
      <w:r>
        <w:rPr>
          <w:rFonts w:ascii="Times New Roman" w:hAnsi="Times New Roman"/>
          <w:color w:val="000000"/>
          <w:sz w:val="22"/>
        </w:rPr>
        <w:t>Pharvaris is currently enrolling in RAPIDe-3, a global pivotal Phase 3 study of deucrictibant immediate-release capsule (PHVS416) for the on-demand treatment of HAE attacks. The primary efficacy endpoint is time to onset of symptom relief, as measured by Patient Global Impression of Change (PGI-C) of at least “a little better” for two consecutive timepoints within 12 hours post-treatment. Other efficacy endpoints include time to End of Progression (EoP) in attack symptoms within 12 hours as measured by PGI-C, substantial symptom relief, and proportion of attacks achieving symptom resolution with one dose of deucrictibant as measured by Patient Global Impression of Severity (PGI-S) and by Angioedema Symptom Rating Scale (AMRA).</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 xml:space="preserve">End-of-Phase 2 meeting scheduled to align on prophylactic Phase 3 clinical development plan. </w:t>
      </w:r>
      <w:r>
        <w:rPr>
          <w:rFonts w:ascii="Times New Roman" w:hAnsi="Times New Roman"/>
          <w:color w:val="000000"/>
          <w:sz w:val="22"/>
        </w:rPr>
        <w:t xml:space="preserve">Pharvaris continues preparatory activities for CHAPTER-3, a global Phase 3 study of deucrictibant extended-release tablets (PHVS719) for the prophylactic treatment of HAE attacks. An End-of-Phase 2 meeting has been scheduled with the U.S. Food and Drug Administration (FDA), during which Pharvaris will seek feedback and alignment on the key elements of the proposed clinical development plan.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Deucrictibant awarded UK Innovation Passport.</w:t>
      </w:r>
      <w:r>
        <w:rPr>
          <w:color w:val="000000"/>
        </w:rPr>
        <w:t xml:space="preserve"> </w:t>
      </w:r>
      <w:r>
        <w:rPr>
          <w:rFonts w:ascii="Times New Roman" w:hAnsi="Times New Roman"/>
          <w:color w:val="000000"/>
          <w:sz w:val="22"/>
        </w:rPr>
        <w:t>The UK Innovative Licensing and Access Pathway (ILAP) Steering Group, which consists of the All Wales Therapeutics and Toxicology Centre (AWTTC), the Medicines and Healthcare products Regulatory Agency (MHRA), the National Institute for Health and Care Excellence (NICE), and the Scottish Medicines Consortium (SMC), has awarded an Innovation Passport to deucrictibant for the on-demand and prophylactic treatment of HAE attacks in people 12 years and older. The Innovation Passport is the entry point for the ILAP, which has a goal of accelerating the time to access to medicines in the UK, and receipt of the award activates the MHRA, NICE, SMC, and other agencies to develop a roadmap for regulatory and development milestones.</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 xml:space="preserve">Clinical hold lifted. </w:t>
      </w:r>
      <w:r>
        <w:rPr>
          <w:rFonts w:ascii="Times New Roman" w:hAnsi="Times New Roman"/>
          <w:color w:val="000000"/>
          <w:sz w:val="22"/>
        </w:rPr>
        <w:t xml:space="preserve">Following review of data from a 26-week rodent toxicology study, the FDA lifted the clinical hold on the Investigational New Drug (IND) application for deucrictibant for the prophylaxis of HAE attacks.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2"/>
        </w:rPr>
        <w:t xml:space="preserve">Deucrictibant data presented at recent industry meetings. </w:t>
      </w:r>
      <w:r>
        <w:rPr>
          <w:rFonts w:ascii="Times New Roman" w:hAnsi="Times New Roman"/>
          <w:color w:val="000000"/>
          <w:sz w:val="22"/>
        </w:rPr>
        <w:t xml:space="preserve">Data supporting the ongoing development of deucrictibant for both the on-demand and prophylactic treatment of HAE attacks were presented at the </w:t>
      </w:r>
      <w:r>
        <w:rPr>
          <w:rFonts w:ascii="Times New Roman" w:hAnsi="Times New Roman"/>
          <w:sz w:val="22"/>
        </w:rPr>
        <w:t>GA²LEN UCARE Conference 2023</w:t>
      </w:r>
      <w:r>
        <w:rPr>
          <w:rFonts w:ascii="Times New Roman" w:hAnsi="Times New Roman"/>
          <w:color w:val="000000"/>
          <w:sz w:val="22"/>
        </w:rPr>
        <w:t xml:space="preserve">, the </w:t>
      </w:r>
      <w:r>
        <w:rPr>
          <w:rFonts w:ascii="Times New Roman" w:hAnsi="Times New Roman"/>
          <w:sz w:val="22"/>
        </w:rPr>
        <w:t>American College of Allergy, Asthma &amp; Immunology (ACAAI) 2023 Annual Scientific Meeting</w:t>
      </w:r>
      <w:r>
        <w:rPr>
          <w:rFonts w:ascii="Times New Roman" w:hAnsi="Times New Roman"/>
          <w:color w:val="000000"/>
          <w:sz w:val="22"/>
        </w:rPr>
        <w:t xml:space="preserve">, </w:t>
      </w:r>
      <w:r>
        <w:rPr>
          <w:rFonts w:ascii="Times New Roman" w:hAnsi="Times New Roman"/>
          <w:sz w:val="22"/>
        </w:rPr>
        <w:t>Western Society of Allergy, Asthma &amp; Immunology (WSAAI) Annual Meeting 2024</w:t>
      </w:r>
      <w:r>
        <w:rPr>
          <w:rFonts w:ascii="Times New Roman" w:hAnsi="Times New Roman"/>
          <w:color w:val="000000"/>
          <w:sz w:val="22"/>
        </w:rPr>
        <w:t xml:space="preserve">, the </w:t>
      </w:r>
      <w:r>
        <w:rPr>
          <w:rFonts w:ascii="Times New Roman" w:hAnsi="Times New Roman"/>
          <w:sz w:val="22"/>
        </w:rPr>
        <w:t>American Academy of Allergy, Asthma &amp; Immunology (AAAAI) 2024 Annual Meeting</w:t>
      </w:r>
      <w:r>
        <w:rPr>
          <w:rFonts w:ascii="Times New Roman" w:hAnsi="Times New Roman"/>
          <w:color w:val="000000"/>
          <w:sz w:val="22"/>
        </w:rPr>
        <w:t xml:space="preserve">, the </w:t>
      </w:r>
      <w:r>
        <w:rPr>
          <w:rFonts w:ascii="Times New Roman" w:hAnsi="Times New Roman"/>
          <w:sz w:val="22"/>
        </w:rPr>
        <w:t>3rd National Congress of the Italian Network for Hereditary and Acquired Angioedema (ITACA)</w:t>
      </w:r>
      <w:r>
        <w:rPr>
          <w:rFonts w:ascii="Times New Roman" w:hAnsi="Times New Roman"/>
          <w:color w:val="000000"/>
          <w:sz w:val="22"/>
        </w:rPr>
        <w:t xml:space="preserve">, and the </w:t>
      </w:r>
      <w:r>
        <w:rPr>
          <w:rFonts w:ascii="Times New Roman" w:hAnsi="Times New Roman"/>
          <w:sz w:val="22"/>
        </w:rPr>
        <w:t>2024 HAE International (HAEi) Regional Conference Americas</w:t>
      </w:r>
      <w:r>
        <w:rPr>
          <w:rFonts w:ascii="Times New Roman" w:hAnsi="Times New Roman"/>
          <w:color w:val="000000"/>
          <w:sz w:val="22"/>
        </w:rPr>
        <w:t xml:space="preserve">. Highlights of presentations include top-line data from the </w:t>
      </w:r>
      <w:r>
        <w:rPr>
          <w:rFonts w:ascii="Times New Roman" w:hAnsi="Times New Roman"/>
          <w:sz w:val="22"/>
        </w:rPr>
        <w:t>CHAPTER-1 study</w:t>
      </w:r>
      <w:r>
        <w:rPr>
          <w:rFonts w:ascii="Times New Roman" w:hAnsi="Times New Roman"/>
          <w:color w:val="000000"/>
          <w:sz w:val="22"/>
        </w:rPr>
        <w:t xml:space="preserve">, the design of the </w:t>
      </w:r>
      <w:r>
        <w:rPr>
          <w:rFonts w:ascii="Times New Roman" w:hAnsi="Times New Roman"/>
          <w:sz w:val="22"/>
        </w:rPr>
        <w:t>RAPIDe-3 study</w:t>
      </w:r>
      <w:r>
        <w:rPr>
          <w:rFonts w:ascii="Times New Roman" w:hAnsi="Times New Roman"/>
          <w:color w:val="000000"/>
          <w:sz w:val="22"/>
        </w:rPr>
        <w:t xml:space="preserve">, </w:t>
      </w:r>
    </w:p>
    <w:p>
      <w:pPr>
        <w:pStyle w:val="HorizontalLine"/>
        <w:pBdr>
          <w:bottom w:val="double" w:sz="2" w:space="0" w:color="808080"/>
        </w:pBdr>
        <w:bidi w:val="0"/>
        <w:spacing w:before="0" w:after="283"/>
        <w:jc w:val="left"/>
        <w:rPr/>
      </w:pPr>
      <w:r>
        <w:rPr/>
      </w:r>
    </w:p>
    <w:p>
      <w:pPr>
        <w:pStyle w:val="TextBody"/>
        <w:bidi w:val="0"/>
        <w:jc w:val="left"/>
        <w:rPr/>
      </w:pPr>
      <w:r>
        <w:rPr>
          <w:rFonts w:ascii="Times New Roman" w:hAnsi="Times New Roman"/>
          <w:color w:val="000000"/>
          <w:sz w:val="22"/>
        </w:rPr>
        <w:t xml:space="preserve">deucrictibant’s ability to </w:t>
      </w:r>
      <w:r>
        <w:rPr>
          <w:rFonts w:ascii="Times New Roman" w:hAnsi="Times New Roman"/>
          <w:sz w:val="22"/>
        </w:rPr>
        <w:t>reduce the time to EoP of HAE attacks</w:t>
      </w:r>
      <w:r>
        <w:rPr>
          <w:rFonts w:ascii="Times New Roman" w:hAnsi="Times New Roman"/>
          <w:color w:val="000000"/>
          <w:sz w:val="22"/>
        </w:rPr>
        <w:t xml:space="preserve">, and a </w:t>
      </w:r>
      <w:r>
        <w:rPr>
          <w:rFonts w:ascii="Times New Roman" w:hAnsi="Times New Roman"/>
          <w:sz w:val="22"/>
        </w:rPr>
        <w:t>comparison</w:t>
      </w:r>
      <w:r>
        <w:rPr>
          <w:color w:val="000000"/>
        </w:rPr>
        <w:t xml:space="preserve"> </w:t>
      </w:r>
      <w:r>
        <w:rPr>
          <w:rFonts w:ascii="Times New Roman" w:hAnsi="Times New Roman"/>
          <w:color w:val="000000"/>
          <w:sz w:val="22"/>
        </w:rPr>
        <w:t>of various patient-reported outcome (PRO) instruments.</w:t>
      </w:r>
      <w:r>
        <w:rPr>
          <w:color w:val="00000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Corporate</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Strengthened executive team.</w:t>
      </w:r>
      <w:r>
        <w:rPr>
          <w:color w:val="000000"/>
        </w:rPr>
        <w:t xml:space="preserve"> </w:t>
      </w:r>
      <w:r>
        <w:rPr>
          <w:rFonts w:ascii="Times New Roman" w:hAnsi="Times New Roman"/>
          <w:color w:val="000000"/>
          <w:sz w:val="22"/>
        </w:rPr>
        <w:t xml:space="preserve">Stefan Abele, Ph.D., joined Pharvaris as Chief Technical Operations Officer in November 2023, furthering the company’s capabilities in chemistry, manufacturing, and controls (CMC) activities, supply chain, intellectual property, and project management. Effective April 15, 2024, David Nassif, J.D., will join Pharvaris as Chief Financial Officer and will be responsible for refining and implementing Pharvaris’ corporate financial strategy and activities including financial reporting and operations. In April 2024, Peng Lu, M.D., Ph.D., was promoted to Head of Research &amp; Development and Chief Medical Officer, as Pharvaris strategically strengthens the continuity between research and clinical development for various pipeline programs.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2"/>
        </w:rPr>
        <w:t xml:space="preserve">Held Extraordinary Meeting of Shareholders. </w:t>
      </w:r>
      <w:r>
        <w:rPr>
          <w:rFonts w:ascii="Times New Roman" w:hAnsi="Times New Roman"/>
          <w:color w:val="000000"/>
          <w:sz w:val="22"/>
        </w:rPr>
        <w:t xml:space="preserve">On March 6, 2024, the company held an Extraordinary General Meeting of Shareholders at which all proposals were approved. </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Upcoming Investor Presentations</w:t>
      </w:r>
    </w:p>
    <w:p>
      <w:pPr>
        <w:pStyle w:val="TextBody"/>
        <w:bidi w:val="0"/>
        <w:jc w:val="left"/>
        <w:rPr>
          <w:rFonts w:ascii="Times New Roman" w:hAnsi="Times New Roman"/>
          <w:sz w:val="20"/>
        </w:rPr>
      </w:pPr>
      <w:r>
        <w:rPr>
          <w:rFonts w:ascii="Times New Roman" w:hAnsi="Times New Roman"/>
          <w:b/>
          <w:color w:val="000000"/>
          <w:sz w:val="22"/>
        </w:rPr>
        <w:t xml:space="preserve">The Citizens JMP Life Sciences Conference. </w:t>
      </w:r>
      <w:r>
        <w:rPr>
          <w:rFonts w:ascii="Times New Roman" w:hAnsi="Times New Roman"/>
          <w:color w:val="000000"/>
          <w:sz w:val="22"/>
        </w:rPr>
        <w:t>New York, NY, May 13-14, 2024.</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2"/>
        </w:rPr>
        <w:t xml:space="preserve">Format: </w:t>
      </w:r>
      <w:r>
        <w:rPr>
          <w:rFonts w:ascii="Times New Roman" w:hAnsi="Times New Roman"/>
          <w:color w:val="000000"/>
          <w:sz w:val="22"/>
        </w:rPr>
        <w:t>Fireside Chat</w:t>
        <w:br/>
      </w:r>
      <w:r>
        <w:rPr>
          <w:rFonts w:ascii="Times New Roman" w:hAnsi="Times New Roman"/>
          <w:b/>
          <w:color w:val="000000"/>
          <w:sz w:val="22"/>
        </w:rPr>
        <w:t xml:space="preserve">Presenter: </w:t>
      </w:r>
      <w:r>
        <w:rPr>
          <w:rFonts w:ascii="Times New Roman" w:hAnsi="Times New Roman"/>
          <w:color w:val="000000"/>
          <w:sz w:val="22"/>
        </w:rPr>
        <w:t>Berndt Modig and Morgan Conn, Ph.D.</w:t>
        <w:br/>
      </w:r>
      <w:r>
        <w:rPr>
          <w:rFonts w:ascii="Times New Roman" w:hAnsi="Times New Roman"/>
          <w:b/>
          <w:color w:val="000000"/>
          <w:sz w:val="22"/>
        </w:rPr>
        <w:t xml:space="preserve">Date, time: </w:t>
      </w:r>
      <w:r>
        <w:rPr>
          <w:rFonts w:ascii="Times New Roman" w:hAnsi="Times New Roman"/>
          <w:color w:val="000000"/>
          <w:sz w:val="22"/>
        </w:rPr>
        <w:t>Monday May 13, 2024, 9:30 a.m. EDT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 xml:space="preserve">BofA Securities Health Care conference 2024. </w:t>
      </w:r>
      <w:r>
        <w:rPr>
          <w:rFonts w:ascii="Times New Roman" w:hAnsi="Times New Roman"/>
          <w:color w:val="000000"/>
          <w:sz w:val="22"/>
        </w:rPr>
        <w:t>Las Vegas, NV. May 14-16, 2024.</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2"/>
        </w:rPr>
        <w:t xml:space="preserve">Format: </w:t>
      </w:r>
      <w:r>
        <w:rPr>
          <w:rFonts w:ascii="Times New Roman" w:hAnsi="Times New Roman"/>
          <w:color w:val="000000"/>
          <w:sz w:val="22"/>
        </w:rPr>
        <w:t>Company Presentation</w:t>
        <w:br/>
      </w:r>
      <w:r>
        <w:rPr>
          <w:rFonts w:ascii="Times New Roman" w:hAnsi="Times New Roman"/>
          <w:b/>
          <w:color w:val="000000"/>
          <w:sz w:val="22"/>
        </w:rPr>
        <w:t xml:space="preserve">Presenter: </w:t>
      </w:r>
      <w:r>
        <w:rPr>
          <w:rFonts w:ascii="Times New Roman" w:hAnsi="Times New Roman"/>
          <w:color w:val="000000"/>
          <w:sz w:val="22"/>
        </w:rPr>
        <w:t>Morgan Conn, Ph.D.</w:t>
        <w:br/>
      </w:r>
      <w:r>
        <w:rPr>
          <w:rFonts w:ascii="Times New Roman" w:hAnsi="Times New Roman"/>
          <w:b/>
          <w:color w:val="000000"/>
          <w:sz w:val="22"/>
        </w:rPr>
        <w:t xml:space="preserve">Date, time: </w:t>
      </w:r>
      <w:r>
        <w:rPr>
          <w:rFonts w:ascii="Times New Roman" w:hAnsi="Times New Roman"/>
          <w:color w:val="000000"/>
          <w:sz w:val="22"/>
        </w:rPr>
        <w:t>Thursday May 16, 2024, 8:00 a.m. PDT (11:00 a.m. EDT)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Live audio webcasts of the presentations will be available on the Investors section of the Pharvaris website at: </w:t>
      </w:r>
      <w:r>
        <w:rPr>
          <w:rFonts w:ascii="Times New Roman" w:hAnsi="Times New Roman"/>
          <w:sz w:val="22"/>
        </w:rPr>
        <w:t>https://ir.pharvaris.com/news-events/events-presentations</w:t>
      </w:r>
      <w:r>
        <w:rPr>
          <w:rFonts w:ascii="Times New Roman" w:hAnsi="Times New Roman"/>
          <w:color w:val="000000"/>
          <w:sz w:val="22"/>
        </w:rPr>
        <w:t>. The audio replays will be available on Pharvaris’ website for 30 days following the presentation.</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Financials</w:t>
      </w:r>
    </w:p>
    <w:p>
      <w:pPr>
        <w:pStyle w:val="TextBody"/>
        <w:bidi w:val="0"/>
        <w:jc w:val="left"/>
        <w:rPr>
          <w:rFonts w:ascii="Times New Roman" w:hAnsi="Times New Roman"/>
          <w:b/>
          <w:color w:val="000000"/>
          <w:sz w:val="22"/>
        </w:rPr>
      </w:pPr>
      <w:r>
        <w:rPr>
          <w:rFonts w:ascii="Times New Roman" w:hAnsi="Times New Roman"/>
          <w:b/>
          <w:color w:val="000000"/>
          <w:sz w:val="22"/>
        </w:rPr>
        <w:t>Fourth Quarter and Full Year 2023 Financial Results</w:t>
      </w:r>
    </w:p>
    <w:p>
      <w:pPr>
        <w:pStyle w:val="HorizontalLine"/>
        <w:pBdr>
          <w:bottom w:val="double" w:sz="2" w:space="0" w:color="808080"/>
        </w:pBdr>
        <w:bidi w:val="0"/>
        <w:spacing w:before="0" w:after="283"/>
        <w:jc w:val="left"/>
        <w:rPr/>
      </w:pPr>
      <w:r>
        <w:rPr/>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 xml:space="preserve">Liquidity Position. </w:t>
      </w:r>
      <w:r>
        <w:rPr>
          <w:rFonts w:ascii="Times New Roman" w:hAnsi="Times New Roman"/>
          <w:color w:val="000000"/>
          <w:sz w:val="22"/>
        </w:rPr>
        <w:t>Cash and cash equivalents were approximately €391 million as of December 31, 2023, compared to approximately €162 million for December 31, 2022.</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 xml:space="preserve">Research and Development (R&amp;D) Expenses. </w:t>
      </w:r>
      <w:r>
        <w:rPr>
          <w:rFonts w:ascii="Times New Roman" w:hAnsi="Times New Roman"/>
          <w:color w:val="000000"/>
          <w:sz w:val="22"/>
        </w:rPr>
        <w:t>R&amp;D expenses were €18.6 million for the fourth quarter and €65.6 million for the full year of 2023, compared to €15.7 million for the fourth quarter and €57.4 million for the full year of 2022.</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2"/>
        </w:rPr>
        <w:t>General and Administrative (G&amp;A) Expenses</w:t>
      </w:r>
      <w:r>
        <w:rPr>
          <w:rFonts w:ascii="Times New Roman" w:hAnsi="Times New Roman"/>
          <w:color w:val="000000"/>
          <w:sz w:val="22"/>
        </w:rPr>
        <w:t>. G&amp;A expenses were €8.6 million for the fourth quarter and €31.3 million for the full year of 2023, compared to €7.8 million for the fourth quarter and €29.3 million for the full year of 2022.</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2"/>
        </w:rPr>
        <w:t xml:space="preserve">Loss for the year. </w:t>
      </w:r>
      <w:r>
        <w:rPr>
          <w:rFonts w:ascii="Times New Roman" w:hAnsi="Times New Roman"/>
          <w:color w:val="000000"/>
          <w:sz w:val="22"/>
        </w:rPr>
        <w:t>Loss for the fourth quarter of 2023 was €32.7 million, resulting in basic and diluted loss per share of €0.74. For the full year of 2023, loss was €101 million, resulting in basic and diluted loss per share of €2.63 per share. This compares to €39.2 million, or basic and diluted loss per share of €1.16, for the fourth quarter of 2022 and €76.3 million, or basic and diluted loss per share of €2.27, for the full year of 2022.</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Note on International Financial Reporting Standards (IFRS)</w:t>
      </w:r>
    </w:p>
    <w:p>
      <w:pPr>
        <w:pStyle w:val="TextBody"/>
        <w:bidi w:val="0"/>
        <w:jc w:val="left"/>
        <w:rPr>
          <w:rFonts w:ascii="Times New Roman" w:hAnsi="Times New Roman"/>
          <w:color w:val="000000"/>
          <w:sz w:val="22"/>
        </w:rPr>
      </w:pPr>
      <w:r>
        <w:rPr>
          <w:rFonts w:ascii="Times New Roman" w:hAnsi="Times New Roman"/>
          <w:color w:val="000000"/>
          <w:sz w:val="22"/>
        </w:rPr>
        <w:t>Pharvaris is a Foreign Private Issuer and prepares and reports consolidated financial statements and financial information in accordance with IFRS as issued by the International Accounting Standards Board. Pharvaris maintains its books and records in the Euro currency.</w:t>
      </w:r>
    </w:p>
    <w:p>
      <w:pPr>
        <w:pStyle w:val="TextBody"/>
        <w:bidi w:val="0"/>
        <w:jc w:val="left"/>
        <w:rPr/>
      </w:pPr>
      <w:r>
        <w:rPr/>
        <w:t> </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About Deucrictibant</w:t>
      </w:r>
    </w:p>
    <w:p>
      <w:pPr>
        <w:pStyle w:val="TextBody"/>
        <w:bidi w:val="0"/>
        <w:jc w:val="left"/>
        <w:rPr>
          <w:rFonts w:ascii="Times New Roman" w:hAnsi="Times New Roman"/>
          <w:sz w:val="20"/>
        </w:rPr>
      </w:pPr>
      <w:r>
        <w:rPr>
          <w:rFonts w:ascii="Times New Roman" w:hAnsi="Times New Roman"/>
          <w:color w:val="000000"/>
          <w:sz w:val="22"/>
        </w:rPr>
        <w:t>Deucrictibant is a potent, selective, and orally available antagonist of the bradykinin-B2-receptor. By inhibiting bradykinin signaling through the bradykinin-B2-receptor, deucrictibant has the potential to treat the clinical signs of an HAE attack and to prevent the occurrence of attacks. Based on its chemical properties, Pharvaris is developing two formulations of deucrictibant for oral administration; a capsule to enable rapid onset of activity for acute treatment, and an extended-release tablet to enable sustained absorption and efficacy in prophylactic treatment.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About Pharvaris</w:t>
      </w:r>
    </w:p>
    <w:p>
      <w:pPr>
        <w:pStyle w:val="TextBody"/>
        <w:bidi w:val="0"/>
        <w:jc w:val="left"/>
        <w:rPr>
          <w:rFonts w:ascii="Times New Roman" w:hAnsi="Times New Roman"/>
          <w:sz w:val="20"/>
        </w:rPr>
      </w:pPr>
      <w:r>
        <w:rPr>
          <w:rFonts w:ascii="Times New Roman" w:hAnsi="Times New Roman"/>
          <w:color w:val="000000"/>
          <w:sz w:val="22"/>
        </w:rPr>
        <w:t xml:space="preserve">Building on its deep-seated roots in HAE, Pharvaris is a late-stage biopharmaceutical company developing novel, oral bradykinin-B2-receptor antagonists to treat and prevent HAE attacks. By directly pursuing this clinically proven therapeutic target with novel small molecules, the Pharvaris team aspires to offer people with all sub-types of HAE efficacious, safe, and easy-to-administer alternatives to treat attacks, both on-demand and prophylactically. The company brings together the best talent in the industry with deep expertise in rare diseases and HAE. For more information, visit </w:t>
      </w:r>
      <w:r>
        <w:rPr>
          <w:rFonts w:ascii="Times New Roman" w:hAnsi="Times New Roman"/>
          <w:sz w:val="22"/>
        </w:rPr>
        <w:t>https://pharvaris.com/</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left"/>
        <w:rPr>
          <w:rFonts w:ascii="Times New Roman" w:hAnsi="Times New Roman"/>
          <w:sz w:val="20"/>
        </w:rPr>
      </w:pPr>
      <w:r>
        <w:rPr>
          <w:rFonts w:ascii="Times New Roman" w:hAnsi="Times New Roman"/>
          <w:color w:val="000000"/>
          <w:sz w:val="22"/>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the expected timing, progress, or success of our clinical development programs, especially for deucrictibant immediate-release capsules (PHVS416) and deucrictibant extended-release tablets (PHVS719), which are in late-stage global clinical trials; our ability to replicate the efficacy and safety demonstrated in the RAPIDe-1 and CHAPTER-1 Phase 2 study in ongoing and future nonclinical studies and clinical trials; risks arising from epidemic diseases, such as the COVID-19 pandemic, which may adversely impact our business, nonclinical studies, and clinical trials; the outcome and timing of regulatory approvals; the value of our ordinary shares; the timing, costs and other limitations involved in obtaining regulatory approval for our product candidates,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weaknesses in our internal control over financial reporting and to maintain an effective system of internal control over financial reporting; changes and uncertainty in general market, political and economic conditions, including as a result of inflation and the current conflict between Russia and Ukraine and the Hamas attack against Israel and the ensuing war;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Contact</w:t>
        <w:br/>
      </w:r>
      <w:r>
        <w:rPr>
          <w:rFonts w:ascii="Times New Roman" w:hAnsi="Times New Roman"/>
          <w:color w:val="000000"/>
          <w:sz w:val="22"/>
        </w:rPr>
        <w:t>Maggie Beller</w:t>
      </w:r>
    </w:p>
    <w:p>
      <w:pPr>
        <w:pStyle w:val="TextBody"/>
        <w:bidi w:val="0"/>
        <w:jc w:val="left"/>
        <w:rPr>
          <w:rFonts w:ascii="Times New Roman" w:hAnsi="Times New Roman"/>
          <w:color w:val="000000"/>
          <w:sz w:val="22"/>
        </w:rPr>
      </w:pPr>
      <w:r>
        <w:rPr>
          <w:rFonts w:ascii="Times New Roman" w:hAnsi="Times New Roman"/>
          <w:color w:val="000000"/>
          <w:sz w:val="22"/>
        </w:rPr>
        <w:t>Executive Director, Head of External and Internal Communications</w:t>
      </w:r>
    </w:p>
    <w:p>
      <w:pPr>
        <w:pStyle w:val="TextBody"/>
        <w:bidi w:val="0"/>
        <w:jc w:val="left"/>
        <w:rPr>
          <w:rFonts w:ascii="Times New Roman" w:hAnsi="Times New Roman"/>
          <w:color w:val="0563C1"/>
          <w:sz w:val="22"/>
        </w:rPr>
      </w:pPr>
      <w:r>
        <w:rPr>
          <w:rFonts w:ascii="Times New Roman" w:hAnsi="Times New Roman"/>
          <w:color w:val="0563C1"/>
          <w:sz w:val="22"/>
        </w:rPr>
        <w:t>maggie.beller@pharvaris.com</w:t>
      </w:r>
    </w:p>
    <w:p>
      <w:pPr>
        <w:pStyle w:val="HorizontalLine"/>
        <w:pBdr>
          <w:bottom w:val="double" w:sz="2" w:space="0" w:color="808080"/>
        </w:pBdr>
        <w:bidi w:val="0"/>
        <w:spacing w:before="0" w:after="283"/>
        <w:jc w:val="left"/>
        <w:rPr/>
      </w:pPr>
      <w:r>
        <w:rPr/>
      </w:r>
    </w:p>
    <w:p>
      <w:pPr>
        <w:pStyle w:val="TextBody"/>
        <w:bidi w:val="0"/>
        <w:jc w:val="right"/>
        <w:rPr/>
      </w:pPr>
      <w:bookmarkStart w:id="4" w:name="phvs-ex99_2.htm"/>
      <w:bookmarkStart w:id="5" w:name="ksphvsex99_2"/>
      <w:bookmarkEnd w:id="4"/>
      <w:bookmarkEnd w:id="5"/>
      <w:r>
        <w:rPr/>
        <w:drawing>
          <wp:inline distT="0" distB="0" distL="0" distR="0">
            <wp:extent cx="2324100"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24100" cy="342900"/>
                    </a:xfrm>
                    <a:prstGeom prst="rect">
                      <a:avLst/>
                    </a:prstGeom>
                  </pic:spPr>
                </pic:pic>
              </a:graphicData>
            </a:graphic>
          </wp:inline>
        </w:drawing>
      </w:r>
      <w:r>
        <w:br w:type="page"/>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color w:val="000000"/>
          <w:sz w:val="22"/>
        </w:rPr>
      </w:pPr>
      <w:r>
        <w:rPr>
          <w:rFonts w:ascii="Times New Roman" w:hAnsi="Times New Roman"/>
          <w:color w:val="000000"/>
          <w:sz w:val="22"/>
        </w:rPr>
        <w:t>Exhibit 99.2</w:t>
      </w:r>
    </w:p>
    <w:p>
      <w:pPr>
        <w:pStyle w:val="TextBody"/>
        <w:bidi w:val="0"/>
        <w:jc w:val="center"/>
        <w:rPr>
          <w:rFonts w:ascii="Times New Roman" w:hAnsi="Times New Roman"/>
          <w:b/>
          <w:color w:val="000000"/>
          <w:sz w:val="28"/>
        </w:rPr>
      </w:pPr>
      <w:r>
        <w:rPr>
          <w:rFonts w:ascii="Times New Roman" w:hAnsi="Times New Roman"/>
          <w:b/>
          <w:color w:val="000000"/>
          <w:sz w:val="28"/>
        </w:rPr>
        <w:t>Pharvaris Appoints David Nassif, J.D., as Chief Financial Officer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Zug, Switzerland, April 10, 2024</w:t>
      </w:r>
      <w:r>
        <w:rPr>
          <w:rFonts w:ascii="Times New Roman" w:hAnsi="Times New Roman"/>
          <w:color w:val="000000"/>
          <w:sz w:val="20"/>
        </w:rPr>
        <w:t xml:space="preserve"> – </w:t>
      </w:r>
      <w:r>
        <w:rPr>
          <w:rFonts w:ascii="Times New Roman" w:hAnsi="Times New Roman"/>
          <w:sz w:val="22"/>
        </w:rPr>
        <w:t>Pharvaris</w:t>
      </w:r>
      <w:r>
        <w:rPr>
          <w:rFonts w:ascii="Times New Roman" w:hAnsi="Times New Roman"/>
          <w:color w:val="000000"/>
          <w:sz w:val="20"/>
        </w:rPr>
        <w:t xml:space="preserve"> </w:t>
      </w:r>
      <w:r>
        <w:rPr>
          <w:rFonts w:ascii="Times New Roman" w:hAnsi="Times New Roman"/>
          <w:color w:val="000000"/>
          <w:sz w:val="22"/>
        </w:rPr>
        <w:t>(Nasdaq: PHVS), a late-stage biopharmaceutical company developing novel, oral bradykinin-B2-receptor antagonists to treat and prevent hereditary angioedema (HAE) attacks, today announced the appointment of David Nassif, J.D., as Chief Financial Officer, effective April 15, 2024. In this role, he will be responsible for refining and implementing Pharvaris’ corporate financial strategy and activities including financial reporting and operations. Mr. Nassif joins Pharvaris with more than 30 years of experience in financial management, strategic planning, mergers and acquisitions, investor relations, legal, and capital allocation, having held multiple executive financial management roles in development-stage, commercial-stage, public and private companies.</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David expands Pharvaris’ leadership capabilities as we become a late-stage biotech company with an exciting pipeline and strong commercial potential,” said Berndt Modig, Chief Executive Officer of Pharvaris. “David’s experience, capabilities, and strong track record will help drive our financial strategy, deliver on key strategic priorities, and build shareholder value. He will work closely on investor relations and corporate strategy with Morgan Conn, our Chief Business Officer. We are looking forward to benefiting from David’s operational and transactional expertise in support of our future growth.”</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Mr. Nassif continued, “The progress Pharvaris has made to date demonstrates the strength of the leadership, the expertise of the talent throughout the company, and the potential of deucrictibant to positively impact the lives of people living with HAE. I look forward to providing my perspective and experience to contribute to the strategic growth of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Mr. Nassif serves as Chief Executive Officer, Chief Financial Officer, and Board Member at Sio Gene Therapies, where he raised $165 million in equity and was responsible for all finance, accounting, tax, treasury, legal, and SEC compliance and reporting activities. Sio is in dissolution and is returning significant capital to its stockholders. Prior to joining Sio Gene, Mr. Nassif was Executive Vice President and Chief Financial Officer of SteadyMed Therapeutics, where he was instrumental in the company’s initial public offering in 2015 and its acquisition by United Therapeutics in August 2018. Over his career, Mr. Nassif has served as the Chief Financial Officer of Histogen, Zogenix, Amphastar Pharmaceuticals, and RealAge. Earlier, Mr. Nassif held various positions with Cypros Pharmaceuticals, where he was instrumental in leading its merger with Ribogene to form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Questcor Pharmaceuticals. He holds a B.S. in finance and management information systems with honors from the University of Virginia and a J.D. from the University of Virginia School of Law.</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About Pharvaris</w:t>
      </w:r>
    </w:p>
    <w:p>
      <w:pPr>
        <w:pStyle w:val="TextBody"/>
        <w:bidi w:val="0"/>
        <w:jc w:val="left"/>
        <w:rPr>
          <w:rFonts w:ascii="Times New Roman" w:hAnsi="Times New Roman"/>
          <w:sz w:val="20"/>
        </w:rPr>
      </w:pPr>
      <w:r>
        <w:rPr>
          <w:rFonts w:ascii="Times New Roman" w:hAnsi="Times New Roman"/>
          <w:color w:val="000000"/>
          <w:sz w:val="22"/>
        </w:rPr>
        <w:t xml:space="preserve">Building on its deep-seated roots in HAE, Pharvaris is a late-stage biopharmaceutical company developing novel, oral bradykinin-B2-receptor antagonists to treat and prevent HAE attacks. By directly pursuing this clinically proven therapeutic target with novel small molecules, the Pharvaris team aspires to offer people with all sub-types of HAE efficacious, safe, and easy-to-administer alternatives to treat attacks, both on-demand and prophylactically. The company brings together the best talent in the industry with deep expertise in rare diseases and HAE. For more information, visit </w:t>
      </w:r>
      <w:r>
        <w:rPr>
          <w:rFonts w:ascii="Times New Roman" w:hAnsi="Times New Roman"/>
          <w:sz w:val="22"/>
        </w:rPr>
        <w:t>https://pharvaris.com/</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left"/>
        <w:rPr>
          <w:rFonts w:ascii="Times New Roman" w:hAnsi="Times New Roman"/>
          <w:sz w:val="20"/>
        </w:rPr>
      </w:pPr>
      <w:r>
        <w:rPr>
          <w:rFonts w:ascii="Times New Roman" w:hAnsi="Times New Roman"/>
          <w:color w:val="000000"/>
          <w:sz w:val="22"/>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the expected timing, progress, or success of our clinical development programs, especially for deucrictibant immediate-release capsules (PHVS416) and deucrictibant extended-release tablets (PHVS719), which are in late-stage global clinical trials; our ability to replicate the efficacy and safety demonstrated in the RAPIDe-1 and CHAPTER-1 Phase 2 study in ongoing and future nonclinical studies and clinical trials; risks arising from epidemic diseases, such as the COVID-19 pandemic, which may adversely impact our business, nonclinical studies, and clinical trials; the outcome and timing of regulatory approvals; the value of our ordinary shares; the timing, costs and other limitations involved in obtaining regulatory approval for our product candidates,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ability to raise capital when needed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weaknesses in our internal control over financial reporting and to maintain an effective system of internal control over financial reporting; changes and uncertainty in general market, political and economic conditions, including as a result of inflation and the current conflict between Russia and Ukraine and the Hamas attack against Israel and the ensuing war;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Contact</w:t>
        <w:br/>
      </w:r>
      <w:r>
        <w:rPr>
          <w:rFonts w:ascii="Times New Roman" w:hAnsi="Times New Roman"/>
          <w:color w:val="000000"/>
          <w:sz w:val="22"/>
        </w:rPr>
        <w:t>Maggie Beller</w:t>
      </w:r>
    </w:p>
    <w:p>
      <w:pPr>
        <w:pStyle w:val="TextBody"/>
        <w:bidi w:val="0"/>
        <w:jc w:val="left"/>
        <w:rPr>
          <w:rFonts w:ascii="Times New Roman" w:hAnsi="Times New Roman"/>
          <w:color w:val="000000"/>
          <w:sz w:val="22"/>
        </w:rPr>
      </w:pPr>
      <w:r>
        <w:rPr>
          <w:rFonts w:ascii="Times New Roman" w:hAnsi="Times New Roman"/>
          <w:color w:val="000000"/>
          <w:sz w:val="22"/>
        </w:rPr>
        <w:t>Executive Director, Head of External and Internal Communications</w:t>
      </w:r>
    </w:p>
    <w:p>
      <w:pPr>
        <w:pStyle w:val="TextBody"/>
        <w:bidi w:val="0"/>
        <w:jc w:val="left"/>
        <w:rPr>
          <w:rFonts w:ascii="Times New Roman" w:hAnsi="Times New Roman"/>
          <w:color w:val="0563C1"/>
          <w:sz w:val="22"/>
        </w:rPr>
      </w:pPr>
      <w:r>
        <w:rPr>
          <w:rFonts w:ascii="Times New Roman" w:hAnsi="Times New Roman"/>
          <w:color w:val="0563C1"/>
          <w:sz w:val="22"/>
        </w:rPr>
        <w:t>maggie.beller@pharvaris.com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3575</Words>
  <Characters>21003</Characters>
  <CharactersWithSpaces>24537</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