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Emmy Noetherweg 2</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2333 BK Leiden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PHARVARIS N.V.</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10, 2025, Pharvaris N.V. issued a press release providing an update on the timing of the announcement of topline data from the RAPIDe-3 study.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July 10, 2025.</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27"/>
        </w:trPr>
        <w:tc>
          <w:tcPr>
            <w:tcW w:w="3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522"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173990</wp:posOffset>
            </wp:positionV>
            <wp:extent cx="251142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Updates Timing of Topline Data Announcement for RAPIDe-3 Pivotal Phase 3 Study to the Fourth Quarter of 2025</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expects to submit deucrictibant IR capsule NDA to the U.S. FDA for the on-demand treatment of HAE attacks in 1H2026</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ZUG, Switzerland, July 10, 2025 – Pharvaris (Nasdaq: PHVS), a late-stage biopharmaceutical company developing novel, oral bradykinin B2 receptor antagonists to address unmet needs of those living with bradykinin-mediated diseases such as hereditary angioedema (HAE) and acquired angioedema due to C1 inhibitor deficiency (AAE-C1INH), updated the guidance for the disclosure of topline data from the ongoing RAPIDe-3 pivotal Phase 3 study evaluating deucrictibant immediate-release (IR) capsule for the on-demand treatment of HAE attacks. Pharvaris anticipates announcing topline data from RAPIDe-3 in the fourth quarter of 2025 and, pending positive data, expects to submit a New Drug Application (NDA) with the U.S. Food and Drug Administration (FDA) in the first half of 2026.</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attack data in RAPIDe-3 have continued to accrue following the achievement of target enrollment in the study; we now estimate that our RAPIDe-3 topline data announcement will be in the fourth quarter of this year,” said Berndt Modig, Chief Executive Officer of Pharvaris. “Our phase 3 data may provide evidence of deucrictibant IR’s potential to address the desire of people living with HAE for an on-demand therapy that combines efficacy—from rapid end of progression to fast and complete resolution—and a favorable safety profile, with the convenience of a single-capsule oral dose.”</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Peng Lu, M.D., Ph.D., Chief Medical Officer of Pharvaris, added, “We aim to confirm the findings from our Phase 2 studies in a larger Phase 3 trial, RAPIDe-3. Importantly, this study is assessing the effects of deucrictibant for people with high unmet need beyond adults with HAE type 1 and 2, such as participants with HAE with normal C1 inhibitor and adolescents between 12 and 17 years and will be evaluating the effects of deucrictibant in treating laryngeal attacks. We want to thank the clinical trial participants, the investigators and their study site collaborators for their ongoing commitment to this important trial.”</w:t>
      </w:r>
    </w:p>
    <w:p>
      <w:pPr>
        <w:sectPr>
          <w:pgSz w:w="11900" w:h="16838" w:orient="portrait"/>
          <w:cols w:equalWidth="0" w:num="1">
            <w:col w:w="11020"/>
          </w:cols>
          <w:pgMar w:left="440" w:top="117" w:right="439" w:bottom="1440" w:gutter="0" w:footer="0" w:header="0"/>
        </w:sectPr>
      </w:pPr>
    </w:p>
    <w:bookmarkStart w:id="3" w:name="page4"/>
    <w:bookmarkEnd w:id="3"/>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4725670</wp:posOffset>
            </wp:positionH>
            <wp:positionV relativeFrom="page">
              <wp:posOffset>183515</wp:posOffset>
            </wp:positionV>
            <wp:extent cx="2545715"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545715" cy="436880"/>
                    </a:xfrm>
                    <a:prstGeom prst="rect">
                      <a:avLst/>
                    </a:prstGeom>
                    <a:noFill/>
                  </pic:spPr>
                </pic:pic>
              </a:graphicData>
            </a:graphic>
          </wp:anchor>
        </w:drawing>
        <w:t>RAPIDe-3 (</w:t>
      </w:r>
      <w:r>
        <w:rPr>
          <w:rFonts w:ascii="Times New Roman" w:cs="Times New Roman" w:eastAsia="Times New Roman" w:hAnsi="Times New Roman"/>
          <w:sz w:val="17"/>
          <w:szCs w:val="17"/>
          <w:u w:val="single" w:color="auto"/>
          <w:color w:val="auto"/>
        </w:rPr>
        <w:t>NCT06343779</w:t>
      </w:r>
      <w:r>
        <w:rPr>
          <w:rFonts w:ascii="Times New Roman" w:cs="Times New Roman" w:eastAsia="Times New Roman" w:hAnsi="Times New Roman"/>
          <w:sz w:val="17"/>
          <w:szCs w:val="17"/>
          <w:color w:val="auto"/>
        </w:rPr>
        <w:t>) is a global Phase 3 study evaluating deucrictibant immediate-release capsule (20 mg) for the on-demand treatment of angioedema attacks in approximately 120 adult and adolescent (12 years and older) participants with HAE, including forms with C1 inhibitor deficiency and forms with normal C1INH. The primary endpoint is time to onset of symptom relief, as measured by Patient Global Impression of Change (PGI-C) rating of at least “a little better.” Other endpoints include time to End of Progression (EoP) in attack symptoms, substantial symptom relief, complete symptom resolution and proportion of complete symptom resolution achieved with one dose of deucrictibant as measured by Patient Global Impression of Severity (PGI-S), PGI-C, and by Angioedema Symptom Rating Scale (AMRA), and incidence of treatment-emergent adverse events (TEAEs).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Deucrictibant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and orphan designation by the European Commission.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Pharvaris</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Pharvaris is a late-stage biopharmaceutical company developing novel, oral bradykinin B2 receptor antagonists to potentially address all types of bradykinin-mediated angioedema. Pharvaris intends to provide injectable-like efficacy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placebo-like tolerability with the convenience of oral therapies to prevent and treat bradykinin-mediated angioedema attacks. With positive data in both Phase 2 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w:t>
      </w:r>
      <w:r>
        <w:rPr>
          <w:rFonts w:ascii="Times New Roman" w:cs="Times New Roman" w:eastAsia="Times New Roman" w:hAnsi="Times New Roman"/>
          <w:sz w:val="18"/>
          <w:szCs w:val="18"/>
          <w:u w:val="single" w:color="auto"/>
          <w:color w:val="auto"/>
        </w:rPr>
        <w:t>https://pharvaris.com/.</w:t>
      </w:r>
    </w:p>
    <w:p>
      <w:pPr>
        <w:sectPr>
          <w:pgSz w:w="11900" w:h="16838" w:orient="portrait"/>
          <w:cols w:equalWidth="0" w:num="1">
            <w:col w:w="11000"/>
          </w:cols>
          <w:pgMar w:left="440" w:top="1107"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4725670</wp:posOffset>
            </wp:positionH>
            <wp:positionV relativeFrom="page">
              <wp:posOffset>183515</wp:posOffset>
            </wp:positionV>
            <wp:extent cx="2545715"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545715" cy="43688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and Phase 3 studies in ongoing and future nonclinical studies and clinical trials; risks arising from epidemic diseases, ,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political conditions, such as the current war between Russia and Ukraine; economic conditions, including continuing inflation concerns;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w:t>
      </w:r>
    </w:p>
    <w:p>
      <w:pPr>
        <w:sectPr>
          <w:pgSz w:w="11900" w:h="16838" w:orient="portrait"/>
          <w:cols w:equalWidth="0" w:num="1">
            <w:col w:w="10980"/>
          </w:cols>
          <w:pgMar w:left="440" w:top="1103" w:right="47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4759960</wp:posOffset>
            </wp:positionH>
            <wp:positionV relativeFrom="page">
              <wp:posOffset>182880</wp:posOffset>
            </wp:positionV>
            <wp:extent cx="251142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511425" cy="428625"/>
                    </a:xfrm>
                    <a:prstGeom prst="rect">
                      <a:avLst/>
                    </a:prstGeom>
                    <a:noFill/>
                  </pic:spPr>
                </pic:pic>
              </a:graphicData>
            </a:graphic>
          </wp:anchor>
        </w:drawing>
        <w:t>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 Beller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Head of Corporate and Investor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maggie.beller@pharvaris.com</w:t>
      </w:r>
    </w:p>
    <w:sectPr>
      <w:pgSz w:w="11900" w:h="16838" w:orient="portrait"/>
      <w:cols w:equalWidth="0" w:num="1">
        <w:col w:w="10880"/>
      </w:cols>
      <w:pgMar w:left="440" w:top="109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2025-07-10T06:05:25Z</dcterms:created>
  <dcterms:modified xsi:type="dcterms:W3CDTF">2025-07-10T06:05:25Z</dcterms:modified>
</cp:coreProperties>
</file>