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Nassif David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20"/>
        <w:spacing w:after="0" w:line="320" w:lineRule="auto"/>
        <w:rPr>
          <w:sz w:val="20"/>
          <w:szCs w:val="20"/>
          <w:color w:val="auto"/>
        </w:rPr>
      </w:pPr>
      <w:r>
        <w:rPr>
          <w:rFonts w:ascii="Times New Roman" w:cs="Times New Roman" w:eastAsia="Times New Roman" w:hAnsi="Times New Roman"/>
          <w:sz w:val="17"/>
          <w:szCs w:val="17"/>
          <w:color w:val="0000FF"/>
        </w:rPr>
        <w:t>1 CRANBERRY HILL SUITE 400 LEXINGTON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Pharvaris N.V.</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PHVS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65"/>
        <w:spacing w:after="0"/>
        <w:rPr>
          <w:sz w:val="20"/>
          <w:szCs w:val="20"/>
          <w:color w:val="auto"/>
        </w:rPr>
      </w:pPr>
      <w:r>
        <w:rPr>
          <w:rFonts w:ascii="Times New Roman" w:cs="Times New Roman" w:eastAsia="Times New Roman" w:hAnsi="Times New Roman"/>
          <w:sz w:val="17"/>
          <w:szCs w:val="17"/>
          <w:color w:val="0000FF"/>
        </w:rPr>
        <w:t>CFO / CLO</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80" w:type="dxa"/>
            <w:vAlign w:val="bottom"/>
            <w:gridSpan w:val="7"/>
          </w:tcPr>
          <w:p>
            <w:pPr>
              <w:ind w:left="10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LEXINGTON   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02421</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3"/>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05/21/2026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10,000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30.3076</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120,300</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represents a weighted average sale price for shares sold in multiple transactions at prices ranging from $30.08 to $30.55 per share. The shares sold were acquired upon vesting of restricted stock units on various dates. The reporting person undertakes to provide to the issuer, any security holder of the issuer, or the staff of the Securities and Exchange Commission, upon request,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40" w:right="6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total number of shares beneficially owned previously reported in the Form 3 filed on March 18, 2026 was understated by 6,375 shares due to an administrative error in the number of shares reported as withheld for tax obligations in connection with an RSU vesting transaction. This filing reflects the corrected beneficial ownership amount.</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Marnus Nel, Attorney-in-</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05/26/2026</w:t>
            </w:r>
          </w:p>
        </w:tc>
        <w:tc>
          <w:tcPr>
            <w:tcW w:w="0" w:type="dxa"/>
            <w:vAlign w:val="bottom"/>
          </w:tcPr>
          <w:p>
            <w:pPr>
              <w:spacing w:after="0"/>
              <w:rPr>
                <w:sz w:val="1"/>
                <w:szCs w:val="1"/>
                <w:color w:val="auto"/>
              </w:rPr>
            </w:pPr>
          </w:p>
        </w:tc>
      </w:tr>
      <w:tr>
        <w:trPr>
          <w:trHeight w:val="87"/>
        </w:trPr>
        <w:tc>
          <w:tcPr>
            <w:tcW w:w="17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David W. Nassif</w:t>
            </w:r>
          </w:p>
        </w:tc>
        <w:tc>
          <w:tcPr>
            <w:tcW w:w="3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40" w:type="dxa"/>
            <w:vAlign w:val="bottom"/>
            <w:tcBorders>
              <w:bottom w:val="single" w:sz="8" w:color="auto"/>
            </w:tcBorders>
            <w:vMerge w:val="continue"/>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36975" TargetMode="External"/><Relationship Id="rId14" Type="http://schemas.openxmlformats.org/officeDocument/2006/relationships/hyperlink" Target="http://www.sec.gov/cgi-bin/browse-edgar?action=getcompany&amp;CIK=00018304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2026-05-26T16:49:54Z</dcterms:created>
  <dcterms:modified xsi:type="dcterms:W3CDTF">2026-05-26T16:49:54Z</dcterms:modified>
</cp:coreProperties>
</file>