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4419d6k.htm"/>
      <w:bookmarkStart w:id="1" w:name="ksd13441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001-40010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Pharvaris N.V.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Emmy Noetherweg 2 </w:t>
      </w:r>
    </w:p>
    <w:p>
      <w:pPr>
        <w:pStyle w:val="TextBody"/>
        <w:bidi w:val="0"/>
        <w:spacing w:before="0" w:after="0"/>
        <w:jc w:val="center"/>
        <w:rPr>
          <w:rFonts w:ascii="Times New Roman" w:hAnsi="Times New Roman"/>
          <w:b/>
          <w:sz w:val="20"/>
        </w:rPr>
      </w:pPr>
      <w:r>
        <w:rPr>
          <w:rFonts w:ascii="Times New Roman" w:hAnsi="Times New Roman"/>
          <w:b/>
          <w:sz w:val="20"/>
        </w:rPr>
        <w:t xml:space="preserve">2333 BK Leiden </w:t>
      </w:r>
    </w:p>
    <w:p>
      <w:pPr>
        <w:pStyle w:val="TextBody"/>
        <w:bidi w:val="0"/>
        <w:spacing w:before="0" w:after="0"/>
        <w:jc w:val="center"/>
        <w:rPr>
          <w:rFonts w:ascii="Times New Roman" w:hAnsi="Times New Roman"/>
          <w:b/>
          <w:sz w:val="20"/>
        </w:rPr>
      </w:pPr>
      <w:r>
        <w:rPr>
          <w:rFonts w:ascii="Times New Roman" w:hAnsi="Times New Roman"/>
          <w:b/>
          <w:sz w:val="20"/>
        </w:rPr>
        <w:t xml:space="preserve">The Netherlands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Note: Regulation S-T Rule 101(b)(1) only permits the submission in paper of a Form 6-K if submitted solely to provide an attached annual report to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240" w:after="0"/>
        <w:jc w:val="left"/>
        <w:rPr>
          <w:rFonts w:ascii="Times New Roman" w:hAnsi="Times New Roman"/>
          <w:sz w:val="20"/>
        </w:rPr>
      </w:pPr>
      <w:r>
        <w:rPr>
          <w:rFonts w:ascii="Times New Roman" w:hAnsi="Times New Roman"/>
          <w:sz w:val="20"/>
        </w:rPr>
        <w:t xml:space="preserve">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PHARVARIS N.V. </w:t>
      </w:r>
    </w:p>
    <w:p>
      <w:pPr>
        <w:pStyle w:val="TextBody"/>
        <w:bidi w:val="0"/>
        <w:spacing w:before="240" w:after="0"/>
        <w:jc w:val="left"/>
        <w:rPr>
          <w:rFonts w:ascii="Times New Roman" w:hAnsi="Times New Roman"/>
          <w:sz w:val="20"/>
        </w:rPr>
      </w:pPr>
      <w:r>
        <w:rPr>
          <w:rFonts w:ascii="Times New Roman" w:hAnsi="Times New Roman"/>
          <w:sz w:val="20"/>
        </w:rPr>
        <w:t xml:space="preserve">On May 8, 2026, Pharvaris N.V. (the “Company”) entered into an underwriting agreement (the “Underwriting Agreement”) with Morgan Stanley &amp; Co. LLC and Leerink Partners LLC as representatives of the underwriters named therein (the “Underwriters”), pursuant to which the Company agreed to issue and sell 4,455,863 ordinary shares, nominal value 0.12 per share (which include the exercise in full by the Underwriters of their option to purchase up to an additional 581,199 ordinary shares) (the “Shares”) in an underwritten offering (the “Offering”). The Offering closed on May 11, 2026. </w:t>
      </w:r>
    </w:p>
    <w:p>
      <w:pPr>
        <w:pStyle w:val="TextBody"/>
        <w:bidi w:val="0"/>
        <w:spacing w:before="240" w:after="0"/>
        <w:jc w:val="left"/>
        <w:rPr>
          <w:rFonts w:ascii="Times New Roman" w:hAnsi="Times New Roman"/>
          <w:sz w:val="20"/>
        </w:rPr>
      </w:pPr>
      <w:r>
        <w:rPr>
          <w:rFonts w:ascii="Times New Roman" w:hAnsi="Times New Roman"/>
          <w:sz w:val="20"/>
        </w:rPr>
        <w:t xml:space="preserve">The Shares were sold in the Offering at the public offering price of $29.68 per share.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made pursuant to the Company’s effective registration statement on Form F-3ASR (Registration No. 333-278650), which was previously filed with the Securities and Exchange Commission under the Securities Act of 1933, as amended (the “Securities Act”) and became effective automatically upon filing.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the Offering, after deducting the underwriting discounts and commissions, are expected to be approximately $124 million. The Company currently intends to use the net proceeds from the offering primarily to fund research and development expenses for its late-stage clinical programs, the expansion of a sales and marketing team in the U.S. and related commercialization expenses, as well as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Underwriting Agreement contained herein is qualified in its entirety by the text of the Underwriting Agreement filed as Exhibit 1.1 to this Current Report on Form 6-K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 copy of the opinion of NautaDutilh N.V. relating to the validity of the Shares issued in the Offering is filed herewith as Exhibit 5.1.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incorporates by reference the information contained in the body of this Report on Form 6-K into the Company’s Registration Statement on Form F-3ASR (File No. 333-278650), the Company’s Registration Statement on Form F-3 (File No. 333-273757), the Company’s Registration Statement on Form F-3ASR (File No. 333-277705 and the Company’s Registration Statement on Form S-8 (File No. 333-252897). This report on Form 6-K (including the exhibits filed herewith) is incorporated by reference into the Company’s Registration Statement on Form F-3ASR (File No. 333-278650).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2"/>
        <w:gridCol w:w="428"/>
        <w:gridCol w:w="8985"/>
      </w:tblGrid>
      <w:tr>
        <w:trPr/>
        <w:tc>
          <w:tcPr>
            <w:tcW w:w="792"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8985" w:type="dxa"/>
            <w:tcBorders/>
            <w:vAlign w:val="center"/>
          </w:tcPr>
          <w:p>
            <w:pPr>
              <w:pStyle w:val="TableContents"/>
              <w:bidi w:val="0"/>
              <w:spacing w:before="0" w:after="283"/>
              <w:jc w:val="left"/>
              <w:rPr>
                <w:sz w:val="4"/>
                <w:szCs w:val="4"/>
              </w:rPr>
            </w:pPr>
            <w:r>
              <w:rPr>
                <w:sz w:val="4"/>
                <w:szCs w:val="4"/>
              </w:rPr>
            </w:r>
          </w:p>
        </w:tc>
      </w:tr>
      <w:tr>
        <w:trPr/>
        <w:tc>
          <w:tcPr>
            <w:tcW w:w="792" w:type="dxa"/>
            <w:tcBorders>
              <w:bottom w:val="single" w:sz="8" w:space="0" w:color="000000"/>
            </w:tcBorders>
            <w:tcMar>
              <w:bottom w:w="28" w:type="dxa"/>
            </w:tcMar>
            <w:vAlign w:val="bottom"/>
          </w:tcPr>
          <w:p>
            <w:pPr>
              <w:pStyle w:val="TableContents"/>
              <w:bidi w:val="0"/>
              <w:spacing w:before="0" w:after="283"/>
              <w:jc w:val="left"/>
              <w:rPr/>
            </w:pPr>
            <w:r>
              <w:rPr>
                <w:b/>
              </w:rPr>
              <w:t>Exhibit</w:t>
            </w:r>
            <w:r>
              <w:rPr/>
              <w:br/>
            </w:r>
            <w:r>
              <w:rPr>
                <w:b/>
              </w:rPr>
              <w:t>No.</w:t>
            </w:r>
          </w:p>
        </w:tc>
        <w:tc>
          <w:tcPr>
            <w:tcW w:w="428" w:type="dxa"/>
            <w:tcBorders/>
            <w:vAlign w:val="bottom"/>
          </w:tcPr>
          <w:p>
            <w:pPr>
              <w:pStyle w:val="TableContents"/>
              <w:bidi w:val="0"/>
              <w:spacing w:before="0" w:after="283"/>
              <w:jc w:val="left"/>
              <w:rPr/>
            </w:pPr>
            <w:r>
              <w:rPr/>
              <w:t>  </w:t>
            </w:r>
          </w:p>
        </w:tc>
        <w:tc>
          <w:tcPr>
            <w:tcW w:w="898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1.1</w:t>
            </w:r>
          </w:p>
        </w:tc>
        <w:tc>
          <w:tcPr>
            <w:tcW w:w="428"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hyperlink w:anchor="d134419dex11.htm">
              <w:r>
                <w:rPr>
                  <w:rStyle w:val="InternetLink"/>
                </w:rPr>
                <w:t xml:space="preserve">Underwriting Agreement, dated May 8, 2026, among Pharvaris N.V., Morgan Stanley &amp; Co. LLC, Leerink Partners LLC, Cantor Fitzgerald  &amp; Co. and Wells Fargo Securities, LLC as underwriters.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5.1</w:t>
            </w:r>
          </w:p>
        </w:tc>
        <w:tc>
          <w:tcPr>
            <w:tcW w:w="428"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hyperlink w:anchor="d134419dex51.htm">
              <w:r>
                <w:rPr>
                  <w:rStyle w:val="InternetLink"/>
                </w:rPr>
                <w:t xml:space="preserve">Opinion of NautaDutilh N.V.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23.1</w:t>
            </w:r>
          </w:p>
        </w:tc>
        <w:tc>
          <w:tcPr>
            <w:tcW w:w="428"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hyperlink w:anchor="d134419dex51.htm">
              <w:r>
                <w:rPr>
                  <w:rStyle w:val="InternetLink"/>
                </w:rPr>
                <w:t xml:space="preserve">Consent of NautaDutilh N.V. (contained in Exhibit 5.1).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1"/>
        <w:gridCol w:w="108"/>
        <w:gridCol w:w="393"/>
        <w:gridCol w:w="108"/>
        <w:gridCol w:w="599"/>
        <w:gridCol w:w="108"/>
        <w:gridCol w:w="4478"/>
      </w:tblGrid>
      <w:tr>
        <w:trPr/>
        <w:tc>
          <w:tcPr>
            <w:tcW w:w="441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78" w:type="dxa"/>
            <w:tcBorders/>
            <w:vAlign w:val="center"/>
          </w:tcPr>
          <w:p>
            <w:pPr>
              <w:pStyle w:val="TableContents"/>
              <w:bidi w:val="0"/>
              <w:spacing w:before="0" w:after="283"/>
              <w:jc w:val="left"/>
              <w:rPr>
                <w:sz w:val="4"/>
                <w:szCs w:val="4"/>
              </w:rPr>
            </w:pPr>
            <w:r>
              <w:rPr>
                <w:sz w:val="4"/>
                <w:szCs w:val="4"/>
              </w:rPr>
            </w:r>
          </w:p>
        </w:tc>
      </w:tr>
      <w:tr>
        <w:trPr/>
        <w:tc>
          <w:tcPr>
            <w:tcW w:w="441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85" w:type="dxa"/>
            <w:gridSpan w:val="3"/>
            <w:tcBorders/>
          </w:tcPr>
          <w:p>
            <w:pPr>
              <w:pStyle w:val="TableContents"/>
              <w:bidi w:val="0"/>
              <w:spacing w:before="0" w:after="283"/>
              <w:jc w:val="left"/>
              <w:rPr>
                <w:b/>
              </w:rPr>
            </w:pPr>
            <w:r>
              <w:rPr>
                <w:b/>
              </w:rPr>
              <w:t>PHARVARIS N.V.</w:t>
            </w:r>
          </w:p>
        </w:tc>
      </w:tr>
      <w:tr>
        <w:trPr>
          <w:trHeight w:val="240" w:hRule="atLeast"/>
        </w:trPr>
        <w:tc>
          <w:tcPr>
            <w:tcW w:w="4411" w:type="dxa"/>
            <w:tcBorders/>
            <w:vAlign w:val="center"/>
          </w:tcPr>
          <w:p>
            <w:pPr>
              <w:pStyle w:val="TableContents"/>
              <w:bidi w:val="0"/>
              <w:spacing w:before="0" w:after="283"/>
              <w:jc w:val="left"/>
              <w:rPr>
                <w:sz w:val="4"/>
                <w:szCs w:val="4"/>
              </w:rPr>
            </w:pPr>
            <w:r>
              <w:rPr>
                <w:sz w:val="4"/>
                <w:szCs w:val="4"/>
              </w:rPr>
            </w:r>
          </w:p>
        </w:tc>
        <w:tc>
          <w:tcPr>
            <w:tcW w:w="501" w:type="dxa"/>
            <w:gridSpan w:val="2"/>
            <w:tcBorders/>
            <w:vAlign w:val="center"/>
          </w:tcPr>
          <w:p>
            <w:pPr>
              <w:pStyle w:val="TableContents"/>
              <w:bidi w:val="0"/>
              <w:spacing w:before="0" w:after="283"/>
              <w:jc w:val="left"/>
              <w:rPr>
                <w:sz w:val="4"/>
                <w:szCs w:val="4"/>
              </w:rPr>
            </w:pPr>
            <w:r>
              <w:rPr>
                <w:sz w:val="4"/>
                <w:szCs w:val="4"/>
              </w:rPr>
            </w:r>
          </w:p>
        </w:tc>
        <w:tc>
          <w:tcPr>
            <w:tcW w:w="707" w:type="dxa"/>
            <w:gridSpan w:val="2"/>
            <w:tcBorders/>
            <w:vAlign w:val="center"/>
          </w:tcPr>
          <w:p>
            <w:pPr>
              <w:pStyle w:val="TableContents"/>
              <w:bidi w:val="0"/>
              <w:spacing w:before="0" w:after="283"/>
              <w:jc w:val="left"/>
              <w:rPr>
                <w:sz w:val="4"/>
                <w:szCs w:val="4"/>
              </w:rPr>
            </w:pPr>
            <w:r>
              <w:rPr>
                <w:sz w:val="4"/>
                <w:szCs w:val="4"/>
              </w:rPr>
            </w:r>
          </w:p>
        </w:tc>
        <w:tc>
          <w:tcPr>
            <w:tcW w:w="4586" w:type="dxa"/>
            <w:gridSpan w:val="2"/>
            <w:tcBorders/>
            <w:vAlign w:val="center"/>
          </w:tcPr>
          <w:p>
            <w:pPr>
              <w:pStyle w:val="TableContents"/>
              <w:bidi w:val="0"/>
              <w:spacing w:before="0" w:after="283"/>
              <w:jc w:val="left"/>
              <w:rPr>
                <w:sz w:val="4"/>
                <w:szCs w:val="4"/>
              </w:rPr>
            </w:pPr>
            <w:r>
              <w:rPr>
                <w:sz w:val="4"/>
                <w:szCs w:val="4"/>
              </w:rPr>
            </w:r>
          </w:p>
        </w:tc>
      </w:tr>
      <w:tr>
        <w:trPr/>
        <w:tc>
          <w:tcPr>
            <w:tcW w:w="4411" w:type="dxa"/>
            <w:tcBorders/>
          </w:tcPr>
          <w:p>
            <w:pPr>
              <w:pStyle w:val="TableContents"/>
              <w:bidi w:val="0"/>
              <w:spacing w:before="0" w:after="283"/>
              <w:jc w:val="left"/>
              <w:rPr/>
            </w:pPr>
            <w:r>
              <w:rPr/>
              <w:t>Dated: May 11, 2026</w:t>
            </w:r>
          </w:p>
        </w:tc>
        <w:tc>
          <w:tcPr>
            <w:tcW w:w="108"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47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Berndt Modig</w:t>
            </w:r>
          </w:p>
        </w:tc>
      </w:tr>
      <w:tr>
        <w:trPr/>
        <w:tc>
          <w:tcPr>
            <w:tcW w:w="441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left"/>
              <w:rPr/>
            </w:pPr>
            <w:r>
              <w:rPr/>
              <w:t>Berndt Modig</w:t>
            </w:r>
          </w:p>
        </w:tc>
      </w:tr>
      <w:tr>
        <w:trPr/>
        <w:tc>
          <w:tcPr>
            <w:tcW w:w="441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34419dex11.htm"/>
      <w:bookmarkStart w:id="3" w:name="ksd134419dex11"/>
      <w:bookmarkEnd w:id="2"/>
      <w:bookmarkEnd w:id="3"/>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3,874,664 Ordinary Shares (Nominal Value 0.12 Per Share) </w:t>
      </w:r>
    </w:p>
    <w:p>
      <w:pPr>
        <w:pStyle w:val="TextBody"/>
        <w:bidi w:val="0"/>
        <w:spacing w:before="240" w:after="0"/>
        <w:jc w:val="center"/>
        <w:rPr>
          <w:rFonts w:ascii="Times New Roman" w:hAnsi="Times New Roman"/>
          <w:b/>
          <w:sz w:val="20"/>
        </w:rPr>
      </w:pPr>
      <w:r>
        <w:rPr>
          <w:rFonts w:ascii="Times New Roman" w:hAnsi="Times New Roman"/>
          <w:b/>
          <w:sz w:val="20"/>
        </w:rPr>
        <w:t xml:space="preserve">PHARVARIS N.V.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May 8, 2026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May 8, 2026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240" w:after="0"/>
        <w:jc w:val="left"/>
        <w:rPr>
          <w:rFonts w:ascii="Times New Roman" w:hAnsi="Times New Roman"/>
          <w:b/>
          <w:sz w:val="20"/>
        </w:rPr>
      </w:pPr>
      <w:r>
        <w:rPr>
          <w:rFonts w:ascii="Times New Roman" w:hAnsi="Times New Roman"/>
          <w:b/>
          <w:sz w:val="20"/>
        </w:rPr>
        <w:t xml:space="preserve">As Representatives of the several Underwriters 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Pharvaris N.V., a public company with limited liability </w:t>
      </w:r>
      <w:r>
        <w:rPr>
          <w:rFonts w:ascii="Times New Roman" w:hAnsi="Times New Roman"/>
          <w:i/>
          <w:sz w:val="20"/>
        </w:rPr>
        <w:t xml:space="preserve">(naamloze vennootschap) </w:t>
      </w:r>
      <w:r>
        <w:rPr>
          <w:rFonts w:ascii="Times New Roman" w:hAnsi="Times New Roman"/>
          <w:sz w:val="20"/>
        </w:rPr>
        <w:t>incorporated and existing under the laws of the Netherlands, with its registered seat in Leiden, the Netherlands, registered under number 64239411, with ordinary shares with a nominal value of 0.12 per share (the “</w:t>
      </w:r>
      <w:r>
        <w:rPr>
          <w:rFonts w:ascii="Times New Roman" w:hAnsi="Times New Roman"/>
          <w:b/>
          <w:sz w:val="20"/>
        </w:rPr>
        <w:t>Company</w:t>
      </w:r>
      <w:r>
        <w:rPr>
          <w:rFonts w:ascii="Times New Roman" w:hAnsi="Times New Roman"/>
          <w:sz w:val="20"/>
        </w:rPr>
        <w:t>”), proposes to issue and sell to the several underwriters named in Schedule I hereto (the “</w:t>
      </w:r>
      <w:r>
        <w:rPr>
          <w:rFonts w:ascii="Times New Roman" w:hAnsi="Times New Roman"/>
          <w:b/>
          <w:sz w:val="20"/>
        </w:rPr>
        <w:t>Underwriters</w:t>
      </w:r>
      <w:r>
        <w:rPr>
          <w:rFonts w:ascii="Times New Roman" w:hAnsi="Times New Roman"/>
          <w:sz w:val="20"/>
        </w:rPr>
        <w:t>”), for whom Morgan Stanley &amp; Co. LLC and Leerink Partners LLC are acting, severally and not jointly, as representatives (the “</w:t>
      </w:r>
      <w:r>
        <w:rPr>
          <w:rFonts w:ascii="Times New Roman" w:hAnsi="Times New Roman"/>
          <w:b/>
          <w:sz w:val="20"/>
        </w:rPr>
        <w:t>Representatives</w:t>
      </w:r>
      <w:r>
        <w:rPr>
          <w:rFonts w:ascii="Times New Roman" w:hAnsi="Times New Roman"/>
          <w:sz w:val="20"/>
        </w:rPr>
        <w:t>”), 3,874,664 ordinary shares with a nominal value of 0.12 per share in the capital of the Company (the “</w:t>
      </w:r>
      <w:r>
        <w:rPr>
          <w:rFonts w:ascii="Times New Roman" w:hAnsi="Times New Roman"/>
          <w:b/>
          <w:sz w:val="20"/>
        </w:rPr>
        <w:t>Firm Securities</w:t>
      </w:r>
      <w:r>
        <w:rPr>
          <w:rFonts w:ascii="Times New Roman" w:hAnsi="Times New Roman"/>
          <w:sz w:val="20"/>
        </w:rPr>
        <w:t>”). The Company also proposes to issue and sell to the Underwriters not more than an additional 581,199 ordinary shares with a nominal value of 0.12 per share in the capital of the Company (the “</w:t>
      </w:r>
      <w:r>
        <w:rPr>
          <w:rFonts w:ascii="Times New Roman" w:hAnsi="Times New Roman"/>
          <w:b/>
          <w:sz w:val="20"/>
        </w:rPr>
        <w:t>Additional Shares</w:t>
      </w:r>
      <w:r>
        <w:rPr>
          <w:rFonts w:ascii="Times New Roman" w:hAnsi="Times New Roman"/>
          <w:sz w:val="20"/>
        </w:rPr>
        <w:t>”), if and to the extent that the Representatives of the offering shall have determined to exercise, on behalf of the Underwriters, the right to purchase such ordinary shares granted to the Underwriters in Section 2 hereof. The Firm Securities and the Additional Shares are hereinafter collectively referred to as the “</w:t>
      </w:r>
      <w:r>
        <w:rPr>
          <w:rFonts w:ascii="Times New Roman" w:hAnsi="Times New Roman"/>
          <w:b/>
          <w:sz w:val="20"/>
        </w:rPr>
        <w:t>Securities</w:t>
      </w:r>
      <w:r>
        <w:rPr>
          <w:rFonts w:ascii="Times New Roman" w:hAnsi="Times New Roman"/>
          <w:sz w:val="20"/>
        </w:rPr>
        <w:t>.” The ordinary shares with a nominal value of 0.12 per share in the capital of the Company to be outstanding after giving effect to the issuance and sales contemplated hereby are hereinafter referred to as the “</w:t>
      </w:r>
      <w:r>
        <w:rPr>
          <w:rFonts w:ascii="Times New Roman" w:hAnsi="Times New Roman"/>
          <w:b/>
          <w:sz w:val="20"/>
        </w:rPr>
        <w:t>Ordinary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 registration statement on Form F-3 (File No. 333-278650), including a prospectus, relating to the securities, including the Securities, to be issued from time to time by the Company. Such registration statement, as amended to the date of this underwriting agreement (the “</w:t>
      </w:r>
      <w:r>
        <w:rPr>
          <w:rFonts w:ascii="Times New Roman" w:hAnsi="Times New Roman"/>
          <w:b/>
          <w:sz w:val="20"/>
        </w:rPr>
        <w:t>Agreement</w:t>
      </w:r>
      <w:r>
        <w:rPr>
          <w:rFonts w:ascii="Times New Roman" w:hAnsi="Times New Roman"/>
          <w:sz w:val="20"/>
        </w:rPr>
        <w:t>”), including the information (if any) deemed to be part of the registration statement at the time of effectiveness pursuant to Rule 430B under the Securities Act of 1933, as amended (the “</w:t>
      </w:r>
      <w:r>
        <w:rPr>
          <w:rFonts w:ascii="Times New Roman" w:hAnsi="Times New Roman"/>
          <w:b/>
          <w:sz w:val="20"/>
        </w:rPr>
        <w:t>Securities Act</w:t>
      </w:r>
      <w:r>
        <w:rPr>
          <w:rFonts w:ascii="Times New Roman" w:hAnsi="Times New Roman"/>
          <w:sz w:val="20"/>
        </w:rPr>
        <w:t>”), is hereinafter referred to as the “</w:t>
      </w:r>
      <w:r>
        <w:rPr>
          <w:rFonts w:ascii="Times New Roman" w:hAnsi="Times New Roman"/>
          <w:b/>
          <w:sz w:val="20"/>
        </w:rPr>
        <w:t>Registration Statement</w:t>
      </w:r>
      <w:r>
        <w:rPr>
          <w:rFonts w:ascii="Times New Roman" w:hAnsi="Times New Roman"/>
          <w:sz w:val="20"/>
        </w:rPr>
        <w:t>.” The prospectus filed as part of the Registration Statement and relating to the Securities is hereinafter called the “</w:t>
      </w:r>
      <w:r>
        <w:rPr>
          <w:rFonts w:ascii="Times New Roman" w:hAnsi="Times New Roman"/>
          <w:b/>
          <w:sz w:val="20"/>
        </w:rPr>
        <w:t>Base Prospectus</w:t>
      </w:r>
      <w:r>
        <w:rPr>
          <w:rFonts w:ascii="Times New Roman" w:hAnsi="Times New Roman"/>
          <w:sz w:val="20"/>
        </w:rPr>
        <w:t>.” The form of the final prospectus relating to the Securities filed with the Commission pursuant to Rule 424(b) under the Securities Act is hereinafter called the “</w:t>
      </w:r>
      <w:r>
        <w:rPr>
          <w:rFonts w:ascii="Times New Roman" w:hAnsi="Times New Roman"/>
          <w:b/>
          <w:sz w:val="20"/>
        </w:rPr>
        <w:t>Prospectus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free writing prospectus</w:t>
      </w:r>
      <w:r>
        <w:rPr>
          <w:rFonts w:ascii="Times New Roman" w:hAnsi="Times New Roman"/>
          <w:sz w:val="20"/>
        </w:rPr>
        <w:t>” has the meaning set forth in Rule 405 under the Securities Act; “</w:t>
      </w:r>
      <w:r>
        <w:rPr>
          <w:rFonts w:ascii="Times New Roman" w:hAnsi="Times New Roman"/>
          <w:b/>
          <w:sz w:val="20"/>
        </w:rPr>
        <w:t>Time of Sale Prospectus</w:t>
      </w:r>
      <w:r>
        <w:rPr>
          <w:rFonts w:ascii="Times New Roman" w:hAnsi="Times New Roman"/>
          <w:sz w:val="20"/>
        </w:rPr>
        <w:t>” means the Base Prospectus together with the free writing prospectuses, if any, each identified in Schedule II hereto and the pricing information set forth in Schedule II hereto; and “</w:t>
      </w:r>
      <w:r>
        <w:rPr>
          <w:rFonts w:ascii="Times New Roman" w:hAnsi="Times New Roman"/>
          <w:b/>
          <w:sz w:val="20"/>
        </w:rPr>
        <w:t>broadly available road show</w:t>
      </w:r>
      <w:r>
        <w:rPr>
          <w:rFonts w:ascii="Times New Roman" w:hAnsi="Times New Roman"/>
          <w:sz w:val="20"/>
        </w:rPr>
        <w:t>” means a “bona fide electronic road show” as defined in Rule 433(h)(5) under the Securities Act that has been made available without restriction to any person. As used herein, the terms Registration Statement, Time of Sale Prospectus and Prospectus shall include the documents, if any, incorporated by reference therein as of the date hereof. The terms “</w:t>
      </w:r>
      <w:r>
        <w:rPr>
          <w:rFonts w:ascii="Times New Roman" w:hAnsi="Times New Roman"/>
          <w:b/>
          <w:sz w:val="20"/>
        </w:rPr>
        <w:t>supplement</w:t>
      </w:r>
      <w:r>
        <w:rPr>
          <w:rFonts w:ascii="Times New Roman" w:hAnsi="Times New Roman"/>
          <w:sz w:val="20"/>
        </w:rPr>
        <w:t>,” “</w:t>
      </w:r>
      <w:r>
        <w:rPr>
          <w:rFonts w:ascii="Times New Roman" w:hAnsi="Times New Roman"/>
          <w:b/>
          <w:sz w:val="20"/>
        </w:rPr>
        <w:t>amendment</w:t>
      </w:r>
      <w:r>
        <w:rPr>
          <w:rFonts w:ascii="Times New Roman" w:hAnsi="Times New Roman"/>
          <w:sz w:val="20"/>
        </w:rPr>
        <w:t>” and “</w:t>
      </w:r>
      <w:r>
        <w:rPr>
          <w:rFonts w:ascii="Times New Roman" w:hAnsi="Times New Roman"/>
          <w:b/>
          <w:sz w:val="20"/>
        </w:rPr>
        <w:t>amend</w:t>
      </w:r>
      <w:r>
        <w:rPr>
          <w:rFonts w:ascii="Times New Roman" w:hAnsi="Times New Roman"/>
          <w:sz w:val="20"/>
        </w:rPr>
        <w:t>” as used herein with respect to (a) the Time of Sale Prospectus or the Prospectus shall include any post-effective amendment to the Registration Statement, any prospectus supplement relating to the Securities filed with the Commission pursuant to Rule 424(b) under the Securities Act and all documents subsequently filed by the Company with the Commission pursuant to the Securities Exchange Act of 1934, as amended (the “</w:t>
      </w:r>
      <w:r>
        <w:rPr>
          <w:rFonts w:ascii="Times New Roman" w:hAnsi="Times New Roman"/>
          <w:b/>
          <w:sz w:val="20"/>
        </w:rPr>
        <w:t>Exchange Act</w:t>
      </w:r>
      <w:r>
        <w:rPr>
          <w:rFonts w:ascii="Times New Roman" w:hAnsi="Times New Roman"/>
          <w:sz w:val="20"/>
        </w:rPr>
        <w:t xml:space="preserve">”), that are deemed to be incorporated by reference therein, in each case after the date of the Base Prospectus or the Prospectus, as the case may be and (b) the Registration Statement shall be deemed to refer to and include any annual report of the Company filed pursuant to Section 13(a) or 15(d) of the Exchange Act after the effective date of the Registration Statement that is incorporated by reference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w:t>
      </w:r>
      <w:r>
        <w:rPr>
          <w:rFonts w:ascii="Times New Roman" w:hAnsi="Times New Roman"/>
          <w:sz w:val="20"/>
        </w:rPr>
        <w:t xml:space="preserve">.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has become effective; no stop order suspending the effectiveness of the Registration Statement is in effect, and no proceedings for such purpose or pursuant to Section 8A under the Securities Act are pending before or, the Company’s knowledge,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 or supplemented, if applicable, will comply, as of the date of such amendment or supplement, in all material respects with the Securities Act and the applicable rules and regulations of the Commission thereunder, (v) the Time of Sale Prospectus does not, and at the time of each sale of the Securities in connection with the offering when the Prospectus is not yet available to prospective purchasers and at the Closing Date (as defined in Section 4), the Time of Sale Prospectus, as then amended or supplemented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(vii) the Prospectus, as of its date, does not contain and, as amended or supplemented, if applicable, will not contain, as of the date of such amendment or supplement,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or on their behalf expressly for use therein. </w:t>
      </w:r>
    </w:p>
    <w:p>
      <w:pPr>
        <w:pStyle w:val="TextBody"/>
        <w:bidi w:val="0"/>
        <w:spacing w:before="120" w:after="0"/>
        <w:jc w:val="left"/>
        <w:rPr>
          <w:rFonts w:ascii="Times New Roman" w:hAnsi="Times New Roman"/>
          <w:sz w:val="20"/>
        </w:rPr>
      </w:pPr>
      <w:r>
        <w:rPr>
          <w:rFonts w:ascii="Times New Roman" w:hAnsi="Times New Roman"/>
          <w:sz w:val="20"/>
        </w:rPr>
        <w:t xml:space="preserve">(c) (i) At the earliest time after the filing of the Registration Statement that the Company or another offering participant made a bona fide offer (within the meaning of Rule 164(h)(2) under the Securities Act) of the Securities and (ii) as of the date hereof,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Underwriters before first use, the Company has not prepared, used or referred to, and will not, without the Representatives’ prior consent, prepare, use or refer to, any free writing prospectus. </w:t>
      </w:r>
    </w:p>
    <w:p>
      <w:pPr>
        <w:pStyle w:val="TextBody"/>
        <w:bidi w:val="0"/>
        <w:spacing w:before="120" w:after="0"/>
        <w:jc w:val="left"/>
        <w:rPr>
          <w:rFonts w:ascii="Times New Roman" w:hAnsi="Times New Roman"/>
          <w:sz w:val="20"/>
        </w:rPr>
      </w:pPr>
      <w:r>
        <w:rPr>
          <w:rFonts w:ascii="Times New Roman" w:hAnsi="Times New Roman"/>
          <w:sz w:val="20"/>
        </w:rPr>
        <w:t>(d) The Company has been duly incorporated as a private company with limited liability (</w:t>
      </w:r>
      <w:r>
        <w:rPr>
          <w:rFonts w:ascii="Times New Roman" w:hAnsi="Times New Roman"/>
          <w:i/>
          <w:sz w:val="20"/>
        </w:rPr>
        <w:t>besloten vennootschap met beperkte aansprakelijkheid</w:t>
      </w:r>
      <w:r>
        <w:rPr>
          <w:rFonts w:ascii="Times New Roman" w:hAnsi="Times New Roman"/>
          <w:sz w:val="20"/>
        </w:rPr>
        <w:t>) and is currently validly existing as a public company with limited liability (</w:t>
      </w:r>
      <w:r>
        <w:rPr>
          <w:rFonts w:ascii="Times New Roman" w:hAnsi="Times New Roman"/>
          <w:i/>
          <w:sz w:val="20"/>
        </w:rPr>
        <w:t>naamloze vennootschap</w:t>
      </w:r>
      <w:r>
        <w:rPr>
          <w:rFonts w:ascii="Times New Roman" w:hAnsi="Times New Roman"/>
          <w:sz w:val="20"/>
        </w:rPr>
        <w:t xml:space="preserve">) under the laws of the Netherlands, has the corporate power and authority to own or lease its property and to conduct its business as described in each of the Registration Statement, the Time of Sale Prospectus and the Prospectus and is duly qualified to transact business in each jurisdiction in which the conduct of its business or its ownership or leasing of property requires such qualification, except to the extent that the failure to be so qualified would not, singly or in the aggregate, have a material adverse effect on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subsidiary of the Company has been duly incorporated, organized or formed, is validly existing as a corporation or other business entity in good standing (to the extent the concept of good standing is applicable in such jurisdiction) under the laws of the jurisdiction of its incorporation, organization or formation, as applicable,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(to the extent the concept of good standing is applicable in such jurisdiction) in each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(to the extent such concepts are applicable under relevant law) and are owned directly or indirectly by the Company, free and clear of all liens, encumbrances, equities or claims. </w:t>
      </w:r>
    </w:p>
    <w:p>
      <w:pPr>
        <w:pStyle w:val="TextBody"/>
        <w:bidi w:val="0"/>
        <w:spacing w:before="120" w:after="0"/>
        <w:jc w:val="left"/>
        <w:rPr>
          <w:rFonts w:ascii="Times New Roman" w:hAnsi="Times New Roman"/>
          <w:sz w:val="20"/>
        </w:rPr>
      </w:pPr>
      <w:r>
        <w:rPr>
          <w:rFonts w:ascii="Times New Roman" w:hAnsi="Times New Roman"/>
          <w:sz w:val="20"/>
        </w:rPr>
        <w:t xml:space="preserve">(f)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(g) The authorized, issued and outstanding share capital of the Company (including the Securities) conform in all material respects as to legal matters to the description thereof contained in each of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(h) The Ordinary Shares in the capital of the Company outstanding immediately prior to the issuance of the Securities have been duly authorized and are validly issued, fully paid and non-assessable (meaning that the holders of the Ordinary Shares will not, by reason of merely being such a holder, be subject to assessment or calls by the Company or its creditors for further payment on such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(i) The Securities have been duly authorized and, when issued, delivered and paid for in accordance with the terms of this Agreement, will be validly issued, fully paid and non-assessable (meaning that the holders of the Ordinary Shares will not, by reason of merely being such a holder, be subject to assessment or calls by the Company or its creditors for further payment on such Ordinary Shares), and any preemptive or similar rights with respect to the issuance of the Securities are validly excluded. </w:t>
      </w:r>
    </w:p>
    <w:p>
      <w:pPr>
        <w:pStyle w:val="TextBody"/>
        <w:bidi w:val="0"/>
        <w:spacing w:before="120" w:after="0"/>
        <w:jc w:val="left"/>
        <w:rPr>
          <w:rFonts w:ascii="Times New Roman" w:hAnsi="Times New Roman"/>
          <w:sz w:val="20"/>
        </w:rPr>
      </w:pPr>
      <w:r>
        <w:rPr>
          <w:rFonts w:ascii="Times New Roman" w:hAnsi="Times New Roman"/>
          <w:sz w:val="20"/>
        </w:rPr>
        <w:t>(j) The execution and delivery by the Company of, and the performance by the Company of its obligations under, this Agreement will not contravene any provision of (i) applicable law or any judgment, order or decree of any governmental body, agency or court having jurisdiction over the Company or any subsidiary, (ii) the articles of association or by-laws or analogous governing instruments, as applicable) of the Company or (iii) any agreement or other instrument binding upon the Company or any of its subsidiaries that is material to the Company and its subsidiaries, taken as a whole, except in the cases (i) and (iii) for such contraventions that would not, individually or in the aggregate, have a material adverse effect on the Company and its subsidiaries, taken as a whole. No consent, approval, authorization or order of, or qualification with, any governmental body, agency or court is required for the performance by the Company of its obligations under this Agreement, except such as has previously been obtained and such as may be required by the securities or Blue Sky laws of the various states or the rules and regulations of the Financial Industry Regulatory Authority (“</w:t>
      </w:r>
      <w:r>
        <w:rPr>
          <w:rFonts w:ascii="Times New Roman" w:hAnsi="Times New Roman"/>
          <w:b/>
          <w:sz w:val="20"/>
        </w:rPr>
        <w:t>FINRA</w:t>
      </w:r>
      <w:r>
        <w:rPr>
          <w:rFonts w:ascii="Times New Roman" w:hAnsi="Times New Roman"/>
          <w:sz w:val="20"/>
        </w:rPr>
        <w:t xml:space="preserve">”) in connection with the offer and sale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(l) 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have a material adverse effect on the Company and its subsidiaries, taken as a whole, or a material adverse effect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to which the Company or any of its subsidiaries is subject or by which the Company or any of its subsidiaries is bound that are required to be described in the Registration Statement, the Time of Sale Prospectus or the Prospectus or to be filed as exhibits to the Registration Statement that are not described in all material respects or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(m) [Reserved]. </w:t>
      </w:r>
    </w:p>
    <w:p>
      <w:pPr>
        <w:pStyle w:val="TextBody"/>
        <w:bidi w:val="0"/>
        <w:spacing w:before="120" w:after="0"/>
        <w:jc w:val="left"/>
        <w:rPr>
          <w:rFonts w:ascii="Times New Roman" w:hAnsi="Times New Roman"/>
          <w:sz w:val="20"/>
        </w:rPr>
      </w:pPr>
      <w:r>
        <w:rPr>
          <w:rFonts w:ascii="Times New Roman" w:hAnsi="Times New Roman"/>
          <w:sz w:val="20"/>
        </w:rPr>
        <w:t xml:space="preserve">(n) 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(o) Except as would not singly or in the aggregate have a material adverse effect on the Company and its subsidiaries, taken as a whole, (i) the Company and each of its subsidiaries (w) are in compliance with any and all applicable foreign, federal, state and local laws and rules, regulations, requirements, decisions, orders, decrees, consents and other legally enforceable requirements relating to the protection of the environment, hazardous or toxic substances, wastes, pollutants, chemicals, or contaminants or human health and safety (collectively, “</w:t>
      </w:r>
      <w:r>
        <w:rPr>
          <w:rFonts w:ascii="Times New Roman" w:hAnsi="Times New Roman"/>
          <w:b/>
          <w:sz w:val="20"/>
        </w:rPr>
        <w:t>Environmental Laws</w:t>
      </w:r>
      <w:r>
        <w:rPr>
          <w:rFonts w:ascii="Times New Roman" w:hAnsi="Times New Roman"/>
          <w:sz w:val="20"/>
        </w:rPr>
        <w:t xml:space="preserve">”), (x) have received all permits, licenses or other approvals required of them under applicable Environmental Laws to conduct their respective businesses, (y) are in compliance with all terms and conditions of any such permit, license or approval, and (z) have not received notice of any actual or potential violation, liability or obligation, and there are no pending or to the Company’s knowledge, threatened complaint, action, suit, proceeding investigation or claim, under or relating to Environmental Laws, and (ii) there are no costs, obligations or liabilities associated with or arising under Environmental Laws of or relating to the Company or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(q) Except as described in each of the Registration Statement, the Prospectus or the Time of Sale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(r) (i) None of the Company or any of its subsidiaries or controlled affiliates, or, to the Company’s knowledge, any director, officer, employee thereof,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w:t>
      </w:r>
    </w:p>
    <w:p>
      <w:pPr>
        <w:pStyle w:val="TextBody"/>
        <w:bidi w:val="0"/>
        <w:spacing w:before="120" w:after="0"/>
        <w:jc w:val="left"/>
        <w:rPr>
          <w:rFonts w:ascii="Times New Roman" w:hAnsi="Times New Roman"/>
          <w:sz w:val="20"/>
        </w:rPr>
      </w:pPr>
      <w:r>
        <w:rPr>
          <w:rFonts w:ascii="Times New Roman" w:hAnsi="Times New Roman"/>
          <w:sz w:val="20"/>
        </w:rPr>
        <w:t>(s)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 (i) None of the Company, any of its subsidiaries, or any director, officer, or employee thereof, or, to the Company’s knowledge, any agent, affiliate or representative of the Company or any of its subsidiaries, is an individual or entity (“</w:t>
      </w:r>
      <w:r>
        <w:rPr>
          <w:rFonts w:ascii="Times New Roman" w:hAnsi="Times New Roman"/>
          <w:b/>
          <w:sz w:val="20"/>
        </w:rPr>
        <w:t>Person</w:t>
      </w:r>
      <w:r>
        <w:rPr>
          <w:rFonts w:ascii="Times New Roman" w:hAnsi="Times New Roman"/>
          <w:sz w:val="20"/>
        </w:rPr>
        <w:t xml:space="preserve">”) that is, or is owned or controlled by one or more Persons that are: </w:t>
      </w:r>
    </w:p>
    <w:p>
      <w:pPr>
        <w:pStyle w:val="TextBody"/>
        <w:bidi w:val="0"/>
        <w:spacing w:before="120" w:after="0"/>
        <w:jc w:val="left"/>
        <w:rPr>
          <w:rFonts w:ascii="Times New Roman" w:hAnsi="Times New Roman"/>
          <w:sz w:val="20"/>
        </w:rPr>
      </w:pPr>
      <w:r>
        <w:rPr>
          <w:rFonts w:ascii="Times New Roman" w:hAnsi="Times New Roman"/>
          <w:sz w:val="20"/>
        </w:rPr>
        <w:t>(A)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located, organized or resident in a country or territory that is the subject of Sanctions (including, without limitation, the non-government controlled areas of the Zaporizhzhia and Kherson Regions of Ukraine, the so-called Donetsk People’s Republic, the so-called Luhansk People’s Republic and any other Covered Region of Ukraine identified pursuant to Executive Order 14065, Crimea, Cuba, Iran, North Korea, and Syria).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will not, directly or indirectly, use the proceeds of the offering, or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(A) to fund or facilitate any activities or business of or with any Person or in any country or territory that, at the time of such funding or facilitation, is the subject of Sanctions; or </w:t>
      </w:r>
    </w:p>
    <w:p>
      <w:pPr>
        <w:pStyle w:val="TextBody"/>
        <w:bidi w:val="0"/>
        <w:spacing w:before="120" w:after="0"/>
        <w:jc w:val="left"/>
        <w:rPr>
          <w:rFonts w:ascii="Times New Roman" w:hAnsi="Times New Roman"/>
          <w:sz w:val="20"/>
        </w:rPr>
      </w:pPr>
      <w:r>
        <w:rPr>
          <w:rFonts w:ascii="Times New Roman" w:hAnsi="Times New Roman"/>
          <w:sz w:val="20"/>
        </w:rPr>
        <w:t xml:space="preserve">(B) in any other manner that will result in a violation of Sanctions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and each of its subsidiaries have not knowingly engaged in, are not now knowingly engaged in, and will not knowingly engage in, any dealings or transactions with any Person, or in any country or territory, that at the time of the dealing or transaction is or was the subject of Sanctions. </w:t>
      </w:r>
    </w:p>
    <w:p>
      <w:pPr>
        <w:pStyle w:val="TextBody"/>
        <w:bidi w:val="0"/>
        <w:spacing w:before="120" w:after="0"/>
        <w:jc w:val="left"/>
        <w:rPr>
          <w:rFonts w:ascii="Times New Roman" w:hAnsi="Times New Roman"/>
          <w:sz w:val="20"/>
        </w:rPr>
      </w:pPr>
      <w:r>
        <w:rPr>
          <w:rFonts w:ascii="Times New Roman" w:hAnsi="Times New Roman"/>
          <w:sz w:val="20"/>
        </w:rPr>
        <w:t xml:space="preserve">(iv) Any provision of this Section 1(t) shall not apply if and to the extent it is unenforceable as a result of any applicable provision of Council Regulation (EC) No 2271/1996 of 22 November 1996, as amended, recast and/or restated from time to time, (or any law or regulation implementing such Regulation in an EEA member state) or any similar blocking or anti-boycott law, regulation or statute in force from time to time, and, in such case, the enforceability of this Section 1(t) shall not otherwise be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 (iii) there has not been any material change in the share capital, short-term debt or long-term debt of the Company and its subsidiaries, taken as a whole, other than in connection with the exercise or forfeiture of equity awards outstanding on such respective dates as of which information is given in each of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(v) The Company and each of its subsidiaries have good and marketable title to all real property and good and marketable title to all personal property owned by them which is material to the business of the Company and its subsidiaries, taken as a whole, in each case free and clear of all liens, encumbrances and defects except such as do not have a material adverse effect on the Company and its subsidiaries taken as a whole and except for the bank accounts of the Company to which standard bank conditions apply; and any real property and buildings held under lease by the Company and its subsidiaries are held by them under valid, subsisting and enforceable leases, except as would not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(w) (i) Except as would not have a material adverse effect on the Company and its subsidiaries taken as a whole, the Company and its subsidiaries solely and exclusively own or have a valid, enforceable and exclusive license to all patents, inventions, copyrights, know how (including trade secrets and other unpatented and/or unpatentable proprietary or confidential information or procedures), trademarks, service marks, trade names and all other intellectual property and similar proprietary rights (including all registrations and applications for registration of, and all goodwill associated with, any of the foregoing, as applicable) (collectively, “</w:t>
      </w:r>
      <w:r>
        <w:rPr>
          <w:rFonts w:ascii="Times New Roman" w:hAnsi="Times New Roman"/>
          <w:b/>
          <w:sz w:val="20"/>
        </w:rPr>
        <w:t>Intellectual Property Rights</w:t>
      </w:r>
      <w:r>
        <w:rPr>
          <w:rFonts w:ascii="Times New Roman" w:hAnsi="Times New Roman"/>
          <w:sz w:val="20"/>
        </w:rPr>
        <w:t xml:space="preserve">”) required for the conduct of their businesses as presently conducted or as currently anticipated to be conducted; (ii) except as would not have a material adverse effect on the Company and its subsidiaries taken as a whole, the Intellectual Property Rights owned by the Company or any of its subsidiaries and, to the Company’s knowledge, the Intellectual Property Rights licensed to the Company or any of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written notice alleging any infringement, misappropriation or other violation of Intellectual Property Rights by the Company or any of its subsidiaries which, singly or in the aggregate, if the subject of an unfavorable decision, ruling or finding, would have a material adverse effect on the Company and its subsidiaries, taken as a whole; (iv) except as would not have a material adverse effect on the Company and its subsidiaries taken as a whole, to the Company’s knowledge, no third party is infringing, misappropriating or otherwise violating, or has infringed, misappropriated or otherwise violated, any Intellectual Property Rights owned or controlled by the Company or any of its subsidiaries; (v) to the Company’s knowledge, neither the Company nor any of its subsidiaries infringes, misappropriates or otherwise violates, or has infringed, misappropriated or otherwise violated, any valid Intellectual Property Rights of any third party; (vi) all employees or contractors engaged in the development of Intellectual Property Rights on behalf of the Company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subsidiary of the Company have executed an invention assignment agreement whereby such employees or contractors presently assign all of their right, title and interest in and to such Intellectual Property Rights to the Company or any of its subsidiaries, and to the Company’s knowledge no such agreement has been breached or violated; and (vii) the Company and its subsidiaries use, and have used, commercially reasonable efforts to appropriately maintain all information intended to be maintained as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(x) Any statistical and market-related data included in the Registration Statement, the Time of Sale Prospectus or the Prospectus are based on or derived from sources that the Company believes, after reasonable inquiry, to be reliable and accurate in all material respects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(y) Except as would not have a material adverse effect on the Company and its subsidiaries, taken as a whole, (i) to the Company’s knowledge, the Company and each of its subsidiaries have complied and are presently in compliance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hAnsi="Times New Roman"/>
          <w:b/>
          <w:sz w:val="20"/>
        </w:rPr>
        <w:t>Data Security Obligations</w:t>
      </w:r>
      <w:r>
        <w:rPr>
          <w:rFonts w:ascii="Times New Roman" w:hAnsi="Times New Roman"/>
          <w:sz w:val="20"/>
        </w:rPr>
        <w:t>”, and such data, “</w:t>
      </w:r>
      <w:r>
        <w:rPr>
          <w:rFonts w:ascii="Times New Roman" w:hAnsi="Times New Roman"/>
          <w:b/>
          <w:sz w:val="20"/>
        </w:rPr>
        <w:t>Data</w:t>
      </w:r>
      <w:r>
        <w:rPr>
          <w:rFonts w:ascii="Times New Roman" w:hAnsi="Times New Roman"/>
          <w:sz w:val="20"/>
        </w:rPr>
        <w:t xml:space="preserve">”); (ii) neither the Company nor any of its subsidiaries has received any notification of or complaint regarding, or is otherwise aware of any other facts that, individually or in the aggregate, would reasonably indicate non-compliance with any Data Security Obligation; and (iii) there is no action, suit, or proceeding by or before any court or governmental agency, authority or body pending or, to the Company’s knowledge, threatened against the Company or any of its subsidiaries alleging non-compliance with any Data Security Obligation. </w:t>
      </w:r>
    </w:p>
    <w:p>
      <w:pPr>
        <w:pStyle w:val="TextBody"/>
        <w:bidi w:val="0"/>
        <w:spacing w:before="120" w:after="0"/>
        <w:jc w:val="left"/>
        <w:rPr>
          <w:rFonts w:ascii="Times New Roman" w:hAnsi="Times New Roman"/>
          <w:sz w:val="20"/>
        </w:rPr>
      </w:pPr>
      <w:r>
        <w:rPr>
          <w:rFonts w:ascii="Times New Roman" w:hAnsi="Times New Roman"/>
          <w:sz w:val="20"/>
        </w:rPr>
        <w:t>(z) To the Company’s knowledge, the Company’s and its subsidiaries’ information technology assets and equipment, computers, systems, networks, hardware, software, internet websites, applications and data and databases (including those maintained on behalf of the Company and its subsidiaries by third party vendors) (collectively, “</w:t>
      </w:r>
      <w:r>
        <w:rPr>
          <w:rFonts w:ascii="Times New Roman" w:hAnsi="Times New Roman"/>
          <w:b/>
          <w:sz w:val="20"/>
        </w:rPr>
        <w:t>IT Systems</w:t>
      </w:r>
      <w:r>
        <w:rPr>
          <w:rFonts w:ascii="Times New Roman" w:hAnsi="Times New Roman"/>
          <w:sz w:val="20"/>
        </w:rPr>
        <w:t xml:space="preserve">”) are adequate for, and operate and perform in all material respects as required in all material respects in connection with, the operation of the business of the Company and its subsidiaries, as it is currently conducted, free and clear of all material bugs, errors, defects, Trojan horses, time bombs, malware and other corruptants. The Company and each of its subsidiaries have taken all commercially reasonable technical and organizational measures reasonably necessary to protect the IT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data protection and business continuity/disaster recovery controls, policies and procedures, that are designed to protect against and prevent breach, destruction, loss, unauthorized distribution, use, access, disablement, misappropriation or modification,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compromise or misuse of or relating to any IT Systems or Data used in connection with the operation of the Company’s and its subsidiaries’ businesses and any other data security incident or data breach as defined by Data Security Obligations (“</w:t>
      </w:r>
      <w:r>
        <w:rPr>
          <w:rFonts w:ascii="Times New Roman" w:hAnsi="Times New Roman"/>
          <w:b/>
          <w:sz w:val="20"/>
        </w:rPr>
        <w:t>Breach</w:t>
      </w:r>
      <w:r>
        <w:rPr>
          <w:rFonts w:ascii="Times New Roman" w:hAnsi="Times New Roman"/>
          <w:sz w:val="20"/>
        </w:rPr>
        <w:t xml:space="preserve">”). To the Company’s knowledge, there has been no such Breach, and the Company and its subsidiaries have not been notified in writing of and have no knowledge of any event or condition that would reasonably be expected to result in, any such Breach. </w:t>
      </w:r>
    </w:p>
    <w:p>
      <w:pPr>
        <w:pStyle w:val="TextBody"/>
        <w:bidi w:val="0"/>
        <w:spacing w:before="120" w:after="0"/>
        <w:jc w:val="left"/>
        <w:rPr>
          <w:rFonts w:ascii="Times New Roman" w:hAnsi="Times New Roman"/>
          <w:sz w:val="20"/>
        </w:rPr>
      </w:pPr>
      <w:r>
        <w:rPr>
          <w:rFonts w:ascii="Times New Roman" w:hAnsi="Times New Roman"/>
          <w:sz w:val="20"/>
        </w:rPr>
        <w:t xml:space="preserve">(aa)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(bb) The Company and each of its subsidiaries are insured by insurers of recognized financial responsibility against such losses and risks and in such amounts as the Company believes are prudent and customary in the businesses in which they are engaged, except where the failure to be insured would not, individually or in the aggregate, have a material adverse effect on the Company and its subsidiaries, taken as a whole;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(cc) Except as would not have a material adverse effect on the Company and its subsidiaries, taken as a whole, the Company and each of its subsidiaries possess all certificates, authorizations and permits issued by the appropriate federal, state or foreign regulatory authorities necessary to conduct their respective businesses as currently conducted. Neither the Company nor any of its subsidiaries has received any written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(dd) [Reserved]. </w:t>
      </w:r>
    </w:p>
    <w:p>
      <w:pPr>
        <w:pStyle w:val="TextBody"/>
        <w:bidi w:val="0"/>
        <w:spacing w:before="120" w:after="0"/>
        <w:jc w:val="left"/>
        <w:rPr>
          <w:rFonts w:ascii="Times New Roman" w:hAnsi="Times New Roman"/>
          <w:sz w:val="20"/>
        </w:rPr>
      </w:pPr>
      <w:r>
        <w:rPr>
          <w:rFonts w:ascii="Times New Roman" w:hAnsi="Times New Roman"/>
          <w:sz w:val="20"/>
        </w:rPr>
        <w:t>(ee) The Company and its subsidiaries have operated at all times and are currently in compliance in all material respects with all applicable Health Care Laws (as defined herein), including all statutes, rules, regulations and policies administered by the U.S. Food and Drug Administration (the “</w:t>
      </w:r>
      <w:r>
        <w:rPr>
          <w:rFonts w:ascii="Times New Roman" w:hAnsi="Times New Roman"/>
          <w:b/>
          <w:sz w:val="20"/>
        </w:rPr>
        <w:t>FDA</w:t>
      </w:r>
      <w:r>
        <w:rPr>
          <w:rFonts w:ascii="Times New Roman" w:hAnsi="Times New Roman"/>
          <w:sz w:val="20"/>
        </w:rPr>
        <w:t>”) and comparable foreign regulatory authorities, including the European Medicines Agency and the UK Medicines &amp; Healthcare products Regulatory Agency (collectively, the “</w:t>
      </w:r>
      <w:r>
        <w:rPr>
          <w:rFonts w:ascii="Times New Roman" w:hAnsi="Times New Roman"/>
          <w:b/>
          <w:sz w:val="20"/>
        </w:rPr>
        <w:t>Regulatory Authorities</w:t>
      </w:r>
      <w:r>
        <w:rPr>
          <w:rFonts w:ascii="Times New Roman" w:hAnsi="Times New Roman"/>
          <w:sz w:val="20"/>
        </w:rPr>
        <w:t>”) and all other local, state, federal, national, supranational and foreign laws, relating to the regulation of the Company or its subsidiaries and the ownership, testing, development, manufacture, packaging, processing, use, distribution, marketing, labeling, promotion, sale, offer for sale, storage, import, export or disposal of any product under development, manufactured or distributed by the Company (“</w:t>
      </w:r>
      <w:r>
        <w:rPr>
          <w:rFonts w:ascii="Times New Roman" w:hAnsi="Times New Roman"/>
          <w:b/>
          <w:sz w:val="20"/>
        </w:rPr>
        <w:t>Health Care Laws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 Except as would not have a material adverse effect on the Company and its subsidiaries, taken as a whole, (i) the studies, tests and preclinical and clinical trials conducted by or on behalf of or sponsored by the Company or its subsidiaries or in which the Company or its subsidiaries have participated, that are described in the Registration Statement, the Time of Sale Prospectus and the Prospectus, or the results of which are referred to in the Registration Statement, the Time of Sale Prospectus and the Prospectus, as applicable, were, and if still pending are, being conducted in accordance with standard medical and experimental protocols, procedures and controls pursuant to accepted professional scientific research standards and procedures, and all applicable Health Care Laws, the rules and regulations of the Regulatory Authorities and applicable good clinical practices and good laboratory practices; (ii) the descriptions of the results of such studies and trials contained in the Registration Statement, the Time of Sale Prospectus or the Prospectus are accurate and complete in all material respects and fairly present the data derived from such trials and studies; (iii) the Company has no knowledge of any other studies or trials not described in the Registration Statement, the Time of Sale Prospectus and the Prospectus, the results of which are inconsistent with or call into question the results described or referred to in the Registration Statement, the Time of Sale Prospectus and the Prospectus; (iv) the Company has provided the Underwriters with all substantive written notices and correspondence provided to the Company or its subsidiaries from the Regulatory Authorities; and (v) neither the Company nor any of its subsidiaries have received any written notices, correspondence or other communications from the Regulatory Authorities requiring or threatening the termination, modification or suspension of any pre-clinical studies or clinical trials that are described in the Registration Statement, the Time of Sale Prospectus and the Prospectus or the results of which are referred to in the Registration Statement, the Time of Sale Prospectus and the Prospectus, other than ordinary course communications with respect to modifications in connection with the design and implementation of such studies or trials, and, to the Company’s knowledge, there are no reasonable grounds for the same. </w:t>
      </w:r>
    </w:p>
    <w:p>
      <w:pPr>
        <w:pStyle w:val="TextBody"/>
        <w:bidi w:val="0"/>
        <w:spacing w:before="120" w:after="0"/>
        <w:jc w:val="left"/>
        <w:rPr>
          <w:rFonts w:ascii="Times New Roman" w:hAnsi="Times New Roman"/>
          <w:sz w:val="20"/>
        </w:rPr>
      </w:pPr>
      <w:r>
        <w:rPr>
          <w:rFonts w:ascii="Times New Roman" w:hAnsi="Times New Roman"/>
          <w:sz w:val="20"/>
        </w:rPr>
        <w:t xml:space="preserve">(gg) (i) Neither the Company nor any of its subsidiaries have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comparable communication from any other Regulatory Authority or governmental entity, nor, to the Company’s knowledge, is any such claim, action, suit, proceeding, hearing, enforcement, investigation, arbitration or other action threatened; (ii) neither the Company nor any of its subsidiaries are a party to any corporate integrity agreements, monitoring agreements, consent decrees, settlement orders, or similar agreements with or imposed by any Regulatory Authority or other governmental entity; and (iii) neither the Company, its subsidiaries nor any of their respective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(hh) 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international financial reporting standards (“</w:t>
      </w:r>
      <w:r>
        <w:rPr>
          <w:rFonts w:ascii="Times New Roman" w:hAnsi="Times New Roman"/>
          <w:b/>
          <w:sz w:val="20"/>
        </w:rPr>
        <w:t>IFRS</w:t>
      </w:r>
      <w:r>
        <w:rPr>
          <w:rFonts w:ascii="Times New Roman" w:hAnsi="Times New Roman"/>
          <w:sz w:val="20"/>
        </w:rPr>
        <w:t xml:space="preserve">”)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 </w:t>
      </w:r>
    </w:p>
    <w:p>
      <w:pPr>
        <w:pStyle w:val="TextBody"/>
        <w:bidi w:val="0"/>
        <w:spacing w:before="120" w:after="0"/>
        <w:jc w:val="left"/>
        <w:rPr>
          <w:rFonts w:ascii="Times New Roman" w:hAnsi="Times New Roman"/>
          <w:sz w:val="20"/>
        </w:rPr>
      </w:pPr>
      <w:r>
        <w:rPr>
          <w:rFonts w:ascii="Times New Roman" w:hAnsi="Times New Roman"/>
          <w:sz w:val="20"/>
        </w:rPr>
        <w:t xml:space="preserve">(ii) PricewaterhouseCoopers Accountants N.V., who have certified certain financial statements of the Company and its subsidiaries and delivered its report with respect to the audited consolidated financial statements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w:t>
      </w:r>
    </w:p>
    <w:p>
      <w:pPr>
        <w:pStyle w:val="TextBody"/>
        <w:bidi w:val="0"/>
        <w:spacing w:before="120" w:after="0"/>
        <w:jc w:val="left"/>
        <w:rPr>
          <w:rFonts w:ascii="Times New Roman" w:hAnsi="Times New Roman"/>
          <w:sz w:val="20"/>
        </w:rPr>
      </w:pPr>
      <w:r>
        <w:rPr>
          <w:rFonts w:ascii="Times New Roman" w:hAnsi="Times New Roman"/>
          <w:sz w:val="20"/>
        </w:rPr>
        <w:t>(jj) The Company and its subsidiaries on a consolidated basis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as issued by the International Accounting Standard Board (“</w:t>
      </w:r>
      <w:r>
        <w:rPr>
          <w:rFonts w:ascii="Times New Roman" w:hAnsi="Times New Roman"/>
          <w:b/>
          <w:sz w:val="20"/>
        </w:rPr>
        <w:t>IASB</w:t>
      </w:r>
      <w:r>
        <w:rPr>
          <w:rFonts w:ascii="Times New Roman" w:hAnsi="Times New Roman"/>
          <w:sz w:val="20"/>
        </w:rPr>
        <w:t xml:space="preserve">”)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except as disclosed in the Registration Statement, the Time of Sale Prospectus and Prospectus,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(kk) Except as described in each of the Registration Statement, the Time of Sale Prospectus and the Prospectus, the Company has not sold, issued or distributed any Ordinary Shares during the six-month period preceding the date hereof, including any sales pursuant to Rule 144A under, or Regulation D or S of, the Securities Act, shares issued pursuant to employee benefit plans, qualified stock option plans or other employee compensation plans or pursuant to outstanding options, rights, 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(ll) 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pay would not, singly or in the aggregate, have a material adverse effect on the Company and its subsidiaries, taken as a whole, or, except as currently being contested in good faith and for which reserves required by IFRS (as issued by IASB) have been created in the financial statements of the Company), and no tax deficiency has been determined adversely to the Company or any of its subsidiaries which, singly or in the aggregate, has had (nor has the Company nor any of its subsidiaries received any written notice of any unpaid tax deficiency which could reasonably be expected to be determined adversely to the Company or its subsidiaries and which could reasonably be expected to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(mm) The Company is subject to and in compliance in all material respects with the reporting requirements of Section 13 or Section 15(d) of the Exchange Act. The Ordinary Shares are registered pursuant to Section 12(b) of the Exchange Act and are listed on the Nasdaq Global Select Market (the “</w:t>
      </w:r>
      <w:r>
        <w:rPr>
          <w:rFonts w:ascii="Times New Roman" w:hAnsi="Times New Roman"/>
          <w:b/>
          <w:sz w:val="20"/>
        </w:rPr>
        <w:t>Nasdaq</w:t>
      </w:r>
      <w:r>
        <w:rPr>
          <w:rFonts w:ascii="Times New Roman" w:hAnsi="Times New Roman"/>
          <w:sz w:val="20"/>
        </w:rPr>
        <w:t xml:space="preserve">”), and the Company has taken no action designed to, or reasonably likely to have the effect of, terminating the registration of the Ordinary Shares under the Exchange Act or delisting the Ordinary Shares from Nasdaq, nor has the Company received any notification that the Commission or Nasdaq is contemplating terminating such registration or listing. The Company is in compliance in all material respects with the current listing standards of Nasdaq. The Company has filed or will file a Notification of Listing of Additional Shares with Nasdaq with respect to the Securities. </w:t>
      </w:r>
    </w:p>
    <w:p>
      <w:pPr>
        <w:pStyle w:val="TextBody"/>
        <w:bidi w:val="0"/>
        <w:spacing w:before="120" w:after="0"/>
        <w:jc w:val="left"/>
        <w:rPr>
          <w:rFonts w:ascii="Times New Roman" w:hAnsi="Times New Roman"/>
          <w:sz w:val="20"/>
        </w:rPr>
      </w:pPr>
      <w:r>
        <w:rPr>
          <w:rFonts w:ascii="Times New Roman" w:hAnsi="Times New Roman"/>
          <w:sz w:val="20"/>
        </w:rPr>
        <w:t>(nn) 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 “</w:t>
      </w:r>
      <w:r>
        <w:rPr>
          <w:rFonts w:ascii="Times New Roman" w:hAnsi="Times New Roman"/>
          <w:b/>
          <w:sz w:val="20"/>
        </w:rPr>
        <w:t>Testing-the-Waters Communication</w:t>
      </w:r>
      <w:r>
        <w:rPr>
          <w:rFonts w:ascii="Times New Roman" w:hAnsi="Times New Roman"/>
          <w:sz w:val="20"/>
        </w:rPr>
        <w:t xml:space="preserve">” means any communication with potential investors undertaken in reliance on Section 5(d) or Rule 163B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(oo) Neither the Company nor any of its subsidiaries has any securities rated by any “nationally recognized statistical rating organization,” as such term is defined in Section 3(a)(62)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(pp) As of the time of each sale of the Securities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paragraph do not apply to statements or omissions in the Time of Sale Prospectus and any free writing prospectus based upon information relating to any Underwriter furnished to the Company in writing by such Underwriter through the Representatives or on their behalf expressly for use therein. </w:t>
      </w:r>
    </w:p>
    <w:p>
      <w:pPr>
        <w:pStyle w:val="TextBody"/>
        <w:bidi w:val="0"/>
        <w:spacing w:before="120" w:after="0"/>
        <w:jc w:val="left"/>
        <w:rPr>
          <w:rFonts w:ascii="Times New Roman" w:hAnsi="Times New Roman"/>
          <w:sz w:val="20"/>
        </w:rPr>
      </w:pPr>
      <w:r>
        <w:rPr>
          <w:rFonts w:ascii="Times New Roman" w:hAnsi="Times New Roman"/>
          <w:sz w:val="20"/>
        </w:rPr>
        <w:t xml:space="preserve">(qq) No stamp, issuance, registration, transfer, or other similar documentary taxes or duties are payable by or on behalf of the Underwriters, the Company or any of its subsidiaries in the Netherlands or to any taxing authority thereof or therein having power to tax in connection with (i) the execution, delivery or consummation of this Agreement, (ii) the creation, allotment and issuance of the Securities, (iii) the issuance, sale and delivery of the Securities to the Underwriters or purchasers procured by the Underwriters, or (iv) the resale and delivery of the Securities by the Underwriters, each in the manner contemplated herein. </w:t>
      </w:r>
    </w:p>
    <w:p>
      <w:pPr>
        <w:pStyle w:val="TextBody"/>
        <w:bidi w:val="0"/>
        <w:spacing w:before="120" w:after="0"/>
        <w:jc w:val="left"/>
        <w:rPr>
          <w:rFonts w:ascii="Times New Roman" w:hAnsi="Times New Roman"/>
          <w:sz w:val="20"/>
        </w:rPr>
      </w:pPr>
      <w:r>
        <w:rPr>
          <w:rFonts w:ascii="Times New Roman" w:hAnsi="Times New Roman"/>
          <w:sz w:val="20"/>
        </w:rPr>
        <w:t xml:space="preserve">(rr) All payments of commissions, costs and expenses to be made by the Company to the Underwriters under this Agreement may be made free and clear of, and without withholding or deduction for, or on account of any taxes, duties, assessments or governmental charges by or on behalf of the Netherlands or any political subdivision or authority thereof or therein having power to tax. </w:t>
      </w:r>
    </w:p>
    <w:p>
      <w:pPr>
        <w:pStyle w:val="TextBody"/>
        <w:bidi w:val="0"/>
        <w:spacing w:before="120" w:after="0"/>
        <w:jc w:val="left"/>
        <w:rPr>
          <w:rFonts w:ascii="Times New Roman" w:hAnsi="Times New Roman"/>
          <w:sz w:val="20"/>
        </w:rPr>
      </w:pPr>
      <w:r>
        <w:rPr>
          <w:rFonts w:ascii="Times New Roman" w:hAnsi="Times New Roman"/>
          <w:sz w:val="20"/>
        </w:rPr>
        <w:t>(ss) The Company does not believe that it was a “passive foreign investment company” (“</w:t>
      </w:r>
      <w:r>
        <w:rPr>
          <w:rFonts w:ascii="Times New Roman" w:hAnsi="Times New Roman"/>
          <w:b/>
          <w:sz w:val="20"/>
        </w:rPr>
        <w:t>PFIC</w:t>
      </w:r>
      <w:r>
        <w:rPr>
          <w:rFonts w:ascii="Times New Roman" w:hAnsi="Times New Roman"/>
          <w:sz w:val="20"/>
        </w:rPr>
        <w:t xml:space="preserve">”) for U.S. federal income tax purposes in 2025 and, subject to the assumptions and qualifications set forth in the Registration Statement, the Time of Sale Prospectus and the Prospectus, it does not expect to be a PFIC for its current taxable year or in the foreseeable future. </w:t>
      </w:r>
    </w:p>
    <w:p>
      <w:pPr>
        <w:pStyle w:val="TextBody"/>
        <w:bidi w:val="0"/>
        <w:spacing w:before="120" w:after="0"/>
        <w:jc w:val="left"/>
        <w:rPr>
          <w:rFonts w:ascii="Times New Roman" w:hAnsi="Times New Roman"/>
          <w:sz w:val="20"/>
        </w:rPr>
      </w:pPr>
      <w:r>
        <w:rPr>
          <w:rFonts w:ascii="Times New Roman" w:hAnsi="Times New Roman"/>
          <w:sz w:val="20"/>
        </w:rPr>
        <w:t>(tt) It is not necessary under the laws of the Netherlands (i) to enable the Underwriters to enforce their rights under this Agreement provided that they are not otherwise engaged in regulated business in the Netherlands, or (ii) solely by reason of the execution, delivery or consummation of this Agreement, for any of the Underwriters to be qualified or entitled to carry out business in the Netherlands except that any Underwriter offering Securities or investment services or performing investment activities in or from the Netherlands, should be licensed, excepted or exempted under or pursuant to the Dutch Financial Supervision Act (</w:t>
      </w:r>
      <w:r>
        <w:rPr>
          <w:rFonts w:ascii="Times New Roman" w:hAnsi="Times New Roman"/>
          <w:i/>
          <w:sz w:val="20"/>
        </w:rPr>
        <w:t>Wet op het financieel toezicht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(uu) This Agreement is in proper form under the laws of the Netherlands for the enforcement thereof against the Company, and to ensure the legality, validity, enforceability or admissibility into evidence in Netherlands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(vv) The Company is a “foreign private issuer” as defined in Rule 405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(ww) No action has been taken or is contemplated to dissolve or liquidate the Company or any of its subsidiaries, and, to the knowledge of the Company no insolvency proceedings have been proposed, commenced or threatened against the Company or any of its subsidiaries and no judgment has been made or is pending declaring the Company or any of its subsidiaries insolvent. No voluntary arrangement has been prosed between the Company or a subsidiary and its creditors and no compromise or arrangement with creditors has been proposed, agreed or sanctioned in respect of the Company or its subsidiaries. Neither the Company nor any of its subsidiaries has, by reason of actual or anticipated financial difficulties, commenced discussions with any third party including any governmental agency to obtain stand-by or emergency funding or has commenced negotiations with its creditors or any class of its creditors with a view to rescheduling any of its indebtedness. </w:t>
      </w:r>
    </w:p>
    <w:p>
      <w:pPr>
        <w:pStyle w:val="TextBody"/>
        <w:bidi w:val="0"/>
        <w:spacing w:before="120" w:after="0"/>
        <w:jc w:val="left"/>
        <w:rPr>
          <w:rFonts w:ascii="Times New Roman" w:hAnsi="Times New Roman"/>
          <w:sz w:val="20"/>
        </w:rPr>
      </w:pPr>
      <w:r>
        <w:rPr>
          <w:rFonts w:ascii="Times New Roman" w:hAnsi="Times New Roman"/>
          <w:sz w:val="20"/>
        </w:rPr>
        <w:t xml:space="preserve">(xx) 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the Netherlands. The irrevocable and unconditional waiver and agreement of the Company contained in Section 17(a) not to plead or claim any such immunity in any legal action, suit or proceeding based on this Agreement is valid and binding under the laws of the Netherlands, </w:t>
      </w:r>
      <w:r>
        <w:rPr>
          <w:rFonts w:ascii="Times New Roman" w:hAnsi="Times New Roman"/>
          <w:i/>
          <w:sz w:val="20"/>
        </w:rPr>
        <w:t xml:space="preserve">provided </w:t>
      </w:r>
      <w:r>
        <w:rPr>
          <w:rFonts w:ascii="Times New Roman" w:hAnsi="Times New Roman"/>
          <w:sz w:val="20"/>
        </w:rPr>
        <w:t>that such waiver may not be effective in relation to assets located in the Netherlands that are destined for the public service (</w:t>
      </w:r>
      <w:r>
        <w:rPr>
          <w:rFonts w:ascii="Times New Roman" w:hAnsi="Times New Roman"/>
          <w:i/>
          <w:sz w:val="20"/>
        </w:rPr>
        <w:t>goederen bestemd voor de openbare dienst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(yy) The choice of law of the State of New York as the governing law of this Agreement is a valid choice of law under the laws of the Netherlands and will be recognized by the courts of the Netherlands. The Company has the power to submit, and pursuant to Section 17(a) has, to the extent permitted by law, legally, validly, effectively and irrevocably submitted, to the jurisdiction of the Specified Courts (as defined in Section 17(a)), and has the power to designate, appoint and empower, and pursuant to Section 17(b), has legally, validly and effectively designated, appointed and empowered an agent for service of process in any suit or proceeding based on or arising under this Agreement in any of the Specified Courts. </w:t>
      </w:r>
    </w:p>
    <w:p>
      <w:pPr>
        <w:pStyle w:val="TextBody"/>
        <w:bidi w:val="0"/>
        <w:spacing w:before="120" w:after="0"/>
        <w:jc w:val="left"/>
        <w:rPr>
          <w:rFonts w:ascii="Times New Roman" w:hAnsi="Times New Roman"/>
          <w:sz w:val="20"/>
        </w:rPr>
      </w:pPr>
      <w:r>
        <w:rPr>
          <w:rFonts w:ascii="Times New Roman" w:hAnsi="Times New Roman"/>
          <w:sz w:val="20"/>
        </w:rPr>
        <w:t xml:space="preserve">(zz) The interactive data in eXtensible Business Reporting Language, if any, included or incorporated by reference in the Registration Statement, the Time of Sale Prospectus and the Prospectus fairly presents the information called for in all material respects and has been prepared in accordance with the Commission’s rules and guidelines applicable thereto to the extent required.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 xml:space="preserve">Agreements to Sell and Purchase. </w:t>
      </w:r>
      <w:r>
        <w:rPr>
          <w:rFonts w:ascii="Times New Roman" w:hAnsi="Times New Roman"/>
          <w:sz w:val="20"/>
        </w:rPr>
        <w:t>The Company hereby agrees to issue and sell to the several Underwriters, and each Underwriter, upon the basis of the representations and warranties herein contained, but subject to the terms and conditions hereinafter stated, agrees, severally and not jointly, to purchase from the Company the respective numbers of Firm Securities set forth in Schedule I hereto opposite its names at $27.89920 per share (the “</w:t>
      </w:r>
      <w:r>
        <w:rPr>
          <w:rFonts w:ascii="Times New Roman" w:hAnsi="Times New Roman"/>
          <w:b/>
          <w:sz w:val="20"/>
        </w:rPr>
        <w:t>Purchase Price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the basis of the representations and warranties contained in this Agreement, and subject to its terms and conditions, the Company agrees to issue and sell to the Underwriters the Additional Shares, and the Underwriters shall have the right to purchase, severally and not jointly, up to 581,199 Additional Shares at the Purchase Price, provided, however, that the amount paid by the Underwriters for any Additional Shares shall be reduced by an amount per share equal to any dividends declared by the Company and payable on the Firm Securities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two business days after the written notice is given and may not be earlier than the closing date for the Firm Securities nor later than ten business days after the date of such notice, provided, however, that such written notice may be given one business day prior to the purchase date in the event any Additional Shares to be purchased shall be purchased on the closing date for the Firm Securities. Additional Shares may be purchased as provided in Section 4 hereof solely for the purpose of covering over-allotments made in connection with the offering of the Firm Securities. On each day, if any, that Additional Shares are to be purchased (an “</w:t>
      </w:r>
      <w:r>
        <w:rPr>
          <w:rFonts w:ascii="Times New Roman" w:hAnsi="Times New Roman"/>
          <w:b/>
          <w:sz w:val="20"/>
        </w:rPr>
        <w:t>Option Closing Date</w:t>
      </w:r>
      <w:r>
        <w:rPr>
          <w:rFonts w:ascii="Times New Roman" w:hAnsi="Times New Roman"/>
          <w:sz w:val="20"/>
        </w:rPr>
        <w:t xml:space="preserve">”),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total number of Firm Securities set forth in Schedule I hereto opposite the name of such Underwriter bears to the total number of Firm Securities.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Terms of Offering</w:t>
      </w:r>
      <w:r>
        <w:rPr>
          <w:rFonts w:ascii="Times New Roman" w:hAnsi="Times New Roman"/>
          <w:sz w:val="20"/>
        </w:rPr>
        <w:t>. The Company is advised by the Representatives that the Underwriters propose to make an offering of their respective portions of the Securities as soon after the Registration Statement and this Agreement have become effective as in the Representatives’ judgment is advisable. The Company is further advised by the Representatives that the Securities are to be offered initially at $29.68 a share (the “</w:t>
      </w:r>
      <w:r>
        <w:rPr>
          <w:rFonts w:ascii="Times New Roman" w:hAnsi="Times New Roman"/>
          <w:b/>
          <w:sz w:val="20"/>
        </w:rPr>
        <w:t>Offering Price</w:t>
      </w:r>
      <w:r>
        <w:rPr>
          <w:rFonts w:ascii="Times New Roman" w:hAnsi="Times New Roman"/>
          <w:sz w:val="20"/>
        </w:rPr>
        <w:t xml:space="preserve">”) and to certain dealers selected by the Representatives at a price that represents a concession not in excess of $1.06848 a share under the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Payment and Delivery.</w:t>
      </w:r>
      <w:r>
        <w:rPr>
          <w:rFonts w:ascii="Times New Roman" w:hAnsi="Times New Roman"/>
          <w:sz w:val="20"/>
        </w:rPr>
        <w:t xml:space="preserve"> Payment for the Firm Securities shall be made to the Company in Federal or other funds immediately available in New York City, and subject to receipt by the Company of such payment, against delivery of such Securities for the respective accounts of the several Underwriters at 10:00 a.m., New York City time, on May 11, 2026, or at such other time on the same or such other date, not later than May 11, 2026 as shall be designated in writing by the Underwriters.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Payment for any Additional Shares shall be made to the Company in Federal or other funds immediately available in New York City, and subject to receipt by the Company of such payment,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May 11, 2026, as shall be designated in writing by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shall be registered in such names and in such denominations as the Representatives shall request in writing not later than one full business day prior to the Closing Date or the applicable Option Closing Date in the case of the Additional Shares. The Securities shall be delivered to the Representatives on the Closing Date or an Option Closing Date in the case of the Additional Shares, for the respective accounts of the several Underwriters, with any transfer taxes payable in connection with the transfer of the Securities to the Underwriters duly paid, against, and subject to receipt by the Company of, payment of the Purchase Price therefor.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Conditions to the Underwriters’ Obligations</w:t>
      </w:r>
      <w:r>
        <w:rPr>
          <w:rFonts w:ascii="Times New Roman" w:hAnsi="Times New Roman"/>
          <w:sz w:val="20"/>
        </w:rPr>
        <w:t xml:space="preserve">. The obligations of the Company to sell the Securities to the Underwriters and the several obligations of the Underwriters to purchase and pay for the Securities on the Closing Date are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Subsequent to the execution and delivery of this Agreement and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no order suspending the effectiveness of the Registration Statement shall be in effect, and no proceeding for such purpose or pursuant to Section 8A under the Securities Act shall be pending before or threatened by the Commission; and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Securities on the terms and in the manner contemplated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(b) 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officer signing and delivering such certificate may rely upon the best of his or her knowledge as to proceedings threatened. </w:t>
      </w:r>
    </w:p>
    <w:p>
      <w:pPr>
        <w:pStyle w:val="TextBody"/>
        <w:bidi w:val="0"/>
        <w:spacing w:before="120" w:after="0"/>
        <w:jc w:val="left"/>
        <w:rPr>
          <w:rFonts w:ascii="Times New Roman" w:hAnsi="Times New Roman"/>
          <w:sz w:val="20"/>
        </w:rPr>
      </w:pPr>
      <w:r>
        <w:rPr>
          <w:rFonts w:ascii="Times New Roman" w:hAnsi="Times New Roman"/>
          <w:sz w:val="20"/>
        </w:rPr>
        <w:t xml:space="preserve">(c) The Representatives shall have received on the Closing Date (i) an opinion and (ii) a negative assurance letter of Kirkland &amp; Ellis LLP, United States counsel to the Company,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(d) The Representatives shall have received on the Closing Date an opinion of NautaDutilh N.V., Dutch counsel to the Company, dated the Closing Date, in form and substance reasonably satisfactory to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Representatives shall have received on the Closing Date an opinion of FASP Finck &amp; Partner, intellectual property counsel for the Company,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The Underwriters shall have received on the Closing Date an opinion and negative assurance letter of Sidley Austin LLP, counsel for the Underwriters,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(g) The Underwriters shall have received on the Closing Date an opinion of Loyens &amp; Loeff N.V., Dutch counsel for the Underwriters, dated the Closing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Sections 5(c) and 5(f) above, Kirkland &amp; Ellis LLP and Sidley Austin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therein. </w:t>
      </w:r>
    </w:p>
    <w:p>
      <w:pPr>
        <w:pStyle w:val="TextBody"/>
        <w:bidi w:val="0"/>
        <w:spacing w:before="120" w:after="0"/>
        <w:jc w:val="left"/>
        <w:rPr>
          <w:rFonts w:ascii="Times New Roman" w:hAnsi="Times New Roman"/>
          <w:sz w:val="20"/>
        </w:rPr>
      </w:pPr>
      <w:r>
        <w:rPr>
          <w:rFonts w:ascii="Times New Roman" w:hAnsi="Times New Roman"/>
          <w:sz w:val="20"/>
        </w:rPr>
        <w:t xml:space="preserve">(h) The Underwriters shall have received, on each of the date hereof and the Closing Date, a certificate dated the date hereof or the Closing Date, as the case may be, in form and substance reasonably satisfactory to the Representatives, from the Chief Financial Officer of the Company as to the accuracy of certain financial and other information included in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Representatives shall have received, on each of the date hereof and the Closing Date, a letter dated the date hereof or the Closing Date, as the case may be, in form and substance satisfactory to the Representatives, from PricewaterhouseCoopers Accountants N.V.,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hAnsi="Times New Roman"/>
          <w:i/>
          <w:sz w:val="20"/>
        </w:rPr>
        <w:t xml:space="preserve">provided that </w:t>
      </w:r>
      <w:r>
        <w:rPr>
          <w:rFonts w:ascii="Times New Roman" w:hAnsi="Times New Roman"/>
          <w:sz w:val="20"/>
        </w:rPr>
        <w:t xml:space="preserve">the letter delivered on the Closing Date shall use a “cut-off date” not earlier than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(j) The “lock-up” agreements, each substantially in the form of Exhibit A hereto, between the Representatives and certain shareholders, officers and directors of the Company relating to sales and certain other dispositions of Ordinary Shares or certain other securities, delivered to the Representatives on or before the date hereof, shall be in full force and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(k) The Securities sold pursuant to this Agreement shall have been submitted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(l) The several obligations of the Underwriters to purchase Additional Shares hereunder are subject to the delivery to the Underwriters on the applicable Option Closing Date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dated the Option Closing Date and signed by an executive officer of the Company, confirming that the certificate delivered on the Closing Date pursuant to Section 5(b) hereof remains true and correct as of such Option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 opinion and negative assurance letter of Kirkland &amp; Ellis LLP, outside counsel for the Company, dated the Option Closing Date, relating to the Additional Shares to be purchased on such Option Closing Date and otherwise to the same effect as the opinion required by Section 5(c) hereof; </w:t>
      </w:r>
    </w:p>
    <w:p>
      <w:pPr>
        <w:pStyle w:val="TextBody"/>
        <w:bidi w:val="0"/>
        <w:spacing w:before="120" w:after="0"/>
        <w:jc w:val="left"/>
        <w:rPr>
          <w:rFonts w:ascii="Times New Roman" w:hAnsi="Times New Roman"/>
          <w:sz w:val="20"/>
        </w:rPr>
      </w:pPr>
      <w:r>
        <w:rPr>
          <w:rFonts w:ascii="Times New Roman" w:hAnsi="Times New Roman"/>
          <w:sz w:val="20"/>
        </w:rPr>
        <w:t xml:space="preserve">(iii) an opinion of NautaDutilh N.V., Dutch counsel for the Company, dated the Option Closing Date, relating to the Additional Shares to be purchased on such Option Closing Date and otherwise to the same effect as the opinion required by Section 5(d) hereof;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120" w:after="0"/>
        <w:jc w:val="left"/>
        <w:rPr>
          <w:rFonts w:ascii="Times New Roman" w:hAnsi="Times New Roman"/>
          <w:sz w:val="20"/>
        </w:rPr>
      </w:pPr>
      <w:r>
        <w:rPr>
          <w:rFonts w:ascii="Times New Roman" w:hAnsi="Times New Roman"/>
          <w:sz w:val="20"/>
        </w:rPr>
        <w:t xml:space="preserve">(v) an opinion and negative assurance letter of Sidley Austin LLP, counsel for the Underwriters, dated the Option Closing Date, relating to the Additional Shares to be purchased on such Option Closing Date and otherwise to the same effect as the opinion required by Section 5(f) hereof; </w:t>
      </w:r>
    </w:p>
    <w:p>
      <w:pPr>
        <w:pStyle w:val="TextBody"/>
        <w:bidi w:val="0"/>
        <w:spacing w:before="120" w:after="0"/>
        <w:jc w:val="left"/>
        <w:rPr>
          <w:rFonts w:ascii="Times New Roman" w:hAnsi="Times New Roman"/>
          <w:sz w:val="20"/>
        </w:rPr>
      </w:pPr>
      <w:r>
        <w:rPr>
          <w:rFonts w:ascii="Times New Roman" w:hAnsi="Times New Roman"/>
          <w:sz w:val="20"/>
        </w:rPr>
        <w:t xml:space="preserve">(vi) an opinion of Loyens &amp; Loeff N.V., Dutch counsel for the Underwriters, dated the Option Closing Date, in connection with the Additional Shares to be purchased on such Option Closing Date and otherwise to the same effect as the opinion required by Section 5(g) hereof; and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from the Chief Financial Officer of the Company, dated the Option Closing Date, substantially in the same form and substance as the certificate required by Section 5(h) hereof; and </w:t>
      </w:r>
    </w:p>
    <w:p>
      <w:pPr>
        <w:pStyle w:val="TextBody"/>
        <w:bidi w:val="0"/>
        <w:spacing w:before="120" w:after="0"/>
        <w:jc w:val="left"/>
        <w:rPr>
          <w:rFonts w:ascii="Times New Roman" w:hAnsi="Times New Roman"/>
          <w:sz w:val="20"/>
        </w:rPr>
      </w:pPr>
      <w:r>
        <w:rPr>
          <w:rFonts w:ascii="Times New Roman" w:hAnsi="Times New Roman"/>
          <w:sz w:val="20"/>
        </w:rPr>
        <w:t xml:space="preserve">(viii) a letter dated the Option Closing Date, in form and substance satisfactory to the Underwriters, from PricewaterhouseCoopers Accountants N.V., independent public accountants, substantially in the same form and substance as the letter required pursuant to Section 5(i) hereof; </w:t>
      </w:r>
      <w:r>
        <w:rPr>
          <w:rFonts w:ascii="Times New Roman" w:hAnsi="Times New Roman"/>
          <w:i/>
          <w:sz w:val="20"/>
        </w:rPr>
        <w:t>provided</w:t>
      </w:r>
      <w:r>
        <w:rPr>
          <w:rFonts w:ascii="Times New Roman" w:hAnsi="Times New Roman"/>
          <w:sz w:val="20"/>
        </w:rPr>
        <w:t xml:space="preserve"> that the letter delivered on the Option Closing Date shall use a “cut-off date” not earlier than three business days prior to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(m) Such other documents as the Representatives may reasonably request with respect to the good standing of the Company, the due authorization and issuance of the Securities and other matters related to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furnish to the Representatives, without charge, conformed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Representatives in New York City, without charge, prior to 10:00 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 The Company also agrees to pay the registration fee for this offering within the time period required by Rule 456(b)(1) under the Securities Act (without giving effect to the proviso therein) and in any event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To furnish to the Representatives a copy of each proposed free writing prospectus to be prepared by or on behalf of, used by, or referred to by the Company and not to use or refer to any proposed free writing prospectus to which the Representatives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(e) 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If, during such period after the first date of the offering of the Securities as in the reasonable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To endeavor to qualify the Securities for offer and sale under the securities or Blue Sky laws of such jurisdictions as the Representatives shall reasonably request; </w:t>
      </w:r>
      <w:r>
        <w:rPr>
          <w:rFonts w:ascii="Times New Roman" w:hAnsi="Times New Roman"/>
          <w:i/>
          <w:sz w:val="20"/>
        </w:rPr>
        <w:t xml:space="preserve">provided that </w:t>
      </w:r>
      <w:r>
        <w:rPr>
          <w:rFonts w:ascii="Times New Roman" w:hAnsi="Times New Roman"/>
          <w:sz w:val="20"/>
        </w:rPr>
        <w:t xml:space="preserve">in no event shall the Company be obligated to qualify to do business in any jurisdiction where it is not now so qualified or to take any action that would subject it to service of process in suits, other than those arising out of the offering or sale of the Securities, or taxation in any jurisdiction where it is not now so subject. </w:t>
      </w:r>
    </w:p>
    <w:p>
      <w:pPr>
        <w:pStyle w:val="TextBody"/>
        <w:bidi w:val="0"/>
        <w:spacing w:before="120" w:after="0"/>
        <w:jc w:val="left"/>
        <w:rPr>
          <w:rFonts w:ascii="Times New Roman" w:hAnsi="Times New Roman"/>
          <w:sz w:val="20"/>
        </w:rPr>
      </w:pPr>
      <w:r>
        <w:rPr>
          <w:rFonts w:ascii="Times New Roman" w:hAnsi="Times New Roman"/>
          <w:sz w:val="20"/>
        </w:rPr>
        <w:t xml:space="preserve">(h) To make generally available to the Company’s security holders and to the Underwriters as soon as practicable an earnings statement (which may satisfied by the Company filing its Annual Report on Form 20-F with the Commission)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(i)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Securities to the Underwriters as contemplated by this Agreement, including any transfer or other similar documentary taxes payable thereon, (iii) the reasonable and documented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6(g) hereof, including filing fees and the reasonable fees and disbursements of counsel for the Underwriters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connection with such qualification and in connection with the Blue Sky or Legal Investment memorandum, (iv) all filing fees and the reasonable and documented fees and disbursements of counsel to the Underwriters incurred in connection with the review and qualification of the offering of the Securities by FINRA (</w:t>
      </w:r>
      <w:r>
        <w:rPr>
          <w:rFonts w:ascii="Times New Roman" w:hAnsi="Times New Roman"/>
          <w:i/>
          <w:sz w:val="20"/>
        </w:rPr>
        <w:t xml:space="preserve">provided that </w:t>
      </w:r>
      <w:r>
        <w:rPr>
          <w:rFonts w:ascii="Times New Roman" w:hAnsi="Times New Roman"/>
          <w:sz w:val="20"/>
        </w:rPr>
        <w:t>the amount payable by the Company with respect to the fees and disbursements of counsel for the Underwriters incurred pursuant to subsections (iii) and (iv) of this Section 6(i) shall not exceed $15,000 in the aggregate), (v) all costs and expenses incident to listing the Securities on the Nasdaq, (vi) the costs and charges of any transfer agent, registrar or depositary, (vii)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w:t>
      </w:r>
      <w:r>
        <w:rPr>
          <w:rFonts w:ascii="Times New Roman" w:hAnsi="Times New Roman"/>
          <w:i/>
          <w:sz w:val="20"/>
        </w:rPr>
        <w:t xml:space="preserve">provided that </w:t>
      </w:r>
      <w:r>
        <w:rPr>
          <w:rFonts w:ascii="Times New Roman" w:hAnsi="Times New Roman"/>
          <w:sz w:val="20"/>
        </w:rPr>
        <w:t xml:space="preserve">50% of the cost of any aircraft chartered in connection with the road show shall be paid by the Underwriters and 50% of the cost of any aircraft chartered in connection with the road show shall be paid by the Company), (viii) the document production charges and expenses associated with printing this Agreement, and (ix)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Securities by them and any advertising expenses connected with any offers they may make. </w:t>
      </w:r>
    </w:p>
    <w:p>
      <w:pPr>
        <w:pStyle w:val="TextBody"/>
        <w:bidi w:val="0"/>
        <w:spacing w:before="120" w:after="0"/>
        <w:jc w:val="left"/>
        <w:rPr>
          <w:rFonts w:ascii="Times New Roman" w:hAnsi="Times New Roman"/>
          <w:sz w:val="20"/>
        </w:rPr>
      </w:pPr>
      <w:r>
        <w:rPr>
          <w:rFonts w:ascii="Times New Roman" w:hAnsi="Times New Roman"/>
          <w:sz w:val="20"/>
        </w:rPr>
        <w:t xml:space="preserve">(j) [Reserved]. </w:t>
      </w:r>
    </w:p>
    <w:p>
      <w:pPr>
        <w:pStyle w:val="TextBody"/>
        <w:bidi w:val="0"/>
        <w:spacing w:before="120" w:after="0"/>
        <w:jc w:val="left"/>
        <w:rPr>
          <w:rFonts w:ascii="Times New Roman" w:hAnsi="Times New Roman"/>
          <w:sz w:val="20"/>
        </w:rPr>
      </w:pPr>
      <w:r>
        <w:rPr>
          <w:rFonts w:ascii="Times New Roman" w:hAnsi="Times New Roman"/>
          <w:sz w:val="20"/>
        </w:rPr>
        <w:t xml:space="preserve">(k) 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(l) [Reserved]. </w:t>
      </w:r>
    </w:p>
    <w:p>
      <w:pPr>
        <w:pStyle w:val="TextBody"/>
        <w:bidi w:val="0"/>
        <w:spacing w:before="120" w:after="0"/>
        <w:jc w:val="left"/>
        <w:rPr>
          <w:rFonts w:ascii="Times New Roman" w:hAnsi="Times New Roman"/>
          <w:sz w:val="20"/>
        </w:rPr>
      </w:pPr>
      <w:r>
        <w:rPr>
          <w:rFonts w:ascii="Times New Roman" w:hAnsi="Times New Roman"/>
          <w:sz w:val="20"/>
        </w:rPr>
        <w:t xml:space="preserve">(m) The Company shall pay, and shall indemnify and hold the Underwriters harmless against, any stamp, issue, registration, transfer, or other similar documentary taxes or duties (other than taxes or duties imposed on the net income of the Underwriters) imposed under the laws of the Netherlands or any political sub-division or taxing authority thereof or therein having the power to tax that is payable in connection with (i) the execution, delivery, consummation or enforcement of this Agreement, (ii) the creation, allotment and issuance of the Securities, (iii) the sale and delivery of the Securities to the Underwriters or purchasers procured by the Underwriters, or (iv) the resale and delivery of the Securities by the Underwriters, in each case, in the manner contemplated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All sums of commissions, costs and expenses payable by the Company to the Underwriters under this Agreement shall be paid free and clear of and without deductions or withholdings of any present or future taxes or duties, unless the deduction or withholding is required by law, in which case the Company shall pay such additional amount as will result in the receipt by each Underwriter of the full amount that would have been received had no deduction or withholding been made. </w:t>
      </w:r>
    </w:p>
    <w:p>
      <w:pPr>
        <w:pStyle w:val="TextBody"/>
        <w:bidi w:val="0"/>
        <w:spacing w:before="120" w:after="0"/>
        <w:jc w:val="left"/>
        <w:rPr>
          <w:rFonts w:ascii="Times New Roman" w:hAnsi="Times New Roman"/>
          <w:sz w:val="20"/>
        </w:rPr>
      </w:pPr>
      <w:r>
        <w:rPr>
          <w:rFonts w:ascii="Times New Roman" w:hAnsi="Times New Roman"/>
          <w:sz w:val="20"/>
        </w:rPr>
        <w:t xml:space="preserve">(o) All sums payable to an Underwriter shall be considered exclusive of any value added or similar taxes unless otherwise provided in this Agreement. Where the Company is obliged to pay value added or similar tax on any amount payable hereunder to an Underwriter, the Company shall in addition to the sum payable hereunder pay upon receipt of a proper value added tax invoice issued by the relevant Underwriter an amount equal to any applicable value added or similar tax to the extent the Company has not otherwise made such payment of value added or similar taxes directly. </w:t>
      </w:r>
    </w:p>
    <w:p>
      <w:pPr>
        <w:pStyle w:val="TextBody"/>
        <w:bidi w:val="0"/>
        <w:spacing w:before="240" w:after="0"/>
        <w:jc w:val="left"/>
        <w:rPr>
          <w:rFonts w:ascii="Times New Roman" w:hAnsi="Times New Roman"/>
          <w:sz w:val="20"/>
        </w:rPr>
      </w:pPr>
      <w:r>
        <w:rPr>
          <w:rFonts w:ascii="Times New Roman" w:hAnsi="Times New Roman"/>
          <w:sz w:val="20"/>
        </w:rPr>
        <w:t>The Company also covenants with each Underwriter that, without the prior written consent of the Representatives on behalf of the Underwriters, it will not, and will not publicly disclose an intention to, during the period ending 90 days after the date of the Prospectus (the “</w:t>
      </w:r>
      <w:r>
        <w:rPr>
          <w:rFonts w:ascii="Times New Roman" w:hAnsi="Times New Roman"/>
          <w:b/>
          <w:sz w:val="20"/>
        </w:rPr>
        <w:t>Restricted Period</w:t>
      </w:r>
      <w:r>
        <w:rPr>
          <w:rFonts w:ascii="Times New Roman" w:hAnsi="Times New Roman"/>
          <w:sz w:val="20"/>
        </w:rPr>
        <w:t xml:space="preserve">”), (1) 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or (2) enter into any swap or other arrangement that transfers to another, in whole or in part, any of the economic consequences of ownership of the Ordinary Shares, whether any such transaction described in clause (1) or (2) above is to be settled by delivery of Ordinary Shares or such other securities, in cash or otherwise or (3) file any registration statement with the Commission relating to the offering of any Ordinary Shares or any securities convertible into or exercisable or exchangeable for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contained in the preceding paragraph shall not apply to (A) the Securities to be sold hereunder, (B) the issuance by the Company of Ordinary Shares upon the exercise of an option, award, restricted stock unit or warrant or the conversion of a security outstanding on the date hereof as described in each of the Time of Sale Prospectus and Prospectus, (C) facilitating the establishment of a trading plan on behalf of a shareholder, officer or director of the Company pursuant to Rule 10b5-1 under the Exchange Act for the transfer of Ordinary Shares, </w:t>
      </w:r>
      <w:r>
        <w:rPr>
          <w:rFonts w:ascii="Times New Roman" w:hAnsi="Times New Roman"/>
          <w:i/>
          <w:sz w:val="20"/>
        </w:rPr>
        <w:t xml:space="preserve">provided that </w:t>
      </w:r>
      <w:r>
        <w:rPr>
          <w:rFonts w:ascii="Times New Roman" w:hAnsi="Times New Roman"/>
          <w:sz w:val="20"/>
        </w:rPr>
        <w:t xml:space="preserve">(i) such plan does not provide for the transfer of Ordinary Shares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Ordinary Shares may be made under such plan during the Restricted Period, (D) the filing by the Company of any registration statement on Form S- 8 (or any successor form) with the Commission, (E) sales of Ordinary Shares on behalf of the Company’s officers named in the Registration Statement to satisfy the withholding taxes payable upon the vesting, exercise or settlement of such officer’s equity awards pursuant to employee benefit plans described in the Time of Sale Prospectus, or (F) the sale or issuance of or entry into an agreement to sell or issue Ordinary Shares or securities convertible into or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Ordinary Shares in connection with any (i) mergers, (ii) acquisition of securities, businesses, property, technologies or other assets, (iii) joint ventures, (iv) strategic alliances, commercial relationships or other collaborations, or (v) the assumption of employee benefit plans in connection with mergers or acquisitions; </w:t>
      </w:r>
      <w:r>
        <w:rPr>
          <w:rFonts w:ascii="Times New Roman" w:hAnsi="Times New Roman"/>
          <w:i/>
          <w:sz w:val="20"/>
        </w:rPr>
        <w:t xml:space="preserve">provided that </w:t>
      </w:r>
      <w:r>
        <w:rPr>
          <w:rFonts w:ascii="Times New Roman" w:hAnsi="Times New Roman"/>
          <w:sz w:val="20"/>
        </w:rPr>
        <w:t xml:space="preserve">the aggregate number of Ordinary Shares or securities convertible into or exercisable for Ordinary Shares (on an as-converted or as-exercised basis, as the case may be) that the Company may sell or issue or agree to sell or issue pursuant to this clause (F) shall not exceed 10% of the total number of Ordinary Shares immediately following the completion of the transactions contemplated by this Agreement; and </w:t>
      </w:r>
      <w:r>
        <w:rPr>
          <w:rFonts w:ascii="Times New Roman" w:hAnsi="Times New Roman"/>
          <w:i/>
          <w:sz w:val="20"/>
        </w:rPr>
        <w:t>provided further</w:t>
      </w:r>
      <w:r>
        <w:rPr>
          <w:rFonts w:ascii="Times New Roman" w:hAnsi="Times New Roman"/>
          <w:sz w:val="20"/>
        </w:rPr>
        <w:t xml:space="preserve">, that each recipient of Ordinary Shares or securities convertible into or exercisable for Ordinary Shares pursuant to this clause (F) shall, on or prior to such issuance, execute a lock-up agreement substantially in the form of Exhibit A hereto with respect to the remaining portion of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Covenants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Indemnity and Contribution</w:t>
      </w:r>
      <w:r>
        <w:rPr>
          <w:rFonts w:ascii="Times New Roman" w:hAnsi="Times New Roman"/>
          <w:sz w:val="20"/>
        </w:rPr>
        <w:t>. (a)The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hAnsi="Times New Roman"/>
          <w:b/>
          <w:sz w:val="20"/>
        </w:rPr>
        <w:t>road show</w:t>
      </w:r>
      <w:r>
        <w:rPr>
          <w:rFonts w:ascii="Times New Roman" w:hAnsi="Times New Roman"/>
          <w:sz w:val="20"/>
        </w:rPr>
        <w:t xml:space="preserve">”),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 </w:t>
      </w:r>
    </w:p>
    <w:p>
      <w:pPr>
        <w:pStyle w:val="TextBody"/>
        <w:bidi w:val="0"/>
        <w:spacing w:before="120" w:after="0"/>
        <w:jc w:val="left"/>
        <w:rPr>
          <w:rFonts w:ascii="Times New Roman" w:hAnsi="Times New Roman"/>
          <w:sz w:val="20"/>
        </w:rPr>
      </w:pPr>
      <w:r>
        <w:rPr>
          <w:rFonts w:ascii="Times New Roman" w:hAnsi="Times New Roman"/>
          <w:sz w:val="20"/>
        </w:rPr>
        <w:t xml:space="preserve">(b)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 the Representatives or on their behalf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consists of the following: the concession figures appearing in the fourth paragraph under the caption “Underwriting,” the information relating to stabilizing transactions contained in the first, second, fourth, fifth, sixth, eighth, ninth and tenth sentence contained in the fourteenth paragraph under the caption “Underwriting” and the information regarding internet distribution appearing in the sixteenth paragraph under the caption “Underwriting.” </w:t>
      </w:r>
    </w:p>
    <w:p>
      <w:pPr>
        <w:pStyle w:val="TextBody"/>
        <w:bidi w:val="0"/>
        <w:spacing w:before="120" w:after="0"/>
        <w:jc w:val="left"/>
        <w:rPr>
          <w:rFonts w:ascii="Times New Roman" w:hAnsi="Times New Roman"/>
          <w:sz w:val="20"/>
        </w:rPr>
      </w:pPr>
      <w:r>
        <w:rPr>
          <w:rFonts w:ascii="Times New Roman" w:hAnsi="Times New Roman"/>
          <w:sz w:val="20"/>
        </w:rPr>
        <w:t>(c) In case any proceeding (including any governmental investigation) shall be instituted involving any person in respect of which indemnity may be sought pursuant to Section 8(a) or 8(b),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with respect to the Securities as set forth in the table on the cover of the Prospectus, bear to the aggregate Offering Price of the Securities.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Securities they have purchased hereunder, and not joint.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Section 8 were determined by </w:t>
      </w:r>
      <w:r>
        <w:rPr>
          <w:rFonts w:ascii="Times New Roman" w:hAnsi="Times New Roman"/>
          <w:i/>
          <w:sz w:val="20"/>
        </w:rPr>
        <w:t xml:space="preserve">pro rata </w:t>
      </w:r>
      <w:r>
        <w:rPr>
          <w:rFonts w:ascii="Times New Roman" w:hAnsi="Times New Roman"/>
          <w:sz w:val="20"/>
        </w:rPr>
        <w:t xml:space="preserve">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were offered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Termination</w:t>
      </w:r>
      <w:r>
        <w:rPr>
          <w:rFonts w:ascii="Times New Roman" w:hAnsi="Times New Roman"/>
          <w:sz w:val="20"/>
        </w:rPr>
        <w:t xml:space="preserve">. The Underwriters may terminate this Agreement by notice given by the Representatives to the Company, if after the execution and delivery of this Agreement and prior to or on the Closing Date or any Option Closing Date, as the case may be, (i) trading generally shall have been suspended or materially limited on, or by, as the case may be, any of the New York Stock Exchange, the NYSE American and the Nasdaq, (ii) trading of any securities of the Company shall have been suspended on any exchange or in any over-the-counter market, (iii) a material disruption in securities settlement, payment or clearance services in the United States or the Netherlands shall have occurred, (iv) any moratorium on commercial banking activities shall have been declared by Federal, New York State, in the Netherlands or relevant foreign country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Securities on the terms and in the manner contemplated in the Time of Sale Prospectus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or an Option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 not more than one tenth of the aggregate number of the Securities to be purchased on such date, the other Underwriters shall be obligated severally in the proportions that the number of Securities set forth opposite their respective names in Schedule I bears to the aggregate number of Securities set forth opposite the names of all such non defaulting Underwriters, or in such other proportions as the Representatives may specify, to purchase the Securities which such defaulting Underwriter or Underwriters agreed but failed or refused to purchase on such date; provided that in no event shall the number of Securities that any Underwriter has agreed to purchase pursuant to this Agreement be increased pursuant to this Section 10 by an amount in excess of one ninth of such number of Securities without the written consent of such Underwriter. If, on the Closing Date, any Underwriter or Underwriters shall fail or refuse to purchase Securities and the aggregate number of Securities with respect to which such default occurs is more than one tenth of the aggregate number of Securities to be purchased on such date, and arrangements satisfactory to the Representatives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for the purchase of such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 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the occurrence of any of the events described in clauses (i), (iii), (iv) or (v) of Section 9), the Company will reimburse the Underwriters or such Underwriters as have so terminated this Agreement with respect to themselves, severally, for all reasonable and documented out-of-pocket expenses (including the fees and disbursements of their counsel) reasonably incurred by such Underwriters in connection with this Agreement or the offering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Entire Agreement</w:t>
      </w:r>
      <w:r>
        <w:rPr>
          <w:rFonts w:ascii="Times New Roman" w:hAnsi="Times New Roman"/>
          <w:sz w:val="20"/>
        </w:rPr>
        <w:t xml:space="preserve">. (a) This Agreement, together with any contemporaneous written agreements and any prior written agreements (to the extent 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Recognition of the U.S. Special Resolution Regimes</w:t>
      </w:r>
      <w:r>
        <w:rPr>
          <w:rFonts w:ascii="Times New Roman" w:hAnsi="Times New Roman"/>
          <w:sz w:val="20"/>
        </w:rPr>
        <w:t xml:space="preserve">.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For purposes of this Section a “</w:t>
      </w:r>
      <w:r>
        <w:rPr>
          <w:rFonts w:ascii="Times New Roman" w:hAnsi="Times New Roman"/>
          <w:b/>
          <w:sz w:val="20"/>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240" w:after="0"/>
        <w:jc w:val="left"/>
        <w:rPr/>
      </w:pPr>
      <w:r>
        <w:rPr/>
        <w:t>“</w:t>
      </w:r>
      <w:r>
        <w:rPr>
          <w:rFonts w:ascii="Times New Roman" w:hAnsi="Times New Roman"/>
          <w:b/>
          <w:sz w:val="20"/>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240" w:after="0"/>
        <w:jc w:val="left"/>
        <w:rPr/>
      </w:pPr>
      <w:r>
        <w:rPr/>
        <w:t>“</w:t>
      </w:r>
      <w:r>
        <w:rPr>
          <w:rFonts w:ascii="Times New Roman" w:hAnsi="Times New Roman"/>
          <w:b/>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Counterparts</w:t>
      </w:r>
      <w:r>
        <w:rPr>
          <w:rFonts w:ascii="Times New Roman" w:hAnsi="Times New Roman"/>
          <w:sz w:val="20"/>
        </w:rPr>
        <w:t xml:space="preserve">. This Agreement may be signed in two or more counterparts, which may be delivered via facsimile, electronic mail (including any electronic signature covered by the U.S. federal ESIGN Act of 2000, Uniform Electronic Transactions Act, the Electronic Signatures and Records Act or other applicable law, e.g., www.docusign.com), each of which shall be deemed an original, with the same effect as if the signatures thereto and hereto were upon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Applicable Law</w:t>
      </w:r>
      <w:r>
        <w:rPr>
          <w:rFonts w:ascii="Times New Roman" w:hAnsi="Times New Roman"/>
          <w:sz w:val="20"/>
        </w:rPr>
        <w:t xml:space="preserve">. This Agreement shall be governed by and construed in accordance with the internal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Notices</w:t>
      </w:r>
      <w:r>
        <w:rPr>
          <w:rFonts w:ascii="Times New Roman" w:hAnsi="Times New Roman"/>
          <w:sz w:val="20"/>
        </w:rPr>
        <w:t xml:space="preserve">. All communications hereunder shall be in writing and effective only upon receipt and (a) if to the Underwriters shall be delivered, mailed or sent to (i) Morgan Stanley &amp; Co. LLC, 1585 Broadway, 29th Floor, New York, New York 10036, Attention: Equity Syndicate Desk, with a copy to the Legal Department; and (ii) Leerink Partners LLC, 1301 Avenue of the Americas, 5th Floor, New York, New York 10019, Attention: Stuart R. Nayman, Esq., Facsimile: (646) 499-7051; and (b) if to the Company shall be delivered, mailed or sent to J.H. Oortweg 21, 2333 CH Leiden, the Netherlands, with a copy to Kirkland &amp; Ellis LLP, 601 Lexington Avenue, New York, New York 10022, Attention: Sophia Hudson, P.C. and Jennifer Lee, P.C.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Submission to Jurisdiction; Appointment of Agents for Service</w:t>
      </w:r>
      <w:r>
        <w:rPr>
          <w:rFonts w:ascii="Times New Roman" w:hAnsi="Times New Roman"/>
          <w:sz w:val="20"/>
        </w:rPr>
        <w:t>. (a) The Company irrevocably submits to the non-exclusive jurisdiction of any New York State or United States Federal court sitting in The City of New York (the “</w:t>
      </w:r>
      <w:r>
        <w:rPr>
          <w:rFonts w:ascii="Times New Roman" w:hAnsi="Times New Roman"/>
          <w:b/>
          <w:sz w:val="20"/>
        </w:rPr>
        <w:t>Specified Courts</w:t>
      </w:r>
      <w:r>
        <w:rPr>
          <w:rFonts w:ascii="Times New Roman" w:hAnsi="Times New Roman"/>
          <w:sz w:val="20"/>
        </w:rPr>
        <w:t>”) over any suit, action or proceeding arising out of or relating to this Agreement, the Time of Sale Prospectus, the Prospectus, the Registration Statement or the offering of the Securities (each, a “</w:t>
      </w:r>
      <w:r>
        <w:rPr>
          <w:rFonts w:ascii="Times New Roman" w:hAnsi="Times New Roman"/>
          <w:b/>
          <w:sz w:val="20"/>
        </w:rPr>
        <w:t>Related Proceeding</w:t>
      </w:r>
      <w:r>
        <w:rPr>
          <w:rFonts w:ascii="Times New Roman" w:hAnsi="Times New Roman"/>
          <w:sz w:val="20"/>
        </w:rPr>
        <w:t xml:space="preserve">”).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irrevocably appoints Chris Deon, with offices at PO BOX 121 Langhorne, PA,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Judgment Currency</w:t>
      </w:r>
      <w:r>
        <w:rPr>
          <w:rFonts w:ascii="Times New Roman" w:hAnsi="Times New Roman"/>
          <w:sz w:val="20"/>
        </w:rPr>
        <w:t xml:space="preserve">. 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4"/>
        <w:gridCol w:w="60"/>
        <w:gridCol w:w="657"/>
        <w:gridCol w:w="60"/>
        <w:gridCol w:w="2941"/>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Very truly yours,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PHARVARIS N.V.</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Berndt Modig</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Berndt Modig</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4"/>
        <w:gridCol w:w="60"/>
        <w:gridCol w:w="690"/>
        <w:gridCol w:w="60"/>
        <w:gridCol w:w="290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Accepted as of the date hereof:</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MORGAN STANLEY &amp; CO. LLC</w:t>
            </w:r>
          </w:p>
        </w:tc>
      </w:tr>
      <w:tr>
        <w:trPr/>
        <w:tc>
          <w:tcPr>
            <w:tcW w:w="4082" w:type="dxa"/>
            <w:gridSpan w:val="5"/>
            <w:tcBorders/>
          </w:tcPr>
          <w:p>
            <w:pPr>
              <w:pStyle w:val="TableContents"/>
              <w:bidi w:val="0"/>
              <w:spacing w:before="0" w:after="283"/>
              <w:jc w:val="left"/>
              <w:rPr/>
            </w:pPr>
            <w:r>
              <w:rPr/>
              <w:t>LEERINK PARTNERS LLC</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Acting severally on behalf of themselves and the several Underwriters named in Schedule I hereto.</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bidi w:val="0"/>
              <w:spacing w:before="0" w:after="283"/>
              <w:jc w:val="left"/>
              <w:rPr/>
            </w:pPr>
            <w:r>
              <w:rPr/>
              <w:t>Morgan Stanley &amp; Co. LLC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Kalli Dircks</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8" w:type="dxa"/>
            <w:tcBorders/>
          </w:tcPr>
          <w:p>
            <w:pPr>
              <w:pStyle w:val="TableContents"/>
              <w:bidi w:val="0"/>
              <w:spacing w:before="0" w:after="283"/>
              <w:jc w:val="left"/>
              <w:rPr/>
            </w:pPr>
            <w:r>
              <w:rPr/>
              <w:t>Kalli Dircks</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8" w:type="dxa"/>
            <w:tcBorders/>
          </w:tcPr>
          <w:p>
            <w:pPr>
              <w:pStyle w:val="TableContents"/>
              <w:bidi w:val="0"/>
              <w:spacing w:before="0" w:after="283"/>
              <w:jc w:val="left"/>
              <w:rPr/>
            </w:pPr>
            <w:r>
              <w:rPr/>
              <w:t>Managing Director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bidi w:val="0"/>
              <w:spacing w:before="0" w:after="283"/>
              <w:jc w:val="left"/>
              <w:rPr/>
            </w:pPr>
            <w:r>
              <w:rPr/>
              <w:t>Leerink Partners LLC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Morley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8" w:type="dxa"/>
            <w:tcBorders/>
          </w:tcPr>
          <w:p>
            <w:pPr>
              <w:pStyle w:val="TableContents"/>
              <w:bidi w:val="0"/>
              <w:spacing w:before="0" w:after="283"/>
              <w:jc w:val="left"/>
              <w:rPr/>
            </w:pPr>
            <w:r>
              <w:rPr/>
              <w:t>Patrick Morley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8" w:type="dxa"/>
            <w:tcBorders/>
          </w:tcPr>
          <w:p>
            <w:pPr>
              <w:pStyle w:val="TableContents"/>
              <w:bidi w:val="0"/>
              <w:spacing w:before="0" w:after="283"/>
              <w:jc w:val="left"/>
              <w:rPr/>
            </w:pPr>
            <w:r>
              <w:rPr/>
              <w:t>Senior Managing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47"/>
        <w:gridCol w:w="823"/>
        <w:gridCol w:w="157"/>
        <w:gridCol w:w="2616"/>
        <w:gridCol w:w="62"/>
      </w:tblGrid>
      <w:tr>
        <w:trPr/>
        <w:tc>
          <w:tcPr>
            <w:tcW w:w="6547" w:type="dxa"/>
            <w:tcBorders/>
            <w:vAlign w:val="center"/>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5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823" w:type="dxa"/>
            <w:tcBorders/>
            <w:vAlign w:val="bottom"/>
          </w:tcPr>
          <w:p>
            <w:pPr>
              <w:pStyle w:val="TableContents"/>
              <w:bidi w:val="0"/>
              <w:spacing w:before="0" w:after="283"/>
              <w:jc w:val="left"/>
              <w:rPr/>
            </w:pPr>
            <w:r>
              <w:rPr/>
              <w:t>  </w:t>
            </w:r>
          </w:p>
        </w:tc>
        <w:tc>
          <w:tcPr>
            <w:tcW w:w="27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Firm Securities</w:t>
              <w:br/>
              <w:t>To Be Purchased</w:t>
            </w:r>
          </w:p>
        </w:tc>
        <w:tc>
          <w:tcPr>
            <w:tcW w:w="62" w:type="dxa"/>
            <w:tcBorders/>
            <w:vAlign w:val="bottom"/>
          </w:tcPr>
          <w:p>
            <w:pPr>
              <w:pStyle w:val="TableContents"/>
              <w:bidi w:val="0"/>
              <w:spacing w:before="0" w:after="283"/>
              <w:jc w:val="left"/>
              <w:rPr/>
            </w:pPr>
            <w:r>
              <w:rPr/>
              <w:t> </w:t>
            </w:r>
          </w:p>
        </w:tc>
      </w:tr>
      <w:tr>
        <w:trPr/>
        <w:tc>
          <w:tcPr>
            <w:tcW w:w="6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82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2616" w:type="dxa"/>
            <w:tcBorders/>
            <w:shd w:fill="CCEEFF" w:val="clear"/>
            <w:vAlign w:val="bottom"/>
          </w:tcPr>
          <w:p>
            <w:pPr>
              <w:pStyle w:val="TableContents"/>
              <w:bidi w:val="0"/>
              <w:spacing w:before="0" w:after="283"/>
              <w:jc w:val="right"/>
              <w:rPr/>
            </w:pPr>
            <w:r>
              <w:rPr/>
              <w:t>1,404,566</w:t>
            </w:r>
          </w:p>
        </w:tc>
        <w:tc>
          <w:tcPr>
            <w:tcW w:w="62" w:type="dxa"/>
            <w:tcBorders/>
            <w:shd w:fill="CCEEFF" w:val="clear"/>
            <w:vAlign w:val="bottom"/>
          </w:tcPr>
          <w:p>
            <w:pPr>
              <w:pStyle w:val="TableContents"/>
              <w:bidi w:val="0"/>
              <w:spacing w:before="0" w:after="283"/>
              <w:jc w:val="left"/>
              <w:rPr/>
            </w:pPr>
            <w:r>
              <w:rPr/>
              <w:t> </w:t>
            </w:r>
          </w:p>
        </w:tc>
      </w:tr>
      <w:tr>
        <w:trPr/>
        <w:tc>
          <w:tcPr>
            <w:tcW w:w="6547"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82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right"/>
              <w:rPr/>
            </w:pPr>
            <w:r>
              <w:rPr/>
              <w:t>1,210,832</w:t>
            </w:r>
          </w:p>
        </w:tc>
        <w:tc>
          <w:tcPr>
            <w:tcW w:w="62" w:type="dxa"/>
            <w:tcBorders/>
            <w:vAlign w:val="bottom"/>
          </w:tcPr>
          <w:p>
            <w:pPr>
              <w:pStyle w:val="TableContents"/>
              <w:bidi w:val="0"/>
              <w:spacing w:before="0" w:after="283"/>
              <w:jc w:val="left"/>
              <w:rPr/>
            </w:pPr>
            <w:r>
              <w:rPr/>
              <w:t> </w:t>
            </w:r>
          </w:p>
        </w:tc>
      </w:tr>
      <w:tr>
        <w:trPr/>
        <w:tc>
          <w:tcPr>
            <w:tcW w:w="6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82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2616" w:type="dxa"/>
            <w:tcBorders/>
            <w:shd w:fill="CCEEFF" w:val="clear"/>
            <w:vAlign w:val="bottom"/>
          </w:tcPr>
          <w:p>
            <w:pPr>
              <w:pStyle w:val="TableContents"/>
              <w:bidi w:val="0"/>
              <w:spacing w:before="0" w:after="283"/>
              <w:jc w:val="right"/>
              <w:rPr/>
            </w:pPr>
            <w:r>
              <w:rPr/>
              <w:t>678,066</w:t>
            </w:r>
          </w:p>
        </w:tc>
        <w:tc>
          <w:tcPr>
            <w:tcW w:w="62" w:type="dxa"/>
            <w:tcBorders/>
            <w:shd w:fill="CCEEFF" w:val="clear"/>
            <w:vAlign w:val="bottom"/>
          </w:tcPr>
          <w:p>
            <w:pPr>
              <w:pStyle w:val="TableContents"/>
              <w:bidi w:val="0"/>
              <w:spacing w:before="0" w:after="283"/>
              <w:jc w:val="left"/>
              <w:rPr/>
            </w:pPr>
            <w:r>
              <w:rPr/>
              <w:t> </w:t>
            </w:r>
          </w:p>
        </w:tc>
      </w:tr>
      <w:tr>
        <w:trPr/>
        <w:tc>
          <w:tcPr>
            <w:tcW w:w="6547"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82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right"/>
              <w:rPr/>
            </w:pPr>
            <w:r>
              <w:rPr/>
              <w:t>581,200</w:t>
            </w:r>
          </w:p>
        </w:tc>
        <w:tc>
          <w:tcPr>
            <w:tcW w:w="62" w:type="dxa"/>
            <w:tcBorders/>
            <w:vAlign w:val="bottom"/>
          </w:tcPr>
          <w:p>
            <w:pPr>
              <w:pStyle w:val="TableContents"/>
              <w:bidi w:val="0"/>
              <w:spacing w:before="0" w:after="283"/>
              <w:jc w:val="left"/>
              <w:rPr/>
            </w:pPr>
            <w:r>
              <w:rPr/>
              <w:t> </w:t>
            </w:r>
          </w:p>
        </w:tc>
      </w:tr>
      <w:tr>
        <w:trPr/>
        <w:tc>
          <w:tcPr>
            <w:tcW w:w="6547"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26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82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2616" w:type="dxa"/>
            <w:tcBorders/>
            <w:shd w:fill="CCEEFF" w:val="clear"/>
            <w:vAlign w:val="bottom"/>
          </w:tcPr>
          <w:p>
            <w:pPr>
              <w:pStyle w:val="TableContents"/>
              <w:bidi w:val="0"/>
              <w:spacing w:before="0" w:after="283"/>
              <w:jc w:val="right"/>
              <w:rPr/>
            </w:pPr>
            <w:r>
              <w:rPr/>
              <w:t>3,874,664</w:t>
            </w:r>
          </w:p>
        </w:tc>
        <w:tc>
          <w:tcPr>
            <w:tcW w:w="62" w:type="dxa"/>
            <w:tcBorders/>
            <w:shd w:fill="CCEEFF" w:val="clear"/>
            <w:vAlign w:val="bottom"/>
          </w:tcPr>
          <w:p>
            <w:pPr>
              <w:pStyle w:val="TableContents"/>
              <w:bidi w:val="0"/>
              <w:spacing w:before="0" w:after="283"/>
              <w:jc w:val="left"/>
              <w:rPr/>
            </w:pPr>
            <w:r>
              <w:rPr/>
              <w:t> </w:t>
            </w:r>
          </w:p>
        </w:tc>
      </w:tr>
      <w:tr>
        <w:trPr/>
        <w:tc>
          <w:tcPr>
            <w:tcW w:w="6547"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2616"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Time of Sale Prospectus </w:t>
      </w:r>
    </w:p>
    <w:p>
      <w:pPr>
        <w:pStyle w:val="TextBody"/>
        <w:bidi w:val="0"/>
        <w:spacing w:before="240" w:after="0"/>
        <w:jc w:val="left"/>
        <w:rPr>
          <w:rFonts w:ascii="Times New Roman" w:hAnsi="Times New Roman"/>
          <w:sz w:val="20"/>
        </w:rPr>
      </w:pPr>
      <w:r>
        <w:rPr>
          <w:rFonts w:ascii="Times New Roman" w:hAnsi="Times New Roman"/>
          <w:sz w:val="20"/>
        </w:rPr>
        <w:t xml:space="preserve">1. Pricing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6"/>
        <w:gridCol w:w="120"/>
        <w:gridCol w:w="7759"/>
      </w:tblGrid>
      <w:tr>
        <w:trPr/>
        <w:tc>
          <w:tcPr>
            <w:tcW w:w="23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59"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Firm Securities:</w:t>
            </w:r>
          </w:p>
        </w:tc>
        <w:tc>
          <w:tcPr>
            <w:tcW w:w="120" w:type="dxa"/>
            <w:tcBorders/>
            <w:shd w:fill="CCEEFF" w:val="clear"/>
            <w:vAlign w:val="bottom"/>
          </w:tcPr>
          <w:p>
            <w:pPr>
              <w:pStyle w:val="TableContents"/>
              <w:bidi w:val="0"/>
              <w:spacing w:before="0" w:after="283"/>
              <w:jc w:val="left"/>
              <w:rPr/>
            </w:pPr>
            <w:r>
              <w:rPr/>
              <w:t>  </w:t>
            </w:r>
          </w:p>
        </w:tc>
        <w:tc>
          <w:tcPr>
            <w:tcW w:w="7759" w:type="dxa"/>
            <w:tcBorders/>
            <w:shd w:fill="CCEEFF" w:val="clear"/>
            <w:vAlign w:val="bottom"/>
          </w:tcPr>
          <w:p>
            <w:pPr>
              <w:pStyle w:val="TableContents"/>
              <w:bidi w:val="0"/>
              <w:spacing w:before="0" w:after="283"/>
              <w:jc w:val="right"/>
              <w:rPr/>
            </w:pPr>
            <w:r>
              <w:rPr/>
              <w:t>3,874,664</w:t>
            </w:r>
          </w:p>
        </w:tc>
      </w:tr>
      <w:tr>
        <w:trPr/>
        <w:tc>
          <w:tcPr>
            <w:tcW w:w="2326" w:type="dxa"/>
            <w:tcBorders/>
          </w:tcPr>
          <w:p>
            <w:pPr>
              <w:pStyle w:val="TableContents"/>
              <w:bidi w:val="0"/>
              <w:spacing w:before="0" w:after="0"/>
              <w:jc w:val="left"/>
              <w:rPr>
                <w:rFonts w:ascii="Times New Roman" w:hAnsi="Times New Roman"/>
                <w:sz w:val="20"/>
              </w:rPr>
            </w:pPr>
            <w:r>
              <w:rPr>
                <w:rFonts w:ascii="Times New Roman" w:hAnsi="Times New Roman"/>
                <w:sz w:val="20"/>
              </w:rPr>
              <w:t>Number of Additional Shares:</w:t>
            </w:r>
          </w:p>
        </w:tc>
        <w:tc>
          <w:tcPr>
            <w:tcW w:w="120" w:type="dxa"/>
            <w:tcBorders/>
            <w:vAlign w:val="bottom"/>
          </w:tcPr>
          <w:p>
            <w:pPr>
              <w:pStyle w:val="TableContents"/>
              <w:bidi w:val="0"/>
              <w:spacing w:before="0" w:after="283"/>
              <w:jc w:val="left"/>
              <w:rPr/>
            </w:pPr>
            <w:r>
              <w:rPr/>
              <w:t>  </w:t>
            </w:r>
          </w:p>
        </w:tc>
        <w:tc>
          <w:tcPr>
            <w:tcW w:w="7759" w:type="dxa"/>
            <w:tcBorders/>
            <w:vAlign w:val="bottom"/>
          </w:tcPr>
          <w:p>
            <w:pPr>
              <w:pStyle w:val="TableContents"/>
              <w:bidi w:val="0"/>
              <w:spacing w:before="0" w:after="283"/>
              <w:jc w:val="right"/>
              <w:rPr/>
            </w:pPr>
            <w:r>
              <w:rPr/>
              <w:t>581,199</w:t>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120" w:type="dxa"/>
            <w:tcBorders/>
            <w:shd w:fill="CCEEFF" w:val="clear"/>
            <w:vAlign w:val="bottom"/>
          </w:tcPr>
          <w:p>
            <w:pPr>
              <w:pStyle w:val="TableContents"/>
              <w:bidi w:val="0"/>
              <w:spacing w:before="0" w:after="283"/>
              <w:jc w:val="left"/>
              <w:rPr/>
            </w:pPr>
            <w:r>
              <w:rPr/>
              <w:t>  </w:t>
            </w:r>
          </w:p>
        </w:tc>
        <w:tc>
          <w:tcPr>
            <w:tcW w:w="7759" w:type="dxa"/>
            <w:tcBorders/>
            <w:shd w:fill="CCEEFF" w:val="clear"/>
            <w:vAlign w:val="bottom"/>
          </w:tcPr>
          <w:p>
            <w:pPr>
              <w:pStyle w:val="TableContents"/>
              <w:bidi w:val="0"/>
              <w:spacing w:before="0" w:after="283"/>
              <w:jc w:val="right"/>
              <w:rPr/>
            </w:pPr>
            <w:r>
              <w:rPr/>
              <w:t>$29.68 per Share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III </w:t>
      </w:r>
    </w:p>
    <w:p>
      <w:pPr>
        <w:pStyle w:val="TextBody"/>
        <w:bidi w:val="0"/>
        <w:spacing w:before="240" w:after="0"/>
        <w:jc w:val="center"/>
        <w:rPr>
          <w:rFonts w:ascii="Times New Roman" w:hAnsi="Times New Roman"/>
          <w:sz w:val="20"/>
        </w:rPr>
      </w:pPr>
      <w:r>
        <w:rPr>
          <w:rFonts w:ascii="Times New Roman" w:hAnsi="Times New Roman"/>
          <w:sz w:val="20"/>
        </w:rPr>
        <w:t xml:space="preserve">Written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LETTER </w:t>
      </w:r>
    </w:p>
    <w:p>
      <w:pPr>
        <w:pStyle w:val="TextBody"/>
        <w:bidi w:val="0"/>
        <w:spacing w:before="240" w:after="0"/>
        <w:jc w:val="right"/>
        <w:rPr>
          <w:rFonts w:ascii="Times New Roman" w:hAnsi="Times New Roman"/>
          <w:sz w:val="20"/>
        </w:rPr>
      </w:pP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Morgan Stanley &amp; Co. LLC and Leerink Partners LLC (the “</w:t>
      </w:r>
      <w:r>
        <w:rPr>
          <w:rFonts w:ascii="Times New Roman" w:hAnsi="Times New Roman"/>
          <w:b/>
          <w:sz w:val="20"/>
        </w:rPr>
        <w:t>Representatives</w:t>
      </w:r>
      <w:r>
        <w:rPr>
          <w:rFonts w:ascii="Times New Roman" w:hAnsi="Times New Roman"/>
          <w:sz w:val="20"/>
        </w:rPr>
        <w:t>”) propose to enter into an Underwriting Agreement (the “</w:t>
      </w:r>
      <w:r>
        <w:rPr>
          <w:rFonts w:ascii="Times New Roman" w:hAnsi="Times New Roman"/>
          <w:b/>
          <w:sz w:val="20"/>
        </w:rPr>
        <w:t>Underwriting Agreement</w:t>
      </w:r>
      <w:r>
        <w:rPr>
          <w:rFonts w:ascii="Times New Roman" w:hAnsi="Times New Roman"/>
          <w:sz w:val="20"/>
        </w:rPr>
        <w:t xml:space="preserve">”) with Pharvaris N.V., a public limited liability company </w:t>
      </w:r>
      <w:r>
        <w:rPr>
          <w:rFonts w:ascii="Times New Roman" w:hAnsi="Times New Roman"/>
          <w:i/>
          <w:sz w:val="20"/>
        </w:rPr>
        <w:t xml:space="preserve">(naamloze vennootschap) </w:t>
      </w:r>
      <w:r>
        <w:rPr>
          <w:rFonts w:ascii="Times New Roman" w:hAnsi="Times New Roman"/>
          <w:sz w:val="20"/>
        </w:rPr>
        <w:t>incorporated and existing under the laws of the Netherlands, with its registered seat in Leiden, the Netherlands, registered under number 64239411 (the “</w:t>
      </w:r>
      <w:r>
        <w:rPr>
          <w:rFonts w:ascii="Times New Roman" w:hAnsi="Times New Roman"/>
          <w:b/>
          <w:sz w:val="20"/>
        </w:rPr>
        <w:t>Company</w:t>
      </w:r>
      <w:r>
        <w:rPr>
          <w:rFonts w:ascii="Times New Roman" w:hAnsi="Times New Roman"/>
          <w:sz w:val="20"/>
        </w:rPr>
        <w:t>”), providing for the offering (the “</w:t>
      </w:r>
      <w:r>
        <w:rPr>
          <w:rFonts w:ascii="Times New Roman" w:hAnsi="Times New Roman"/>
          <w:b/>
          <w:sz w:val="20"/>
        </w:rPr>
        <w:t>Offering</w:t>
      </w:r>
      <w:r>
        <w:rPr>
          <w:rFonts w:ascii="Times New Roman" w:hAnsi="Times New Roman"/>
          <w:sz w:val="20"/>
        </w:rPr>
        <w:t>”) by the several Underwriters (the “</w:t>
      </w:r>
      <w:r>
        <w:rPr>
          <w:rFonts w:ascii="Times New Roman" w:hAnsi="Times New Roman"/>
          <w:b/>
          <w:sz w:val="20"/>
        </w:rPr>
        <w:t>Underwriters</w:t>
      </w:r>
      <w:r>
        <w:rPr>
          <w:rFonts w:ascii="Times New Roman" w:hAnsi="Times New Roman"/>
          <w:sz w:val="20"/>
        </w:rPr>
        <w:t>”), including the Representatives, of ordinary shares, nominal value 0.12 per share, of the Company (the “</w:t>
      </w:r>
      <w:r>
        <w:rPr>
          <w:rFonts w:ascii="Times New Roman" w:hAnsi="Times New Roman"/>
          <w:b/>
          <w:sz w:val="20"/>
        </w:rPr>
        <w:t>Ordinary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induce the Underwriters that may participate in the Offering to continue their efforts in connection with the Offering, the undersigned hereby agrees that, without the prior written consent of the Representatives on behalf of the Underwriters, it will not, and will not publicly disclose an intention to, during the period commencing on the date hereof and ending 90 days after the date of the final prospectus (the “</w:t>
      </w:r>
      <w:r>
        <w:rPr>
          <w:rFonts w:ascii="Times New Roman" w:hAnsi="Times New Roman"/>
          <w:b/>
          <w:sz w:val="20"/>
        </w:rPr>
        <w:t>Restricted Period</w:t>
      </w:r>
      <w:r>
        <w:rPr>
          <w:rFonts w:ascii="Times New Roman" w:hAnsi="Times New Roman"/>
          <w:sz w:val="20"/>
        </w:rPr>
        <w:t>”) relating to the Offering (the “</w:t>
      </w:r>
      <w:r>
        <w:rPr>
          <w:rFonts w:ascii="Times New Roman" w:hAnsi="Times New Roman"/>
          <w:b/>
          <w:sz w:val="20"/>
        </w:rPr>
        <w:t>Prospectus</w:t>
      </w:r>
      <w:r>
        <w:rPr>
          <w:rFonts w:ascii="Times New Roman" w:hAnsi="Times New Roman"/>
          <w:sz w:val="20"/>
        </w:rPr>
        <w:t>”), (1) offer, pledge, sell, contract to sell, sell any option or contract to purchase, purchase any option or contract to sell, grant any option, right or warrant to purchase, lend, or otherwise transfer or dispose of, directly or indirectly, any Ordinary Shares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xml:space="preserve">”)), by the undersigned or any other securities so owned convertible into or exercisable or exchangeable for Ordinary Shares or (2) enter into any swap or other arrangement that transfers to another, in whole or in part, any of the economic consequences of ownership of the Ordinary Shares, whether any such transaction described in clause (1) or (2) above is to be settled by delivery of Ordinary Shares or such other securities, in cash or otherwise. The foregoing sentence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not apply to (A) the registration of the offer and sale of Ordinary Shares pursuant to the Underwriting Agreement, (B) transactions relating to the Ordinary Shares or other securities acquired in the Offering or open market transactions after the completion of the Offering, (C) transfers of Ordinary Shares or any security convertible into Ordinary Shares as a bona fide gift or gifts or by will, testamentary document or intestate succession, (D) distributions of Ordinary Shares or any security convertible into Ordinary Shares to limited partners, members, trust beneficiaries or stockholders of the undersigned, (E) if the undersigned is a corporation, partnership, limited liability company, trust or other business entity, to any direct or indirect affiliate (as defined in Rule 405 promulgated under the Securities Act of 1933, as amended) of the undersigned or any investment fund or other entity controlled or managed by, or under common control or management with, the undersigned or any investment fund or other entity that controls the undersigned, (F) solely by operation of law, pursuant to a qualified domestic order or in connection with a divorce settlement, (G) to any trust for the direct or indirect benefit of the undersigned or the immediate family of the undersigned (for purposes of this agreement “immediate family” shall mean any relationship by blood, marriage or adoption, not more remote than first cousin), provided that any such transfer shall not involve a disposition for value, (H) facilitating the establishment of a trading plan on behalf of a shareholder, officer or director of the Company pursuant to Rule 10b5-1 under the Exchange Act for the transfer of Ordinary Shares, </w:t>
      </w:r>
      <w:r>
        <w:rPr>
          <w:rFonts w:ascii="Times New Roman" w:hAnsi="Times New Roman"/>
          <w:i/>
          <w:sz w:val="20"/>
        </w:rPr>
        <w:t xml:space="preserve">provided </w:t>
      </w:r>
      <w:r>
        <w:rPr>
          <w:rFonts w:ascii="Times New Roman" w:hAnsi="Times New Roman"/>
          <w:sz w:val="20"/>
        </w:rPr>
        <w:t xml:space="preserve">that such plan does not provide for the transfer of Ordinary Shares during the Restricted Period and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Ordinary Shares may be made under such plan during the Restricted Period, (I) transfers to the Company of Ordinary Shares or any security convertible into Ordinary Shares in connection with the “net” or “cashless” exercise of options or warrants or the vesting, exercise or settlement of any other equity- based award during the Restricted Period, in each case, granted pursuant to the Company’s equity incentive plans described in the Prospectus or the documents incorporated by reference therein, including any Ordinary Shares withheld by the Company or any of its subsidiaries to pay the applicable exercise price or withholding taxes associated with such awards; </w:t>
      </w:r>
      <w:r>
        <w:rPr>
          <w:rFonts w:ascii="Times New Roman" w:hAnsi="Times New Roman"/>
          <w:i/>
          <w:sz w:val="20"/>
        </w:rPr>
        <w:t xml:space="preserve">provided </w:t>
      </w:r>
      <w:r>
        <w:rPr>
          <w:rFonts w:ascii="Times New Roman" w:hAnsi="Times New Roman"/>
          <w:sz w:val="20"/>
        </w:rPr>
        <w:t xml:space="preserve">(i) the restrictions contained in this agreement shall apply to Ordinary Shares issued upon such exercise, conversion, vesting or settlement and (ii) for any options or other awards that expire, vest or become settled during the Restricted Period while the Company is unable to transfer shares for purposes of satisfying any tax or other governmental withholding obligations, the restrictions contained in this agreement shall not apply to shares sold or otherwise withheld for that purpose, (J) pursuant to a bona fide third-party tender offer, merger, consolidation or other similar transaction made to all holders of the Company’s securities involving a Change of Control of the Company and approved by the Company’s board of directors, </w:t>
      </w:r>
      <w:r>
        <w:rPr>
          <w:rFonts w:ascii="Times New Roman" w:hAnsi="Times New Roman"/>
          <w:i/>
          <w:sz w:val="20"/>
        </w:rPr>
        <w:t xml:space="preserve">provided </w:t>
      </w:r>
      <w:r>
        <w:rPr>
          <w:rFonts w:ascii="Times New Roman" w:hAnsi="Times New Roman"/>
          <w:sz w:val="20"/>
        </w:rPr>
        <w:t xml:space="preserve">that in the event that such tender offer, merger, consolidation or other such transaction is not completed, such securities held by the undersigned shall remain subject to the provisions of this agreement (for purposes of this agreement “Change of Control” shall mean the transfer, whether by tender offer, merger, consolidation, spin-off or other such transaction, in one transaction or a series of related transactions, to a person or group of affiliated persons (other than an Underwriter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Offering), of the Company’s voting securities if, after such transfer, such person or group of affiliated persons would hold more than 50% of the outstanding voting securities of the Company (or the surviving entity), (K) to the Company pursuant to arrangements under which the Company has the option to repurchase the undersigned’s Ordinary Shares, which arrangements are described in the Prospectus or the documents incorporated by reference therein, (L) transfers made with the prior written consent of the Underwriters, (M) transfers or sales of Ordinary Shares pursuant to any Rule 10b5-1 Plan that has been entered into by the undersigned prior to the date of this agreement, and [(N) transfers or sales of up to [xyz] Ordinary Shares by the undersigned, </w:t>
      </w:r>
      <w:r>
        <w:rPr>
          <w:rFonts w:ascii="Times New Roman" w:hAnsi="Times New Roman"/>
          <w:i/>
          <w:sz w:val="20"/>
        </w:rPr>
        <w:t>provided</w:t>
      </w:r>
      <w:r>
        <w:rPr>
          <w:rFonts w:ascii="Times New Roman" w:hAnsi="Times New Roman"/>
          <w:sz w:val="20"/>
        </w:rPr>
        <w:t xml:space="preserve"> that any filing made pursuant to Section 16(a) of the Exchange Act shall include a footnote indicating that the reported transaction was effected pursuant to an exception to lock-up restrictions contained in this letter and no other public announcement shall be required or voluntarily made in connection with such transfer]1; </w:t>
      </w:r>
      <w:r>
        <w:rPr>
          <w:rFonts w:ascii="Times New Roman" w:hAnsi="Times New Roman"/>
          <w:i/>
          <w:sz w:val="20"/>
        </w:rPr>
        <w:t>provided</w:t>
      </w:r>
      <w:r>
        <w:rPr>
          <w:rFonts w:ascii="Times New Roman" w:hAnsi="Times New Roman"/>
          <w:sz w:val="20"/>
        </w:rPr>
        <w:t xml:space="preserve"> that in the case of any transfer or distribution pursuant to clause (C), (D), (E), (F) or (G), (i) each donee or distributee shall sign and deliver a lock-up agreement substantially in the form of this agreement, and (ii) in the case of any transfer or distribution pursuant to clause (B), (C), (D), (E), (F), (G), (I), (J), (K) or (N) (other than as expressly permitted under clause (N)), no public announcement or filing under the Exchange Act, reporting a reduction in beneficial ownership of Ordinary Shares, shall be required or voluntarily made during the Restricted Period (other than a filing under Section 13 or Section 16 of the Exchange Act that is required to be filed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undersigned agrees that, without the prior written consent of the Underwriters, it will not, during the Restricted Period, make any demand for or exercise any right with respect to, the registration of any Ordinary Shares or any security convertible into or exercisable or exchangeable for Ordinary Shares. The undersigned also agrees and consents to the entry of stop transfer instructions with the Company’s transfer agent and registrar against the transfer of the undersigned’s Ordinary Shares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terminated and the undersigned shall be released from its obligations hereunder upon the earlier of: (i) the date on which for any reason the Underwriting Agreement is terminated (other than the provisions thereof that survive termination) prior to payment for and delivery of the securities to be sold thereunder or (ii) the Company or the Underwriters notifies the other in writing prior to the execution of the Underwriting Agreement that it does not intend to proceed with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agreement in proceeding toward consummation of the Offering. The undersigned further understands that this agreement is irrevocable and shall be binding upon the undersigned’s heirs, legal representatives, successors and assigns.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to certain directors and officers.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Offering, the Underwriters are not making a recommendation to you to participate in the Offering or sell any Ordinary Shares at the price determined in the Offering, and nothing set forth in such disclosures or documentation is intended to suggest that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Offering actually occurs depends on a number of factors, including market conditions. Any Offering will only be made pursuant to an Underwriting Agreement, the terms of which are subject to negotiation between the Company and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c>
          <w:tcPr>
            <w:tcW w:w="40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(Name)</w:t>
            </w:r>
          </w:p>
        </w:tc>
      </w:tr>
      <w:tr>
        <w:trPr/>
        <w:tc>
          <w:tcPr>
            <w:tcW w:w="40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(Address)</w:t>
            </w:r>
          </w:p>
        </w:tc>
      </w:tr>
    </w:tbl>
    <w:p>
      <w:pPr>
        <w:pStyle w:val="TextBody"/>
        <w:bidi w:val="0"/>
        <w:spacing w:before="0" w:after="0"/>
        <w:jc w:val="right"/>
        <w:rPr>
          <w:rFonts w:ascii="Times New Roman" w:hAnsi="Times New Roman"/>
          <w:b/>
          <w:sz w:val="20"/>
        </w:rPr>
      </w:pPr>
      <w:bookmarkStart w:id="4" w:name="d134419dex51.htm"/>
      <w:bookmarkStart w:id="5" w:name="ksd134419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059"/>
        <w:gridCol w:w="121"/>
        <w:gridCol w:w="25"/>
      </w:tblGrid>
      <w:tr>
        <w:trPr/>
        <w:tc>
          <w:tcPr>
            <w:tcW w:w="100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r>
      <w:tr>
        <w:trPr/>
        <w:tc>
          <w:tcPr>
            <w:tcW w:w="100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ATTORNEYS  CIVIL LAW NOTARIES  TAX ADVISERS      </w:t>
            </w:r>
            <w:r>
              <w:rPr>
                <w:rFonts w:ascii="Times New Roman" w:hAnsi="Times New Roman"/>
                <w:sz w:val="20"/>
              </w:rPr>
              <w:drawing>
                <wp:inline distT="0" distB="0" distL="0" distR="0">
                  <wp:extent cx="126682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142875"/>
                          </a:xfrm>
                          <a:prstGeom prst="rect">
                            <a:avLst/>
                          </a:prstGeom>
                        </pic:spPr>
                      </pic:pic>
                    </a:graphicData>
                  </a:graphic>
                </wp:inline>
              </w:drawing>
            </w:r>
            <w:r>
              <w:rPr>
                <w:rFonts w:ascii="Times New Roman" w:hAnsi="Times New Roman"/>
                <w:sz w:val="20"/>
              </w:rPr>
              <w:t xml:space="preserve"> </w:t>
            </w:r>
          </w:p>
          <w:p>
            <w:pPr>
              <w:pStyle w:val="TableContents"/>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25"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2098"/>
        <w:gridCol w:w="122"/>
        <w:gridCol w:w="7985"/>
      </w:tblGrid>
      <w:tr>
        <w:trPr/>
        <w:tc>
          <w:tcPr>
            <w:tcW w:w="209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985" w:type="dxa"/>
            <w:tcBorders/>
            <w:vAlign w:val="center"/>
          </w:tcPr>
          <w:p>
            <w:pPr>
              <w:pStyle w:val="TableContents"/>
              <w:bidi w:val="0"/>
              <w:spacing w:before="0" w:after="283"/>
              <w:jc w:val="left"/>
              <w:rPr>
                <w:sz w:val="4"/>
                <w:szCs w:val="4"/>
              </w:rPr>
            </w:pPr>
            <w:r>
              <w:rPr>
                <w:sz w:val="4"/>
                <w:szCs w:val="4"/>
              </w:rPr>
            </w:r>
          </w:p>
        </w:tc>
      </w:tr>
      <w:tr>
        <w:trPr/>
        <w:tc>
          <w:tcPr>
            <w:tcW w:w="2098" w:type="dxa"/>
            <w:tcBorders/>
          </w:tcPr>
          <w:p>
            <w:pPr>
              <w:pStyle w:val="TableContents"/>
              <w:bidi w:val="0"/>
              <w:spacing w:before="0" w:after="0"/>
              <w:jc w:val="left"/>
              <w:rPr>
                <w:rFonts w:ascii="Times New Roman" w:hAnsi="Times New Roman"/>
                <w:sz w:val="20"/>
              </w:rPr>
            </w:pPr>
            <w:r>
              <w:rPr>
                <w:rFonts w:ascii="Times New Roman" w:hAnsi="Times New Roman"/>
                <w:sz w:val="20"/>
              </w:rPr>
              <w:t>P.O. Box 7113</w:t>
            </w:r>
          </w:p>
          <w:p>
            <w:pPr>
              <w:pStyle w:val="TableContents"/>
              <w:bidi w:val="0"/>
              <w:spacing w:before="0" w:after="0"/>
              <w:jc w:val="left"/>
              <w:rPr>
                <w:rFonts w:ascii="Times New Roman" w:hAnsi="Times New Roman"/>
                <w:sz w:val="20"/>
              </w:rPr>
            </w:pPr>
            <w:r>
              <w:rPr>
                <w:rFonts w:ascii="Times New Roman" w:hAnsi="Times New Roman"/>
                <w:sz w:val="20"/>
              </w:rPr>
              <w:t>1007 JC Amsterdam</w:t>
            </w:r>
          </w:p>
          <w:p>
            <w:pPr>
              <w:pStyle w:val="TableContents"/>
              <w:bidi w:val="0"/>
              <w:spacing w:before="0" w:after="0"/>
              <w:jc w:val="left"/>
              <w:rPr>
                <w:rFonts w:ascii="Times New Roman" w:hAnsi="Times New Roman"/>
                <w:sz w:val="20"/>
              </w:rPr>
            </w:pPr>
            <w:r>
              <w:rPr>
                <w:rFonts w:ascii="Times New Roman" w:hAnsi="Times New Roman"/>
                <w:sz w:val="20"/>
              </w:rPr>
              <w:t>Beethovenstraat 400</w:t>
            </w:r>
          </w:p>
          <w:p>
            <w:pPr>
              <w:pStyle w:val="TableContents"/>
              <w:bidi w:val="0"/>
              <w:spacing w:before="0" w:after="0"/>
              <w:jc w:val="left"/>
              <w:rPr>
                <w:rFonts w:ascii="Times New Roman" w:hAnsi="Times New Roman"/>
                <w:sz w:val="20"/>
              </w:rPr>
            </w:pPr>
            <w:r>
              <w:rPr>
                <w:rFonts w:ascii="Times New Roman" w:hAnsi="Times New Roman"/>
                <w:sz w:val="20"/>
              </w:rPr>
              <w:t>1082 PR Amsterdam</w:t>
            </w:r>
          </w:p>
          <w:p>
            <w:pPr>
              <w:pStyle w:val="TableContents"/>
              <w:bidi w:val="0"/>
              <w:spacing w:before="0" w:after="0"/>
              <w:jc w:val="left"/>
              <w:rPr>
                <w:rFonts w:ascii="Times New Roman" w:hAnsi="Times New Roman"/>
                <w:sz w:val="20"/>
              </w:rPr>
            </w:pPr>
            <w:r>
              <w:rPr>
                <w:rFonts w:ascii="Times New Roman" w:hAnsi="Times New Roman"/>
                <w:sz w:val="20"/>
              </w:rPr>
              <w:t>T +31 20 71 71 000</w:t>
            </w:r>
          </w:p>
          <w:p>
            <w:pPr>
              <w:pStyle w:val="TableContents"/>
              <w:bidi w:val="0"/>
              <w:spacing w:before="0" w:after="20"/>
              <w:jc w:val="left"/>
              <w:rPr>
                <w:rFonts w:ascii="Times New Roman" w:hAnsi="Times New Roman"/>
                <w:sz w:val="20"/>
              </w:rPr>
            </w:pPr>
            <w:r>
              <w:rPr>
                <w:rFonts w:ascii="Times New Roman" w:hAnsi="Times New Roman"/>
                <w:sz w:val="20"/>
              </w:rPr>
              <w:t>F +31 20 71 71 111</w:t>
            </w:r>
          </w:p>
        </w:tc>
        <w:tc>
          <w:tcPr>
            <w:tcW w:w="122" w:type="dxa"/>
            <w:tcBorders/>
            <w:vAlign w:val="bottom"/>
          </w:tcPr>
          <w:p>
            <w:pPr>
              <w:pStyle w:val="TableContents"/>
              <w:bidi w:val="0"/>
              <w:spacing w:before="0" w:after="283"/>
              <w:jc w:val="left"/>
              <w:rPr/>
            </w:pPr>
            <w:r>
              <w:rPr/>
              <w:t>  </w:t>
            </w:r>
          </w:p>
        </w:tc>
        <w:tc>
          <w:tcPr>
            <w:tcW w:w="7985"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Amsterdam, 11 May 2026.</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10109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101090" cy="35052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17000</wp14:pctWidth>
                </wp14:sizeRelH>
              </wp:anchor>
            </w:drawing>
          </mc:Choice>
          <mc:Fallback>
            <w:pict>
              <v:rect style="position:absolute;rotation:-0;width:86.7pt;height:2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5184140" cy="5608320"/>
                <wp:effectExtent l="0" t="0" r="0" b="0"/>
                <wp:wrapSquare wrapText="right"/>
                <wp:docPr id="3" name="Frame2"/>
                <a:graphic xmlns:a="http://schemas.openxmlformats.org/drawingml/2006/main">
                  <a:graphicData uri="http://schemas.microsoft.com/office/word/2010/wordprocessingShape">
                    <wps:wsp>
                      <wps:cNvSpPr txBox="1"/>
                      <wps:spPr>
                        <a:xfrm>
                          <a:off x="0" y="0"/>
                          <a:ext cx="5184140" cy="560832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To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legal counsel as to Dutch law to the Company in connection with the Offering and the filing of the Prosectus Supplement to the Registration Statement with the SEC. This opinion letter is rendered to you in order to be filed with the SEC as an exhibit to the Company’s Form 6-K, as filed or to be filed with the SEC on 11 May 2026. </w:t>
                            </w:r>
                          </w:p>
                          <w:p>
                            <w:pPr>
                              <w:pStyle w:val="TextBody"/>
                              <w:bidi w:val="0"/>
                              <w:spacing w:before="240" w:after="0"/>
                              <w:jc w:val="left"/>
                              <w:rPr>
                                <w:rFonts w:ascii="Times New Roman" w:hAnsi="Times New Roman"/>
                                <w:sz w:val="20"/>
                              </w:rPr>
                            </w:pPr>
                            <w:r>
                              <w:rPr>
                                <w:rFonts w:ascii="Times New Roman" w:hAnsi="Times New Roman"/>
                                <w:sz w:val="20"/>
                              </w:rPr>
                              <w:t xml:space="preserve">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in this opinion letter, we have reviewed and relied upon drafts of the Reviewed Documents, a draft of the Registration Statement and the Prospectus Supplement and pdf copies or drafts, as the case may be, of the Corporate Documents and we have assumed that the Reviewed Documents shall be entered into for bona fide commercial reasons. We have not investigated or verified any factual matter disclosed to us in the course of our review.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Reviewed Documents, the Registration Statement or the Corporate Documents subsequent to the date of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 </w:t>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441.6pt;mso-wrap-distance-left:0pt;mso-wrap-distance-right:0pt;mso-wrap-distance-top:0pt;mso-wrap-distance-bottom:0pt;margin-top:0pt;mso-position-vertical:top;mso-position-vertical-relative:text;margin-left:86.7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To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legal counsel as to Dutch law to the Company in connection with the Offering and the filing of the Prosectus Supplement to the Registration Statement with the SEC. This opinion letter is rendered to you in order to be filed with the SEC as an exhibit to the Company’s Form 6-K, as filed or to be filed with the SEC on 11 May 2026. </w:t>
                      </w:r>
                    </w:p>
                    <w:p>
                      <w:pPr>
                        <w:pStyle w:val="TextBody"/>
                        <w:bidi w:val="0"/>
                        <w:spacing w:before="240" w:after="0"/>
                        <w:jc w:val="left"/>
                        <w:rPr>
                          <w:rFonts w:ascii="Times New Roman" w:hAnsi="Times New Roman"/>
                          <w:sz w:val="20"/>
                        </w:rPr>
                      </w:pPr>
                      <w:r>
                        <w:rPr>
                          <w:rFonts w:ascii="Times New Roman" w:hAnsi="Times New Roman"/>
                          <w:sz w:val="20"/>
                        </w:rPr>
                        <w:t xml:space="preserve">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in this opinion letter, we have reviewed and relied upon drafts of the Reviewed Documents, a draft of the Registration Statement and the Prospectus Supplement and pdf copies or drafts, as the case may be, of the Corporate Documents and we have assumed that the Reviewed Documents shall be entered into for bona fide commercial reasons. We have not investigated or verified any factual matter disclosed to us in the course of our review.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Reviewed Documents, the Registration Statement or the Corporate Documents subsequent to the date of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 </w:t>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000" w:type="pct"/>
        <w:jc w:val="center"/>
        <w:tblInd w:w="0" w:type="dxa"/>
        <w:tblLayout w:type="fixed"/>
        <w:tblCellMar>
          <w:top w:w="0" w:type="dxa"/>
          <w:left w:w="0" w:type="dxa"/>
          <w:bottom w:w="0" w:type="dxa"/>
          <w:right w:w="0" w:type="dxa"/>
        </w:tblCellMar>
      </w:tblPr>
      <w:tblGrid>
        <w:gridCol w:w="1845"/>
        <w:gridCol w:w="109"/>
        <w:gridCol w:w="8102"/>
        <w:gridCol w:w="123"/>
        <w:gridCol w:w="26"/>
      </w:tblGrid>
      <w:tr>
        <w:trPr/>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02" w:type="dxa"/>
            <w:tcBorders/>
          </w:tcPr>
          <w:p>
            <w:pPr>
              <w:pStyle w:val="TableContents"/>
              <w:bidi w:val="0"/>
              <w:spacing w:before="0" w:after="0"/>
              <w:jc w:val="center"/>
              <w:rPr/>
            </w:pPr>
            <w:r>
              <w:rPr/>
              <w:t xml:space="preserve">      </w:t>
            </w:r>
            <w:r>
              <w:rPr/>
              <w:drawing>
                <wp:inline distT="0" distB="0" distL="0" distR="0">
                  <wp:extent cx="1266825" cy="1428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266825" cy="142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 xml:space="preserve">2 </w:t>
            </w:r>
          </w:p>
        </w:tc>
        <w:tc>
          <w:tcPr>
            <w:tcW w:w="123" w:type="dxa"/>
            <w:tcBorders/>
            <w:vAlign w:val="bottom"/>
          </w:tcPr>
          <w:p>
            <w:pPr>
              <w:pStyle w:val="TableContents"/>
              <w:bidi w:val="0"/>
              <w:spacing w:before="0" w:after="283"/>
              <w:jc w:val="left"/>
              <w:rPr/>
            </w:pPr>
            <w:r>
              <w:rPr/>
              <w:t>  </w:t>
            </w:r>
          </w:p>
        </w:tc>
        <w:tc>
          <w:tcPr>
            <w:tcW w:w="26"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924"/>
        <w:gridCol w:w="130"/>
        <w:gridCol w:w="8151"/>
      </w:tblGrid>
      <w:tr>
        <w:trPr/>
        <w:tc>
          <w:tcPr>
            <w:tcW w:w="19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51" w:type="dxa"/>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8151"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101090" cy="350520"/>
                <wp:effectExtent l="0" t="0" r="0" b="0"/>
                <wp:wrapSquare wrapText="right"/>
                <wp:docPr id="5" name="Frame3"/>
                <a:graphic xmlns:a="http://schemas.openxmlformats.org/drawingml/2006/main">
                  <a:graphicData uri="http://schemas.microsoft.com/office/word/2010/wordprocessingShape">
                    <wps:wsp>
                      <wps:cNvSpPr txBox="1"/>
                      <wps:spPr>
                        <a:xfrm>
                          <a:off x="0" y="0"/>
                          <a:ext cx="1101090" cy="35052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17000</wp14:pctWidth>
                </wp14:sizeRelH>
              </wp:anchor>
            </w:drawing>
          </mc:Choice>
          <mc:Fallback>
            <w:pict>
              <v:rect style="position:absolute;rotation:-0;width:86.7pt;height:2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5184140" cy="5496560"/>
                <wp:effectExtent l="0" t="0" r="0" b="0"/>
                <wp:wrapSquare wrapText="right"/>
                <wp:docPr id="6" name="Frame4"/>
                <a:graphic xmlns:a="http://schemas.openxmlformats.org/drawingml/2006/main">
                  <a:graphicData uri="http://schemas.microsoft.com/office/word/2010/wordprocessingShape">
                    <wps:wsp>
                      <wps:cNvSpPr txBox="1"/>
                      <wps:spPr>
                        <a:xfrm>
                          <a:off x="0" y="0"/>
                          <a:ext cx="5184140" cy="549656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opinion letter, we have assumed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7"/>
                              <w:gridCol w:w="7937"/>
                            </w:tblGrid>
                            <w:tr>
                              <w:trPr/>
                              <w:tc>
                                <w:tcPr>
                                  <w:tcW w:w="227" w:type="dxa"/>
                                  <w:tcBorders/>
                                </w:tcPr>
                                <w:p>
                                  <w:pPr>
                                    <w:pStyle w:val="TableContents"/>
                                    <w:bidi w:val="0"/>
                                    <w:spacing w:before="0" w:after="283"/>
                                    <w:jc w:val="left"/>
                                    <w:rPr/>
                                  </w:pPr>
                                  <w:r>
                                    <w:rPr/>
                                    <w:t>a.</w:t>
                                  </w:r>
                                </w:p>
                              </w:tc>
                              <w:tc>
                                <w:tcPr>
                                  <w:tcW w:w="79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drafts of documents reviewed by us will be signed in the form of those drafts, each copy of a document conforms to the original, each original is authentic, and each signature is the genuine signature of the individual purported to have placed that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8"/>
                              <w:gridCol w:w="7936"/>
                            </w:tblGrid>
                            <w:tr>
                              <w:trPr/>
                              <w:tc>
                                <w:tcPr>
                                  <w:tcW w:w="228" w:type="dxa"/>
                                  <w:tcBorders/>
                                </w:tcPr>
                                <w:p>
                                  <w:pPr>
                                    <w:pStyle w:val="TableContents"/>
                                    <w:bidi w:val="0"/>
                                    <w:spacing w:before="0" w:after="283"/>
                                    <w:jc w:val="left"/>
                                    <w:rPr/>
                                  </w:pPr>
                                  <w:r>
                                    <w:rPr/>
                                    <w:t>b.</w:t>
                                  </w:r>
                                </w:p>
                              </w:tc>
                              <w:tc>
                                <w:tcPr>
                                  <w:tcW w:w="793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signature under any document is an electronic signature (as opposed to a handwritten (“wet ink”) signature) only, it is either a qualified electronic signature within the meaning of the eIDAS Regulation, or the method used for signing is otherwise sufficiently reliable;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3"/>
                              <w:gridCol w:w="7901"/>
                            </w:tblGrid>
                            <w:tr>
                              <w:trPr/>
                              <w:tc>
                                <w:tcPr>
                                  <w:tcW w:w="263" w:type="dxa"/>
                                  <w:tcBorders/>
                                </w:tcPr>
                                <w:p>
                                  <w:pPr>
                                    <w:pStyle w:val="TableContents"/>
                                    <w:bidi w:val="0"/>
                                    <w:spacing w:before="0" w:after="283"/>
                                    <w:jc w:val="left"/>
                                    <w:rPr/>
                                  </w:pPr>
                                  <w:r>
                                    <w:rPr/>
                                    <w:t>c.</w:t>
                                  </w:r>
                                </w:p>
                              </w:tc>
                              <w:tc>
                                <w:tcPr>
                                  <w:tcW w:w="79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has been or will be declared effective by the SEC and the Prospectus Supplement has been filed with the SEC, in each case in the form reviewed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7"/>
                              <w:gridCol w:w="7977"/>
                            </w:tblGrid>
                            <w:tr>
                              <w:trPr/>
                              <w:tc>
                                <w:tcPr>
                                  <w:tcW w:w="187" w:type="dxa"/>
                                  <w:tcBorders/>
                                </w:tcPr>
                                <w:p>
                                  <w:pPr>
                                    <w:pStyle w:val="TableContents"/>
                                    <w:bidi w:val="0"/>
                                    <w:spacing w:before="0" w:after="283"/>
                                    <w:jc w:val="left"/>
                                    <w:rPr/>
                                  </w:pPr>
                                  <w:r>
                                    <w:rPr/>
                                    <w:t>d.</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each Relevant Moment, (i) Ordinary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432.8pt;mso-wrap-distance-left:0pt;mso-wrap-distance-right:0pt;mso-wrap-distance-top:0pt;mso-wrap-distance-bottom:0pt;margin-top:0pt;mso-position-vertical:top;mso-position-vertical-relative:text;margin-left:86.7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opinion letter, we have assumed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7"/>
                        <w:gridCol w:w="7937"/>
                      </w:tblGrid>
                      <w:tr>
                        <w:trPr/>
                        <w:tc>
                          <w:tcPr>
                            <w:tcW w:w="227" w:type="dxa"/>
                            <w:tcBorders/>
                          </w:tcPr>
                          <w:p>
                            <w:pPr>
                              <w:pStyle w:val="TableContents"/>
                              <w:bidi w:val="0"/>
                              <w:spacing w:before="0" w:after="283"/>
                              <w:jc w:val="left"/>
                              <w:rPr/>
                            </w:pPr>
                            <w:r>
                              <w:rPr/>
                              <w:t>a.</w:t>
                            </w:r>
                          </w:p>
                        </w:tc>
                        <w:tc>
                          <w:tcPr>
                            <w:tcW w:w="79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drafts of documents reviewed by us will be signed in the form of those drafts, each copy of a document conforms to the original, each original is authentic, and each signature is the genuine signature of the individual purported to have placed that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8"/>
                        <w:gridCol w:w="7936"/>
                      </w:tblGrid>
                      <w:tr>
                        <w:trPr/>
                        <w:tc>
                          <w:tcPr>
                            <w:tcW w:w="228" w:type="dxa"/>
                            <w:tcBorders/>
                          </w:tcPr>
                          <w:p>
                            <w:pPr>
                              <w:pStyle w:val="TableContents"/>
                              <w:bidi w:val="0"/>
                              <w:spacing w:before="0" w:after="283"/>
                              <w:jc w:val="left"/>
                              <w:rPr/>
                            </w:pPr>
                            <w:r>
                              <w:rPr/>
                              <w:t>b.</w:t>
                            </w:r>
                          </w:p>
                        </w:tc>
                        <w:tc>
                          <w:tcPr>
                            <w:tcW w:w="793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signature under any document is an electronic signature (as opposed to a handwritten (“wet ink”) signature) only, it is either a qualified electronic signature within the meaning of the eIDAS Regulation, or the method used for signing is otherwise sufficiently reliable;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3"/>
                        <w:gridCol w:w="7901"/>
                      </w:tblGrid>
                      <w:tr>
                        <w:trPr/>
                        <w:tc>
                          <w:tcPr>
                            <w:tcW w:w="263" w:type="dxa"/>
                            <w:tcBorders/>
                          </w:tcPr>
                          <w:p>
                            <w:pPr>
                              <w:pStyle w:val="TableContents"/>
                              <w:bidi w:val="0"/>
                              <w:spacing w:before="0" w:after="283"/>
                              <w:jc w:val="left"/>
                              <w:rPr/>
                            </w:pPr>
                            <w:r>
                              <w:rPr/>
                              <w:t>c.</w:t>
                            </w:r>
                          </w:p>
                        </w:tc>
                        <w:tc>
                          <w:tcPr>
                            <w:tcW w:w="79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has been or will be declared effective by the SEC and the Prospectus Supplement has been filed with the SEC, in each case in the form reviewed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7"/>
                        <w:gridCol w:w="7977"/>
                      </w:tblGrid>
                      <w:tr>
                        <w:trPr/>
                        <w:tc>
                          <w:tcPr>
                            <w:tcW w:w="187" w:type="dxa"/>
                            <w:tcBorders/>
                          </w:tcPr>
                          <w:p>
                            <w:pPr>
                              <w:pStyle w:val="TableContents"/>
                              <w:bidi w:val="0"/>
                              <w:spacing w:before="0" w:after="283"/>
                              <w:jc w:val="left"/>
                              <w:rPr/>
                            </w:pPr>
                            <w:r>
                              <w:rPr/>
                              <w:t>d.</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each Relevant Moment, (i) Ordinary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000" w:type="pct"/>
        <w:jc w:val="center"/>
        <w:tblInd w:w="0" w:type="dxa"/>
        <w:tblLayout w:type="fixed"/>
        <w:tblCellMar>
          <w:top w:w="0" w:type="dxa"/>
          <w:left w:w="0" w:type="dxa"/>
          <w:bottom w:w="0" w:type="dxa"/>
          <w:right w:w="0" w:type="dxa"/>
        </w:tblCellMar>
      </w:tblPr>
      <w:tblGrid>
        <w:gridCol w:w="1845"/>
        <w:gridCol w:w="109"/>
        <w:gridCol w:w="8102"/>
        <w:gridCol w:w="123"/>
        <w:gridCol w:w="26"/>
      </w:tblGrid>
      <w:tr>
        <w:trPr/>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02" w:type="dxa"/>
            <w:tcBorders/>
          </w:tcPr>
          <w:p>
            <w:pPr>
              <w:pStyle w:val="TableContents"/>
              <w:bidi w:val="0"/>
              <w:spacing w:before="0" w:after="0"/>
              <w:jc w:val="center"/>
              <w:rPr/>
            </w:pPr>
            <w:r>
              <w:rPr/>
              <w:t xml:space="preserve">      </w:t>
            </w:r>
            <w:r>
              <w:rPr/>
              <w:drawing>
                <wp:inline distT="0" distB="0" distL="0" distR="0">
                  <wp:extent cx="1266825" cy="1428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266825" cy="142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 xml:space="preserve">3 </w:t>
            </w:r>
          </w:p>
        </w:tc>
        <w:tc>
          <w:tcPr>
            <w:tcW w:w="123" w:type="dxa"/>
            <w:tcBorders/>
            <w:vAlign w:val="bottom"/>
          </w:tcPr>
          <w:p>
            <w:pPr>
              <w:pStyle w:val="TableContents"/>
              <w:bidi w:val="0"/>
              <w:spacing w:before="0" w:after="283"/>
              <w:jc w:val="left"/>
              <w:rPr/>
            </w:pPr>
            <w:r>
              <w:rPr/>
              <w:t>  </w:t>
            </w:r>
          </w:p>
        </w:tc>
        <w:tc>
          <w:tcPr>
            <w:tcW w:w="26"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924"/>
        <w:gridCol w:w="130"/>
        <w:gridCol w:w="8151"/>
      </w:tblGrid>
      <w:tr>
        <w:trPr/>
        <w:tc>
          <w:tcPr>
            <w:tcW w:w="19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51" w:type="dxa"/>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8151"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101090" cy="350520"/>
                <wp:effectExtent l="0" t="0" r="0" b="0"/>
                <wp:wrapSquare wrapText="right"/>
                <wp:docPr id="8" name="Frame5"/>
                <a:graphic xmlns:a="http://schemas.openxmlformats.org/drawingml/2006/main">
                  <a:graphicData uri="http://schemas.microsoft.com/office/word/2010/wordprocessingShape">
                    <wps:wsp>
                      <wps:cNvSpPr txBox="1"/>
                      <wps:spPr>
                        <a:xfrm>
                          <a:off x="0" y="0"/>
                          <a:ext cx="1101090" cy="35052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17000</wp14:pctWidth>
                </wp14:sizeRelH>
              </wp:anchor>
            </w:drawing>
          </mc:Choice>
          <mc:Fallback>
            <w:pict>
              <v:rect style="position:absolute;rotation:-0;width:86.7pt;height:2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5184140" cy="5694045"/>
                <wp:effectExtent l="0" t="0" r="0" b="0"/>
                <wp:wrapSquare wrapText="right"/>
                <wp:docPr id="9" name="Frame6"/>
                <a:graphic xmlns:a="http://schemas.openxmlformats.org/drawingml/2006/main">
                  <a:graphicData uri="http://schemas.microsoft.com/office/word/2010/wordprocessingShape">
                    <wps:wsp>
                      <wps:cNvSpPr txBox="1"/>
                      <wps:spPr>
                        <a:xfrm>
                          <a:off x="0" y="0"/>
                          <a:ext cx="5184140" cy="5694045"/>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903"/>
                              <w:gridCol w:w="7261"/>
                            </w:tblGrid>
                            <w:tr>
                              <w:trPr/>
                              <w:tc>
                                <w:tcPr>
                                  <w:tcW w:w="903" w:type="dxa"/>
                                  <w:tcBorders/>
                                </w:tcPr>
                                <w:p>
                                  <w:pPr>
                                    <w:pStyle w:val="TableContents"/>
                                    <w:bidi w:val="0"/>
                                    <w:spacing w:before="0" w:after="283"/>
                                    <w:jc w:val="left"/>
                                    <w:rPr/>
                                  </w:pPr>
                                  <w:r>
                                    <w:rPr/>
                                    <w:t>e.</w:t>
                                  </w:r>
                                </w:p>
                              </w:tc>
                              <w:tc>
                                <w:tcPr>
                                  <w:tcW w:w="72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Deed of Incorporation is a valid notarial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8"/>
                              <w:gridCol w:w="7936"/>
                            </w:tblGrid>
                            <w:tr>
                              <w:trPr/>
                              <w:tc>
                                <w:tcPr>
                                  <w:tcW w:w="228" w:type="dxa"/>
                                  <w:tcBorders/>
                                </w:tcPr>
                                <w:p>
                                  <w:pPr>
                                    <w:pStyle w:val="TableContents"/>
                                    <w:bidi w:val="0"/>
                                    <w:spacing w:before="0" w:after="283"/>
                                    <w:jc w:val="left"/>
                                    <w:rPr/>
                                  </w:pPr>
                                  <w:r>
                                    <w:rPr/>
                                    <w:t>f.</w:t>
                                  </w:r>
                                </w:p>
                              </w:tc>
                              <w:tc>
                                <w:tcPr>
                                  <w:tcW w:w="7936" w:type="dxa"/>
                                  <w:tcBorders/>
                                </w:tcPr>
                                <w:p>
                                  <w:pPr>
                                    <w:pStyle w:val="TableContents"/>
                                    <w:bidi w:val="0"/>
                                    <w:spacing w:before="0" w:after="0"/>
                                    <w:jc w:val="left"/>
                                    <w:rPr>
                                      <w:rFonts w:ascii="Times New Roman" w:hAnsi="Times New Roman"/>
                                      <w:sz w:val="20"/>
                                    </w:rPr>
                                  </w:pPr>
                                  <w:r>
                                    <w:rPr>
                                      <w:rFonts w:ascii="Times New Roman" w:hAnsi="Times New Roman"/>
                                      <w:sz w:val="20"/>
                                    </w:rPr>
                                    <w:t>(i) no internal regulations (</w:t>
                                  </w:r>
                                  <w:r>
                                    <w:rPr>
                                      <w:rFonts w:ascii="Times New Roman" w:hAnsi="Times New Roman"/>
                                      <w:i/>
                                      <w:sz w:val="20"/>
                                    </w:rPr>
                                    <w:t>reglementen</w:t>
                                  </w:r>
                                  <w:r>
                                    <w:rPr>
                                      <w:rFonts w:ascii="Times New Roman" w:hAnsi="Times New Roman"/>
                                      <w:sz w:val="20"/>
                                    </w:rPr>
                                    <w:t xml:space="preserve">) have been adopted by any corporate body of the Company which would affect the validity of the resolutions recorded in the Resolutions and (ii) the Current Articles are the Articles of Association currently in force and as they will be in force at each Relevant Moment;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1"/>
                              <w:gridCol w:w="7923"/>
                            </w:tblGrid>
                            <w:tr>
                              <w:trPr/>
                              <w:tc>
                                <w:tcPr>
                                  <w:tcW w:w="241" w:type="dxa"/>
                                  <w:tcBorders/>
                                </w:tcPr>
                                <w:p>
                                  <w:pPr>
                                    <w:pStyle w:val="TableContents"/>
                                    <w:bidi w:val="0"/>
                                    <w:spacing w:before="0" w:after="283"/>
                                    <w:jc w:val="left"/>
                                    <w:rPr/>
                                  </w:pPr>
                                  <w:r>
                                    <w:rPr/>
                                    <w:t>g.</w:t>
                                  </w:r>
                                </w:p>
                              </w:tc>
                              <w:tc>
                                <w:tcPr>
                                  <w:tcW w:w="792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at each Relevant Moment, the resolutions recorded in the Resolutions shall be in full force and effect, (ii) at each Relevant Moment, the factual statements made and the confirmations given in the Resolutions and in each Deed of Issue shall be complete and correct and (iii) the Resolutions correctly reflect the resolutions recorded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49"/>
                              <w:gridCol w:w="7815"/>
                            </w:tblGrid>
                            <w:tr>
                              <w:trPr/>
                              <w:tc>
                                <w:tcPr>
                                  <w:tcW w:w="349" w:type="dxa"/>
                                  <w:tcBorders/>
                                </w:tcPr>
                                <w:p>
                                  <w:pPr>
                                    <w:pStyle w:val="TableContents"/>
                                    <w:bidi w:val="0"/>
                                    <w:spacing w:before="0" w:after="283"/>
                                    <w:jc w:val="left"/>
                                    <w:rPr/>
                                  </w:pPr>
                                  <w:r>
                                    <w:rPr/>
                                    <w:t>h.</w:t>
                                  </w:r>
                                </w:p>
                              </w:tc>
                              <w:tc>
                                <w:tcPr>
                                  <w:tcW w:w="7815" w:type="dxa"/>
                                  <w:tcBorders/>
                                </w:tcPr>
                                <w:p>
                                  <w:pPr>
                                    <w:pStyle w:val="TableContents"/>
                                    <w:bidi w:val="0"/>
                                    <w:spacing w:before="0" w:after="0"/>
                                    <w:jc w:val="left"/>
                                    <w:rPr>
                                      <w:rFonts w:ascii="Times New Roman" w:hAnsi="Times New Roman"/>
                                      <w:sz w:val="20"/>
                                    </w:rPr>
                                  </w:pPr>
                                  <w:r>
                                    <w:rPr>
                                      <w:rFonts w:ascii="Times New Roman" w:hAnsi="Times New Roman"/>
                                      <w:sz w:val="20"/>
                                    </w:rPr>
                                    <w:t>at each Relevant Moment, the authorised share capital (</w:t>
                                  </w:r>
                                  <w:r>
                                    <w:rPr>
                                      <w:rFonts w:ascii="Times New Roman" w:hAnsi="Times New Roman"/>
                                      <w:i/>
                                      <w:sz w:val="20"/>
                                    </w:rPr>
                                    <w:t>maatschappelijk kapitaal</w:t>
                                  </w:r>
                                  <w:r>
                                    <w:rPr>
                                      <w:rFonts w:ascii="Times New Roman" w:hAnsi="Times New Roman"/>
                                      <w:sz w:val="20"/>
                                    </w:rPr>
                                    <w:t xml:space="preserve">) of the Company shall allow for the issuance of the Registered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4"/>
                              <w:gridCol w:w="7850"/>
                            </w:tblGrid>
                            <w:tr>
                              <w:trPr/>
                              <w:tc>
                                <w:tcPr>
                                  <w:tcW w:w="314" w:type="dxa"/>
                                  <w:tcBorders/>
                                </w:tcPr>
                                <w:p>
                                  <w:pPr>
                                    <w:pStyle w:val="TableContents"/>
                                    <w:bidi w:val="0"/>
                                    <w:spacing w:before="0" w:after="283"/>
                                    <w:jc w:val="left"/>
                                    <w:rPr/>
                                  </w:pPr>
                                  <w:r>
                                    <w:rPr/>
                                    <w:t>i.</w:t>
                                  </w:r>
                                </w:p>
                              </w:tc>
                              <w:tc>
                                <w:tcPr>
                                  <w:tcW w:w="78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Relevant Moment when Offer Shares or Option Shares will be issued, the relevant Deed of Issue shall have been validly signed and executed on behalf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8"/>
                              <w:gridCol w:w="8006"/>
                            </w:tblGrid>
                            <w:tr>
                              <w:trPr/>
                              <w:tc>
                                <w:tcPr>
                                  <w:tcW w:w="158" w:type="dxa"/>
                                  <w:tcBorders/>
                                </w:tcPr>
                                <w:p>
                                  <w:pPr>
                                    <w:pStyle w:val="TableContents"/>
                                    <w:bidi w:val="0"/>
                                    <w:spacing w:before="0" w:after="283"/>
                                    <w:jc w:val="left"/>
                                    <w:rPr/>
                                  </w:pPr>
                                  <w:r>
                                    <w:rPr/>
                                    <w:t>j.</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at each Relevant Moment, the Company will not have (i) been dissolved (</w:t>
                                  </w:r>
                                  <w:r>
                                    <w:rPr>
                                      <w:rFonts w:ascii="Times New Roman" w:hAnsi="Times New Roman"/>
                                      <w:i/>
                                      <w:sz w:val="20"/>
                                    </w:rPr>
                                    <w:t>ontbonden</w:t>
                                  </w:r>
                                  <w:r>
                                    <w:rPr>
                                      <w:rFonts w:ascii="Times New Roman" w:hAnsi="Times New Roman"/>
                                      <w:sz w:val="20"/>
                                    </w:rPr>
                                    <w:t>), (ii) ceased to exist pursuant to a merger (</w:t>
                                  </w:r>
                                  <w:r>
                                    <w:rPr>
                                      <w:rFonts w:ascii="Times New Roman" w:hAnsi="Times New Roman"/>
                                      <w:i/>
                                      <w:sz w:val="20"/>
                                    </w:rPr>
                                    <w:t>fusie</w:t>
                                  </w:r>
                                  <w:r>
                                    <w:rPr>
                                      <w:rFonts w:ascii="Times New Roman" w:hAnsi="Times New Roman"/>
                                      <w:sz w:val="20"/>
                                    </w:rPr>
                                    <w:t>) or a division (</w:t>
                                  </w:r>
                                  <w:r>
                                    <w:rPr>
                                      <w:rFonts w:ascii="Times New Roman" w:hAnsi="Times New Roman"/>
                                      <w:i/>
                                      <w:sz w:val="20"/>
                                    </w:rPr>
                                    <w:t>splitsing</w:t>
                                  </w:r>
                                  <w:r>
                                    <w:rPr>
                                      <w:rFonts w:ascii="Times New Roman" w:hAnsi="Times New Roman"/>
                                      <w:sz w:val="20"/>
                                    </w:rPr>
                                    <w:t>), (iii) been converted (</w:t>
                                  </w:r>
                                  <w:r>
                                    <w:rPr>
                                      <w:rFonts w:ascii="Times New Roman" w:hAnsi="Times New Roman"/>
                                      <w:i/>
                                      <w:sz w:val="20"/>
                                    </w:rPr>
                                    <w:t>omgezet</w:t>
                                  </w:r>
                                  <w:r>
                                    <w:rPr>
                                      <w:rFonts w:ascii="Times New Roman" w:hAnsi="Times New Roman"/>
                                      <w:sz w:val="20"/>
                                    </w:rPr>
                                    <w:t>) into another legal form, either national or foreign, (iv) had its assets placed under administration (</w:t>
                                  </w:r>
                                  <w:r>
                                    <w:rPr>
                                      <w:rFonts w:ascii="Times New Roman" w:hAnsi="Times New Roman"/>
                                      <w:i/>
                                      <w:sz w:val="20"/>
                                    </w:rPr>
                                    <w:t>onder bewind gesteld</w:t>
                                  </w:r>
                                  <w:r>
                                    <w:rPr>
                                      <w:rFonts w:ascii="Times New Roman" w:hAnsi="Times New Roman"/>
                                      <w:sz w:val="20"/>
                                    </w:rPr>
                                    <w:t>), (v) been declared bankrupt (</w:t>
                                  </w:r>
                                  <w:r>
                                    <w:rPr>
                                      <w:rFonts w:ascii="Times New Roman" w:hAnsi="Times New Roman"/>
                                      <w:i/>
                                      <w:sz w:val="20"/>
                                    </w:rPr>
                                    <w:t>failliet verklaard</w:t>
                                  </w:r>
                                  <w:r>
                                    <w:rPr>
                                      <w:rFonts w:ascii="Times New Roman" w:hAnsi="Times New Roman"/>
                                      <w:sz w:val="20"/>
                                    </w:rPr>
                                    <w:t>), (vi) been granted a suspension of payments (</w:t>
                                  </w:r>
                                  <w:r>
                                    <w:rPr>
                                      <w:rFonts w:ascii="Times New Roman" w:hAnsi="Times New Roman"/>
                                      <w:i/>
                                      <w:sz w:val="20"/>
                                    </w:rPr>
                                    <w:t>surseance van betaling verleend</w:t>
                                  </w:r>
                                  <w:r>
                                    <w:rPr>
                                      <w:rFonts w:ascii="Times New Roman" w:hAnsi="Times New Roman"/>
                                      <w:sz w:val="20"/>
                                    </w:rPr>
                                    <w:t>), (vii) started or become subject to statutory proceedings for the restructuring of its debts (</w:t>
                                  </w:r>
                                  <w:r>
                                    <w:rPr>
                                      <w:rFonts w:ascii="Times New Roman" w:hAnsi="Times New Roman"/>
                                      <w:i/>
                                      <w:sz w:val="20"/>
                                    </w:rPr>
                                    <w:t>akkoordprocedure</w:t>
                                  </w:r>
                                  <w:r>
                                    <w:rPr>
                                      <w:rFonts w:ascii="Times New Roman" w:hAnsi="Times New Roman"/>
                                      <w:sz w:val="20"/>
                                    </w:rPr>
                                    <w:t xml:space="preserve">) or (viii) been made subject to similar proceedings in any jurisdiction or otherwise been limited in its power to dispose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3"/>
                              <w:gridCol w:w="7881"/>
                            </w:tblGrid>
                            <w:tr>
                              <w:trPr/>
                              <w:tc>
                                <w:tcPr>
                                  <w:tcW w:w="283" w:type="dxa"/>
                                  <w:tcBorders/>
                                </w:tcPr>
                                <w:p>
                                  <w:pPr>
                                    <w:pStyle w:val="TableContents"/>
                                    <w:bidi w:val="0"/>
                                    <w:spacing w:before="0" w:after="283"/>
                                    <w:jc w:val="left"/>
                                    <w:rPr/>
                                  </w:pPr>
                                  <w:r>
                                    <w:rPr/>
                                    <w:t>k.</w:t>
                                  </w:r>
                                </w:p>
                              </w:tc>
                              <w:tc>
                                <w:tcPr>
                                  <w:tcW w:w="7881" w:type="dxa"/>
                                  <w:tcBorders/>
                                </w:tcPr>
                                <w:p>
                                  <w:pPr>
                                    <w:pStyle w:val="TableContents"/>
                                    <w:bidi w:val="0"/>
                                    <w:spacing w:before="0" w:after="0"/>
                                    <w:jc w:val="left"/>
                                    <w:rPr>
                                      <w:rFonts w:ascii="Times New Roman" w:hAnsi="Times New Roman"/>
                                      <w:sz w:val="20"/>
                                    </w:rPr>
                                  </w:pPr>
                                  <w:r>
                                    <w:rPr>
                                      <w:rFonts w:ascii="Times New Roman" w:hAnsi="Times New Roman"/>
                                      <w:sz w:val="20"/>
                                    </w:rPr>
                                    <w:t>any Registered Shares shall be issued, and any pre-emption rights in connection therewith shall have been excluded, pursuant to resolutions validly passed by the corporate body (</w:t>
                                  </w:r>
                                  <w:r>
                                    <w:rPr>
                                      <w:rFonts w:ascii="Times New Roman" w:hAnsi="Times New Roman"/>
                                      <w:i/>
                                      <w:sz w:val="20"/>
                                    </w:rPr>
                                    <w:t>orgaan</w:t>
                                  </w:r>
                                  <w:r>
                                    <w:rPr>
                                      <w:rFonts w:ascii="Times New Roman" w:hAnsi="Times New Roman"/>
                                      <w:sz w:val="20"/>
                                    </w:rPr>
                                    <w:t xml:space="preserve">) of the Company duly authorised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3"/>
                              <w:gridCol w:w="7931"/>
                            </w:tblGrid>
                            <w:tr>
                              <w:trPr/>
                              <w:tc>
                                <w:tcPr>
                                  <w:tcW w:w="233" w:type="dxa"/>
                                  <w:tcBorders/>
                                </w:tcPr>
                                <w:p>
                                  <w:pPr>
                                    <w:pStyle w:val="TableContents"/>
                                    <w:bidi w:val="0"/>
                                    <w:spacing w:before="0" w:after="283"/>
                                    <w:jc w:val="left"/>
                                    <w:rPr/>
                                  </w:pPr>
                                  <w:r>
                                    <w:rPr/>
                                    <w:t>l.</w:t>
                                  </w:r>
                                </w:p>
                              </w:tc>
                              <w:tc>
                                <w:tcPr>
                                  <w:tcW w:w="7931" w:type="dxa"/>
                                  <w:tcBorders/>
                                </w:tcPr>
                                <w:p>
                                  <w:pPr>
                                    <w:pStyle w:val="TableContents"/>
                                    <w:bidi w:val="0"/>
                                    <w:spacing w:before="0" w:after="0"/>
                                    <w:jc w:val="left"/>
                                    <w:rPr>
                                      <w:rFonts w:ascii="Times New Roman" w:hAnsi="Times New Roman"/>
                                      <w:sz w:val="20"/>
                                    </w:rPr>
                                  </w:pPr>
                                  <w:r>
                                    <w:rPr>
                                      <w:rFonts w:ascii="Times New Roman" w:hAnsi="Times New Roman"/>
                                      <w:sz w:val="20"/>
                                    </w:rPr>
                                    <w:t>the Option (i) has been validly granted as a right to subscribe for Ordinary Shares (</w:t>
                                  </w:r>
                                  <w:r>
                                    <w:rPr>
                                      <w:rFonts w:ascii="Times New Roman" w:hAnsi="Times New Roman"/>
                                      <w:i/>
                                      <w:sz w:val="20"/>
                                    </w:rPr>
                                    <w:t>recht tot het nemen van aandelen</w:t>
                                  </w:r>
                                  <w:r>
                                    <w:rPr>
                                      <w:rFonts w:ascii="Times New Roman" w:hAnsi="Times New Roman"/>
                                      <w:sz w:val="20"/>
                                    </w:rPr>
                                    <w:t xml:space="preserve">), (ii) shall be in full force and effect upon being exercised and (iii) shall have been validly exercised in accordance with the terms of the Underwriting Agreement.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448.35pt;mso-wrap-distance-left:0pt;mso-wrap-distance-right:0pt;mso-wrap-distance-top:0pt;mso-wrap-distance-bottom:0pt;margin-top:0pt;mso-position-vertical:top;mso-position-vertical-relative:text;margin-left:86.7pt;mso-position-horizontal:left;mso-position-horizontal-relative:text">
                <v:textbox inset="0in,0in,0in,0in">
                  <w:txbxContent>
                    <w:tbl>
                      <w:tblPr>
                        <w:tblW w:w="5000" w:type="pct"/>
                        <w:jc w:val="left"/>
                        <w:tblInd w:w="0" w:type="dxa"/>
                        <w:tblLayout w:type="fixed"/>
                        <w:tblCellMar>
                          <w:top w:w="0" w:type="dxa"/>
                          <w:left w:w="0" w:type="dxa"/>
                          <w:bottom w:w="0" w:type="dxa"/>
                          <w:right w:w="0" w:type="dxa"/>
                        </w:tblCellMar>
                      </w:tblPr>
                      <w:tblGrid>
                        <w:gridCol w:w="903"/>
                        <w:gridCol w:w="7261"/>
                      </w:tblGrid>
                      <w:tr>
                        <w:trPr/>
                        <w:tc>
                          <w:tcPr>
                            <w:tcW w:w="903" w:type="dxa"/>
                            <w:tcBorders/>
                          </w:tcPr>
                          <w:p>
                            <w:pPr>
                              <w:pStyle w:val="TableContents"/>
                              <w:bidi w:val="0"/>
                              <w:spacing w:before="0" w:after="283"/>
                              <w:jc w:val="left"/>
                              <w:rPr/>
                            </w:pPr>
                            <w:r>
                              <w:rPr/>
                              <w:t>e.</w:t>
                            </w:r>
                          </w:p>
                        </w:tc>
                        <w:tc>
                          <w:tcPr>
                            <w:tcW w:w="72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Deed of Incorporation is a valid notarial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8"/>
                        <w:gridCol w:w="7936"/>
                      </w:tblGrid>
                      <w:tr>
                        <w:trPr/>
                        <w:tc>
                          <w:tcPr>
                            <w:tcW w:w="228" w:type="dxa"/>
                            <w:tcBorders/>
                          </w:tcPr>
                          <w:p>
                            <w:pPr>
                              <w:pStyle w:val="TableContents"/>
                              <w:bidi w:val="0"/>
                              <w:spacing w:before="0" w:after="283"/>
                              <w:jc w:val="left"/>
                              <w:rPr/>
                            </w:pPr>
                            <w:r>
                              <w:rPr/>
                              <w:t>f.</w:t>
                            </w:r>
                          </w:p>
                        </w:tc>
                        <w:tc>
                          <w:tcPr>
                            <w:tcW w:w="7936" w:type="dxa"/>
                            <w:tcBorders/>
                          </w:tcPr>
                          <w:p>
                            <w:pPr>
                              <w:pStyle w:val="TableContents"/>
                              <w:bidi w:val="0"/>
                              <w:spacing w:before="0" w:after="0"/>
                              <w:jc w:val="left"/>
                              <w:rPr>
                                <w:rFonts w:ascii="Times New Roman" w:hAnsi="Times New Roman"/>
                                <w:sz w:val="20"/>
                              </w:rPr>
                            </w:pPr>
                            <w:r>
                              <w:rPr>
                                <w:rFonts w:ascii="Times New Roman" w:hAnsi="Times New Roman"/>
                                <w:sz w:val="20"/>
                              </w:rPr>
                              <w:t>(i) no internal regulations (</w:t>
                            </w:r>
                            <w:r>
                              <w:rPr>
                                <w:rFonts w:ascii="Times New Roman" w:hAnsi="Times New Roman"/>
                                <w:i/>
                                <w:sz w:val="20"/>
                              </w:rPr>
                              <w:t>reglementen</w:t>
                            </w:r>
                            <w:r>
                              <w:rPr>
                                <w:rFonts w:ascii="Times New Roman" w:hAnsi="Times New Roman"/>
                                <w:sz w:val="20"/>
                              </w:rPr>
                              <w:t xml:space="preserve">) have been adopted by any corporate body of the Company which would affect the validity of the resolutions recorded in the Resolutions and (ii) the Current Articles are the Articles of Association currently in force and as they will be in force at each Relevant Moment;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1"/>
                        <w:gridCol w:w="7923"/>
                      </w:tblGrid>
                      <w:tr>
                        <w:trPr/>
                        <w:tc>
                          <w:tcPr>
                            <w:tcW w:w="241" w:type="dxa"/>
                            <w:tcBorders/>
                          </w:tcPr>
                          <w:p>
                            <w:pPr>
                              <w:pStyle w:val="TableContents"/>
                              <w:bidi w:val="0"/>
                              <w:spacing w:before="0" w:after="283"/>
                              <w:jc w:val="left"/>
                              <w:rPr/>
                            </w:pPr>
                            <w:r>
                              <w:rPr/>
                              <w:t>g.</w:t>
                            </w:r>
                          </w:p>
                        </w:tc>
                        <w:tc>
                          <w:tcPr>
                            <w:tcW w:w="792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at each Relevant Moment, the resolutions recorded in the Resolutions shall be in full force and effect, (ii) at each Relevant Moment, the factual statements made and the confirmations given in the Resolutions and in each Deed of Issue shall be complete and correct and (iii) the Resolutions correctly reflect the resolutions recorded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49"/>
                        <w:gridCol w:w="7815"/>
                      </w:tblGrid>
                      <w:tr>
                        <w:trPr/>
                        <w:tc>
                          <w:tcPr>
                            <w:tcW w:w="349" w:type="dxa"/>
                            <w:tcBorders/>
                          </w:tcPr>
                          <w:p>
                            <w:pPr>
                              <w:pStyle w:val="TableContents"/>
                              <w:bidi w:val="0"/>
                              <w:spacing w:before="0" w:after="283"/>
                              <w:jc w:val="left"/>
                              <w:rPr/>
                            </w:pPr>
                            <w:r>
                              <w:rPr/>
                              <w:t>h.</w:t>
                            </w:r>
                          </w:p>
                        </w:tc>
                        <w:tc>
                          <w:tcPr>
                            <w:tcW w:w="7815" w:type="dxa"/>
                            <w:tcBorders/>
                          </w:tcPr>
                          <w:p>
                            <w:pPr>
                              <w:pStyle w:val="TableContents"/>
                              <w:bidi w:val="0"/>
                              <w:spacing w:before="0" w:after="0"/>
                              <w:jc w:val="left"/>
                              <w:rPr>
                                <w:rFonts w:ascii="Times New Roman" w:hAnsi="Times New Roman"/>
                                <w:sz w:val="20"/>
                              </w:rPr>
                            </w:pPr>
                            <w:r>
                              <w:rPr>
                                <w:rFonts w:ascii="Times New Roman" w:hAnsi="Times New Roman"/>
                                <w:sz w:val="20"/>
                              </w:rPr>
                              <w:t>at each Relevant Moment, the authorised share capital (</w:t>
                            </w:r>
                            <w:r>
                              <w:rPr>
                                <w:rFonts w:ascii="Times New Roman" w:hAnsi="Times New Roman"/>
                                <w:i/>
                                <w:sz w:val="20"/>
                              </w:rPr>
                              <w:t>maatschappelijk kapitaal</w:t>
                            </w:r>
                            <w:r>
                              <w:rPr>
                                <w:rFonts w:ascii="Times New Roman" w:hAnsi="Times New Roman"/>
                                <w:sz w:val="20"/>
                              </w:rPr>
                              <w:t xml:space="preserve">) of the Company shall allow for the issuance of the Registered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4"/>
                        <w:gridCol w:w="7850"/>
                      </w:tblGrid>
                      <w:tr>
                        <w:trPr/>
                        <w:tc>
                          <w:tcPr>
                            <w:tcW w:w="314" w:type="dxa"/>
                            <w:tcBorders/>
                          </w:tcPr>
                          <w:p>
                            <w:pPr>
                              <w:pStyle w:val="TableContents"/>
                              <w:bidi w:val="0"/>
                              <w:spacing w:before="0" w:after="283"/>
                              <w:jc w:val="left"/>
                              <w:rPr/>
                            </w:pPr>
                            <w:r>
                              <w:rPr/>
                              <w:t>i.</w:t>
                            </w:r>
                          </w:p>
                        </w:tc>
                        <w:tc>
                          <w:tcPr>
                            <w:tcW w:w="78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Relevant Moment when Offer Shares or Option Shares will be issued, the relevant Deed of Issue shall have been validly signed and executed on behalf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8"/>
                        <w:gridCol w:w="8006"/>
                      </w:tblGrid>
                      <w:tr>
                        <w:trPr/>
                        <w:tc>
                          <w:tcPr>
                            <w:tcW w:w="158" w:type="dxa"/>
                            <w:tcBorders/>
                          </w:tcPr>
                          <w:p>
                            <w:pPr>
                              <w:pStyle w:val="TableContents"/>
                              <w:bidi w:val="0"/>
                              <w:spacing w:before="0" w:after="283"/>
                              <w:jc w:val="left"/>
                              <w:rPr/>
                            </w:pPr>
                            <w:r>
                              <w:rPr/>
                              <w:t>j.</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at each Relevant Moment, the Company will not have (i) been dissolved (</w:t>
                            </w:r>
                            <w:r>
                              <w:rPr>
                                <w:rFonts w:ascii="Times New Roman" w:hAnsi="Times New Roman"/>
                                <w:i/>
                                <w:sz w:val="20"/>
                              </w:rPr>
                              <w:t>ontbonden</w:t>
                            </w:r>
                            <w:r>
                              <w:rPr>
                                <w:rFonts w:ascii="Times New Roman" w:hAnsi="Times New Roman"/>
                                <w:sz w:val="20"/>
                              </w:rPr>
                              <w:t>), (ii) ceased to exist pursuant to a merger (</w:t>
                            </w:r>
                            <w:r>
                              <w:rPr>
                                <w:rFonts w:ascii="Times New Roman" w:hAnsi="Times New Roman"/>
                                <w:i/>
                                <w:sz w:val="20"/>
                              </w:rPr>
                              <w:t>fusie</w:t>
                            </w:r>
                            <w:r>
                              <w:rPr>
                                <w:rFonts w:ascii="Times New Roman" w:hAnsi="Times New Roman"/>
                                <w:sz w:val="20"/>
                              </w:rPr>
                              <w:t>) or a division (</w:t>
                            </w:r>
                            <w:r>
                              <w:rPr>
                                <w:rFonts w:ascii="Times New Roman" w:hAnsi="Times New Roman"/>
                                <w:i/>
                                <w:sz w:val="20"/>
                              </w:rPr>
                              <w:t>splitsing</w:t>
                            </w:r>
                            <w:r>
                              <w:rPr>
                                <w:rFonts w:ascii="Times New Roman" w:hAnsi="Times New Roman"/>
                                <w:sz w:val="20"/>
                              </w:rPr>
                              <w:t>), (iii) been converted (</w:t>
                            </w:r>
                            <w:r>
                              <w:rPr>
                                <w:rFonts w:ascii="Times New Roman" w:hAnsi="Times New Roman"/>
                                <w:i/>
                                <w:sz w:val="20"/>
                              </w:rPr>
                              <w:t>omgezet</w:t>
                            </w:r>
                            <w:r>
                              <w:rPr>
                                <w:rFonts w:ascii="Times New Roman" w:hAnsi="Times New Roman"/>
                                <w:sz w:val="20"/>
                              </w:rPr>
                              <w:t>) into another legal form, either national or foreign, (iv) had its assets placed under administration (</w:t>
                            </w:r>
                            <w:r>
                              <w:rPr>
                                <w:rFonts w:ascii="Times New Roman" w:hAnsi="Times New Roman"/>
                                <w:i/>
                                <w:sz w:val="20"/>
                              </w:rPr>
                              <w:t>onder bewind gesteld</w:t>
                            </w:r>
                            <w:r>
                              <w:rPr>
                                <w:rFonts w:ascii="Times New Roman" w:hAnsi="Times New Roman"/>
                                <w:sz w:val="20"/>
                              </w:rPr>
                              <w:t>), (v) been declared bankrupt (</w:t>
                            </w:r>
                            <w:r>
                              <w:rPr>
                                <w:rFonts w:ascii="Times New Roman" w:hAnsi="Times New Roman"/>
                                <w:i/>
                                <w:sz w:val="20"/>
                              </w:rPr>
                              <w:t>failliet verklaard</w:t>
                            </w:r>
                            <w:r>
                              <w:rPr>
                                <w:rFonts w:ascii="Times New Roman" w:hAnsi="Times New Roman"/>
                                <w:sz w:val="20"/>
                              </w:rPr>
                              <w:t>), (vi) been granted a suspension of payments (</w:t>
                            </w:r>
                            <w:r>
                              <w:rPr>
                                <w:rFonts w:ascii="Times New Roman" w:hAnsi="Times New Roman"/>
                                <w:i/>
                                <w:sz w:val="20"/>
                              </w:rPr>
                              <w:t>surseance van betaling verleend</w:t>
                            </w:r>
                            <w:r>
                              <w:rPr>
                                <w:rFonts w:ascii="Times New Roman" w:hAnsi="Times New Roman"/>
                                <w:sz w:val="20"/>
                              </w:rPr>
                              <w:t>), (vii) started or become subject to statutory proceedings for the restructuring of its debts (</w:t>
                            </w:r>
                            <w:r>
                              <w:rPr>
                                <w:rFonts w:ascii="Times New Roman" w:hAnsi="Times New Roman"/>
                                <w:i/>
                                <w:sz w:val="20"/>
                              </w:rPr>
                              <w:t>akkoordprocedure</w:t>
                            </w:r>
                            <w:r>
                              <w:rPr>
                                <w:rFonts w:ascii="Times New Roman" w:hAnsi="Times New Roman"/>
                                <w:sz w:val="20"/>
                              </w:rPr>
                              <w:t xml:space="preserve">) or (viii) been made subject to similar proceedings in any jurisdiction or otherwise been limited in its power to dispose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3"/>
                        <w:gridCol w:w="7881"/>
                      </w:tblGrid>
                      <w:tr>
                        <w:trPr/>
                        <w:tc>
                          <w:tcPr>
                            <w:tcW w:w="283" w:type="dxa"/>
                            <w:tcBorders/>
                          </w:tcPr>
                          <w:p>
                            <w:pPr>
                              <w:pStyle w:val="TableContents"/>
                              <w:bidi w:val="0"/>
                              <w:spacing w:before="0" w:after="283"/>
                              <w:jc w:val="left"/>
                              <w:rPr/>
                            </w:pPr>
                            <w:r>
                              <w:rPr/>
                              <w:t>k.</w:t>
                            </w:r>
                          </w:p>
                        </w:tc>
                        <w:tc>
                          <w:tcPr>
                            <w:tcW w:w="7881" w:type="dxa"/>
                            <w:tcBorders/>
                          </w:tcPr>
                          <w:p>
                            <w:pPr>
                              <w:pStyle w:val="TableContents"/>
                              <w:bidi w:val="0"/>
                              <w:spacing w:before="0" w:after="0"/>
                              <w:jc w:val="left"/>
                              <w:rPr>
                                <w:rFonts w:ascii="Times New Roman" w:hAnsi="Times New Roman"/>
                                <w:sz w:val="20"/>
                              </w:rPr>
                            </w:pPr>
                            <w:r>
                              <w:rPr>
                                <w:rFonts w:ascii="Times New Roman" w:hAnsi="Times New Roman"/>
                                <w:sz w:val="20"/>
                              </w:rPr>
                              <w:t>any Registered Shares shall be issued, and any pre-emption rights in connection therewith shall have been excluded, pursuant to resolutions validly passed by the corporate body (</w:t>
                            </w:r>
                            <w:r>
                              <w:rPr>
                                <w:rFonts w:ascii="Times New Roman" w:hAnsi="Times New Roman"/>
                                <w:i/>
                                <w:sz w:val="20"/>
                              </w:rPr>
                              <w:t>orgaan</w:t>
                            </w:r>
                            <w:r>
                              <w:rPr>
                                <w:rFonts w:ascii="Times New Roman" w:hAnsi="Times New Roman"/>
                                <w:sz w:val="20"/>
                              </w:rPr>
                              <w:t xml:space="preserve">) of the Company duly authorised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3"/>
                        <w:gridCol w:w="7931"/>
                      </w:tblGrid>
                      <w:tr>
                        <w:trPr/>
                        <w:tc>
                          <w:tcPr>
                            <w:tcW w:w="233" w:type="dxa"/>
                            <w:tcBorders/>
                          </w:tcPr>
                          <w:p>
                            <w:pPr>
                              <w:pStyle w:val="TableContents"/>
                              <w:bidi w:val="0"/>
                              <w:spacing w:before="0" w:after="283"/>
                              <w:jc w:val="left"/>
                              <w:rPr/>
                            </w:pPr>
                            <w:r>
                              <w:rPr/>
                              <w:t>l.</w:t>
                            </w:r>
                          </w:p>
                        </w:tc>
                        <w:tc>
                          <w:tcPr>
                            <w:tcW w:w="7931" w:type="dxa"/>
                            <w:tcBorders/>
                          </w:tcPr>
                          <w:p>
                            <w:pPr>
                              <w:pStyle w:val="TableContents"/>
                              <w:bidi w:val="0"/>
                              <w:spacing w:before="0" w:after="0"/>
                              <w:jc w:val="left"/>
                              <w:rPr>
                                <w:rFonts w:ascii="Times New Roman" w:hAnsi="Times New Roman"/>
                                <w:sz w:val="20"/>
                              </w:rPr>
                            </w:pPr>
                            <w:r>
                              <w:rPr>
                                <w:rFonts w:ascii="Times New Roman" w:hAnsi="Times New Roman"/>
                                <w:sz w:val="20"/>
                              </w:rPr>
                              <w:t>the Option (i) has been validly granted as a right to subscribe for Ordinary Shares (</w:t>
                            </w:r>
                            <w:r>
                              <w:rPr>
                                <w:rFonts w:ascii="Times New Roman" w:hAnsi="Times New Roman"/>
                                <w:i/>
                                <w:sz w:val="20"/>
                              </w:rPr>
                              <w:t>recht tot het nemen van aandelen</w:t>
                            </w:r>
                            <w:r>
                              <w:rPr>
                                <w:rFonts w:ascii="Times New Roman" w:hAnsi="Times New Roman"/>
                                <w:sz w:val="20"/>
                              </w:rPr>
                              <w:t xml:space="preserve">), (ii) shall be in full force and effect upon being exercised and (iii) shall have been validly exercised in accordance with the terms of the Underwriting Agreement.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000" w:type="pct"/>
        <w:jc w:val="center"/>
        <w:tblInd w:w="0" w:type="dxa"/>
        <w:tblLayout w:type="fixed"/>
        <w:tblCellMar>
          <w:top w:w="0" w:type="dxa"/>
          <w:left w:w="0" w:type="dxa"/>
          <w:bottom w:w="0" w:type="dxa"/>
          <w:right w:w="0" w:type="dxa"/>
        </w:tblCellMar>
      </w:tblPr>
      <w:tblGrid>
        <w:gridCol w:w="1845"/>
        <w:gridCol w:w="109"/>
        <w:gridCol w:w="8102"/>
        <w:gridCol w:w="123"/>
        <w:gridCol w:w="26"/>
      </w:tblGrid>
      <w:tr>
        <w:trPr/>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02" w:type="dxa"/>
            <w:tcBorders/>
          </w:tcPr>
          <w:p>
            <w:pPr>
              <w:pStyle w:val="TableContents"/>
              <w:bidi w:val="0"/>
              <w:spacing w:before="0" w:after="0"/>
              <w:jc w:val="center"/>
              <w:rPr/>
            </w:pPr>
            <w:r>
              <w:rPr/>
              <w:t xml:space="preserve">      </w:t>
            </w:r>
            <w:r>
              <w:rPr/>
              <w:drawing>
                <wp:inline distT="0" distB="0" distL="0" distR="0">
                  <wp:extent cx="1266825" cy="1428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266825" cy="142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 xml:space="preserve">4 </w:t>
            </w:r>
          </w:p>
        </w:tc>
        <w:tc>
          <w:tcPr>
            <w:tcW w:w="123" w:type="dxa"/>
            <w:tcBorders/>
            <w:vAlign w:val="bottom"/>
          </w:tcPr>
          <w:p>
            <w:pPr>
              <w:pStyle w:val="TableContents"/>
              <w:bidi w:val="0"/>
              <w:spacing w:before="0" w:after="283"/>
              <w:jc w:val="left"/>
              <w:rPr/>
            </w:pPr>
            <w:r>
              <w:rPr/>
              <w:t>  </w:t>
            </w:r>
          </w:p>
        </w:tc>
        <w:tc>
          <w:tcPr>
            <w:tcW w:w="26"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924"/>
        <w:gridCol w:w="130"/>
        <w:gridCol w:w="8151"/>
      </w:tblGrid>
      <w:tr>
        <w:trPr/>
        <w:tc>
          <w:tcPr>
            <w:tcW w:w="19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51" w:type="dxa"/>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8151"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101090" cy="350520"/>
                <wp:effectExtent l="0" t="0" r="0" b="0"/>
                <wp:wrapSquare wrapText="right"/>
                <wp:docPr id="11" name="Frame7"/>
                <a:graphic xmlns:a="http://schemas.openxmlformats.org/drawingml/2006/main">
                  <a:graphicData uri="http://schemas.microsoft.com/office/word/2010/wordprocessingShape">
                    <wps:wsp>
                      <wps:cNvSpPr txBox="1"/>
                      <wps:spPr>
                        <a:xfrm>
                          <a:off x="0" y="0"/>
                          <a:ext cx="1101090" cy="35052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17000</wp14:pctWidth>
                </wp14:sizeRelH>
              </wp:anchor>
            </w:drawing>
          </mc:Choice>
          <mc:Fallback>
            <w:pict>
              <v:rect style="position:absolute;rotation:-0;width:86.7pt;height:2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5184140" cy="5281930"/>
                <wp:effectExtent l="0" t="0" r="0" b="0"/>
                <wp:wrapSquare wrapText="right"/>
                <wp:docPr id="12" name="Frame8"/>
                <a:graphic xmlns:a="http://schemas.openxmlformats.org/drawingml/2006/main">
                  <a:graphicData uri="http://schemas.microsoft.com/office/word/2010/wordprocessingShape">
                    <wps:wsp>
                      <wps:cNvSpPr txBox="1"/>
                      <wps:spPr>
                        <a:xfrm>
                          <a:off x="0" y="0"/>
                          <a:ext cx="5184140" cy="5281930"/>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226"/>
                              <w:gridCol w:w="7938"/>
                            </w:tblGrid>
                            <w:tr>
                              <w:trPr/>
                              <w:tc>
                                <w:tcPr>
                                  <w:tcW w:w="226" w:type="dxa"/>
                                  <w:tcBorders/>
                                </w:tcPr>
                                <w:p>
                                  <w:pPr>
                                    <w:pStyle w:val="TableContents"/>
                                    <w:bidi w:val="0"/>
                                    <w:spacing w:before="0" w:after="283"/>
                                    <w:jc w:val="left"/>
                                    <w:rPr/>
                                  </w:pPr>
                                  <w:r>
                                    <w:rPr/>
                                    <w:t>m.</w:t>
                                  </w:r>
                                </w:p>
                              </w:tc>
                              <w:tc>
                                <w:tcPr>
                                  <w:tcW w:w="7938" w:type="dxa"/>
                                  <w:tcBorders/>
                                </w:tcPr>
                                <w:p>
                                  <w:pPr>
                                    <w:pStyle w:val="TableContents"/>
                                    <w:bidi w:val="0"/>
                                    <w:spacing w:before="0" w:after="0"/>
                                    <w:jc w:val="left"/>
                                    <w:rPr>
                                      <w:rFonts w:ascii="Times New Roman" w:hAnsi="Times New Roman"/>
                                      <w:sz w:val="20"/>
                                    </w:rPr>
                                  </w:pPr>
                                  <w:r>
                                    <w:rPr>
                                      <w:rFonts w:ascii="Times New Roman" w:hAnsi="Times New Roman"/>
                                      <w:sz w:val="20"/>
                                    </w:rPr>
                                    <w:t>in respect of any payment (</w:t>
                                  </w:r>
                                  <w:r>
                                    <w:rPr>
                                      <w:rFonts w:ascii="Times New Roman" w:hAnsi="Times New Roman"/>
                                      <w:i/>
                                      <w:sz w:val="20"/>
                                    </w:rPr>
                                    <w:t>storting</w:t>
                                  </w:r>
                                  <w:r>
                                    <w:rPr>
                                      <w:rFonts w:ascii="Times New Roman" w:hAnsi="Times New Roman"/>
                                      <w:sz w:val="20"/>
                                    </w:rPr>
                                    <w:t>) on any Registered Shares to be satisfied by means of a set-off (</w:t>
                                  </w:r>
                                  <w:r>
                                    <w:rPr>
                                      <w:rFonts w:ascii="Times New Roman" w:hAnsi="Times New Roman"/>
                                      <w:i/>
                                      <w:sz w:val="20"/>
                                    </w:rPr>
                                    <w:t>verrekening</w:t>
                                  </w:r>
                                  <w:r>
                                    <w:rPr>
                                      <w:rFonts w:ascii="Times New Roman" w:hAnsi="Times New Roman"/>
                                      <w:sz w:val="20"/>
                                    </w:rPr>
                                    <w:t xml:space="preserve">), the Company shall have validly effected such set-off of a debt of the Company vis-à-vis the relevant subscriber for such Registered Shares against the Company’s claim on such subscriber to pay up such Registered Shares in full in accordance with Section 6:127 DCC, the Company shall have the authority to set off such debt vis-à-vis such claim and the amount payable by the Company under such debt shall be sufficient to pay up such Registered Shares in full by means of such set-off, in each at the moment when the relevant Registered Shares are issued;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8"/>
                              <w:gridCol w:w="7906"/>
                            </w:tblGrid>
                            <w:tr>
                              <w:trPr/>
                              <w:tc>
                                <w:tcPr>
                                  <w:tcW w:w="258" w:type="dxa"/>
                                  <w:tcBorders/>
                                </w:tcPr>
                                <w:p>
                                  <w:pPr>
                                    <w:pStyle w:val="TableContents"/>
                                    <w:bidi w:val="0"/>
                                    <w:spacing w:before="0" w:after="283"/>
                                    <w:jc w:val="left"/>
                                    <w:rPr/>
                                  </w:pPr>
                                  <w:r>
                                    <w:rPr/>
                                    <w:t>n.</w:t>
                                  </w:r>
                                </w:p>
                              </w:tc>
                              <w:tc>
                                <w:tcPr>
                                  <w:tcW w:w="7906" w:type="dxa"/>
                                  <w:tcBorders/>
                                </w:tcPr>
                                <w:p>
                                  <w:pPr>
                                    <w:pStyle w:val="TableContents"/>
                                    <w:bidi w:val="0"/>
                                    <w:spacing w:before="0" w:after="0"/>
                                    <w:jc w:val="left"/>
                                    <w:rPr>
                                      <w:rFonts w:ascii="Times New Roman" w:hAnsi="Times New Roman"/>
                                      <w:sz w:val="20"/>
                                    </w:rPr>
                                  </w:pPr>
                                  <w:r>
                                    <w:rPr>
                                      <w:rFonts w:ascii="Times New Roman" w:hAnsi="Times New Roman"/>
                                      <w:sz w:val="20"/>
                                    </w:rPr>
                                    <w:t>no Registered Shares shall be offered to the public (</w:t>
                                  </w:r>
                                  <w:r>
                                    <w:rPr>
                                      <w:rFonts w:ascii="Times New Roman" w:hAnsi="Times New Roman"/>
                                      <w:i/>
                                      <w:sz w:val="20"/>
                                    </w:rPr>
                                    <w:t>aanbieden aan het publiek</w:t>
                                  </w:r>
                                  <w:r>
                                    <w:rPr>
                                      <w:rFonts w:ascii="Times New Roman" w:hAnsi="Times New Roman"/>
                                      <w:sz w:val="20"/>
                                    </w:rPr>
                                    <w:t xml:space="preserve">) in the Netherlands other than in conformity with the Prospectus Regulation and the rules promulgated thereunder.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subject to the qualifications set forth in this opinion letter and to any matters, documents or events not disclosed to us, we express the following opinions: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Status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1"/>
                              <w:gridCol w:w="7893"/>
                            </w:tblGrid>
                            <w:tr>
                              <w:trPr/>
                              <w:tc>
                                <w:tcPr>
                                  <w:tcW w:w="271" w:type="dxa"/>
                                  <w:tcBorders/>
                                </w:tcPr>
                                <w:p>
                                  <w:pPr>
                                    <w:pStyle w:val="TableContents"/>
                                    <w:bidi w:val="0"/>
                                    <w:spacing w:before="0" w:after="283"/>
                                    <w:jc w:val="left"/>
                                    <w:rPr/>
                                  </w:pPr>
                                  <w:r>
                                    <w:rPr/>
                                    <w:t>1.</w:t>
                                  </w:r>
                                </w:p>
                              </w:tc>
                              <w:tc>
                                <w:tcPr>
                                  <w:tcW w:w="78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been duly incorporated as a </w:t>
                                  </w:r>
                                  <w:r>
                                    <w:rPr>
                                      <w:rFonts w:ascii="Times New Roman" w:hAnsi="Times New Roman"/>
                                      <w:i/>
                                      <w:sz w:val="20"/>
                                    </w:rPr>
                                    <w:t>besloten</w:t>
                                  </w:r>
                                  <w:r>
                                    <w:rPr>
                                      <w:rFonts w:ascii="Times New Roman" w:hAnsi="Times New Roman"/>
                                      <w:sz w:val="20"/>
                                    </w:rPr>
                                    <w:t xml:space="preserve"> </w:t>
                                  </w:r>
                                  <w:r>
                                    <w:rPr>
                                      <w:rFonts w:ascii="Times New Roman" w:hAnsi="Times New Roman"/>
                                      <w:i/>
                                      <w:sz w:val="20"/>
                                    </w:rPr>
                                    <w:t>vennootschap</w:t>
                                  </w:r>
                                  <w:r>
                                    <w:rPr>
                                      <w:rFonts w:ascii="Times New Roman" w:hAnsi="Times New Roman"/>
                                      <w:sz w:val="20"/>
                                    </w:rPr>
                                    <w:t xml:space="preserve"> </w:t>
                                  </w:r>
                                  <w:r>
                                    <w:rPr>
                                      <w:rFonts w:ascii="Times New Roman" w:hAnsi="Times New Roman"/>
                                      <w:i/>
                                      <w:sz w:val="20"/>
                                    </w:rPr>
                                    <w:t>met beperkte</w:t>
                                  </w:r>
                                  <w:r>
                                    <w:rPr>
                                      <w:rFonts w:ascii="Times New Roman" w:hAnsi="Times New Roman"/>
                                      <w:sz w:val="20"/>
                                    </w:rPr>
                                    <w:t xml:space="preserve"> </w:t>
                                  </w:r>
                                  <w:r>
                                    <w:rPr>
                                      <w:rFonts w:ascii="Times New Roman" w:hAnsi="Times New Roman"/>
                                      <w:i/>
                                      <w:sz w:val="20"/>
                                    </w:rPr>
                                    <w:t>aansprakelijkheid</w:t>
                                  </w:r>
                                  <w:r>
                                    <w:rPr>
                                      <w:rFonts w:ascii="Times New Roman" w:hAnsi="Times New Roman"/>
                                      <w:sz w:val="20"/>
                                    </w:rPr>
                                    <w:t xml:space="preserve"> and is validly existing as a </w:t>
                                  </w:r>
                                  <w:r>
                                    <w:rPr>
                                      <w:rFonts w:ascii="Times New Roman" w:hAnsi="Times New Roman"/>
                                      <w:i/>
                                      <w:sz w:val="20"/>
                                    </w:rPr>
                                    <w:t>naamloze</w:t>
                                  </w:r>
                                  <w:r>
                                    <w:rPr>
                                      <w:rFonts w:ascii="Times New Roman" w:hAnsi="Times New Roman"/>
                                      <w:sz w:val="20"/>
                                    </w:rPr>
                                    <w:t xml:space="preserve"> </w:t>
                                  </w:r>
                                  <w:r>
                                    <w:rPr>
                                      <w:rFonts w:ascii="Times New Roman" w:hAnsi="Times New Roman"/>
                                      <w:i/>
                                      <w:sz w:val="20"/>
                                    </w:rPr>
                                    <w:t>vennootschap</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Registered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6"/>
                              <w:gridCol w:w="7968"/>
                            </w:tblGrid>
                            <w:tr>
                              <w:trPr/>
                              <w:tc>
                                <w:tcPr>
                                  <w:tcW w:w="196" w:type="dxa"/>
                                  <w:tcBorders/>
                                </w:tcPr>
                                <w:p>
                                  <w:pPr>
                                    <w:pStyle w:val="TableContents"/>
                                    <w:bidi w:val="0"/>
                                    <w:spacing w:before="0" w:after="283"/>
                                    <w:jc w:val="left"/>
                                    <w:rPr/>
                                  </w:pPr>
                                  <w:r>
                                    <w:rPr/>
                                    <w:t>2.</w:t>
                                  </w:r>
                                </w:p>
                              </w:tc>
                              <w:tc>
                                <w:tcPr>
                                  <w:tcW w:w="79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receipt by the Company of payment in full for, or other satisfaction of the issue or exercise price for, the Registered Shares, and when issued by the Company and accepted by the acquiror(s) thereof, the Registered Shares shall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5"/>
                              <w:gridCol w:w="7929"/>
                            </w:tblGrid>
                            <w:tr>
                              <w:trPr/>
                              <w:tc>
                                <w:tcPr>
                                  <w:tcW w:w="235" w:type="dxa"/>
                                  <w:tcBorders/>
                                </w:tcPr>
                                <w:p>
                                  <w:pPr>
                                    <w:pStyle w:val="TableContents"/>
                                    <w:bidi w:val="0"/>
                                    <w:spacing w:before="0" w:after="283"/>
                                    <w:jc w:val="left"/>
                                    <w:rPr/>
                                  </w:pPr>
                                  <w:r>
                                    <w:rPr/>
                                    <w:t>A.</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Opinion 1 must not be read to imply that the Company cannot be dissolved (</w:t>
                                  </w:r>
                                  <w:r>
                                    <w:rPr>
                                      <w:rFonts w:ascii="Times New Roman" w:hAnsi="Times New Roman"/>
                                      <w:i/>
                                      <w:sz w:val="20"/>
                                    </w:rPr>
                                    <w:t>ontbonden</w:t>
                                  </w:r>
                                  <w:r>
                                    <w:rPr>
                                      <w:rFonts w:ascii="Times New Roman" w:hAnsi="Times New Roman"/>
                                      <w:sz w:val="20"/>
                                    </w:rPr>
                                    <w:t>). A company such as the Company may be dissolved, inter alia by the competent court at the request of the company’s board of directors, any interested party (</w:t>
                                  </w:r>
                                  <w:r>
                                    <w:rPr>
                                      <w:rFonts w:ascii="Times New Roman" w:hAnsi="Times New Roman"/>
                                      <w:i/>
                                      <w:sz w:val="20"/>
                                    </w:rPr>
                                    <w:t>belanghebbende</w:t>
                                  </w:r>
                                  <w:r>
                                    <w:rPr>
                                      <w:rFonts w:ascii="Times New Roman" w:hAnsi="Times New Roman"/>
                                      <w:sz w:val="20"/>
                                    </w:rPr>
                                    <w:t xml:space="preserve">) or the public prosecution office in certain circumstances, such as when there are certain defects in the incorporation of the company. Any such dissolution will not have retro-active effect.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415.9pt;mso-wrap-distance-left:0pt;mso-wrap-distance-right:0pt;mso-wrap-distance-top:0pt;mso-wrap-distance-bottom:0pt;margin-top:0pt;mso-position-vertical:top;mso-position-vertical-relative:text;margin-left:86.7pt;mso-position-horizontal:left;mso-position-horizontal-relative:text">
                <v:textbox inset="0in,0in,0in,0in">
                  <w:txbxContent>
                    <w:tbl>
                      <w:tblPr>
                        <w:tblW w:w="5000" w:type="pct"/>
                        <w:jc w:val="left"/>
                        <w:tblInd w:w="0" w:type="dxa"/>
                        <w:tblLayout w:type="fixed"/>
                        <w:tblCellMar>
                          <w:top w:w="0" w:type="dxa"/>
                          <w:left w:w="0" w:type="dxa"/>
                          <w:bottom w:w="0" w:type="dxa"/>
                          <w:right w:w="0" w:type="dxa"/>
                        </w:tblCellMar>
                      </w:tblPr>
                      <w:tblGrid>
                        <w:gridCol w:w="226"/>
                        <w:gridCol w:w="7938"/>
                      </w:tblGrid>
                      <w:tr>
                        <w:trPr/>
                        <w:tc>
                          <w:tcPr>
                            <w:tcW w:w="226" w:type="dxa"/>
                            <w:tcBorders/>
                          </w:tcPr>
                          <w:p>
                            <w:pPr>
                              <w:pStyle w:val="TableContents"/>
                              <w:bidi w:val="0"/>
                              <w:spacing w:before="0" w:after="283"/>
                              <w:jc w:val="left"/>
                              <w:rPr/>
                            </w:pPr>
                            <w:r>
                              <w:rPr/>
                              <w:t>m.</w:t>
                            </w:r>
                          </w:p>
                        </w:tc>
                        <w:tc>
                          <w:tcPr>
                            <w:tcW w:w="7938" w:type="dxa"/>
                            <w:tcBorders/>
                          </w:tcPr>
                          <w:p>
                            <w:pPr>
                              <w:pStyle w:val="TableContents"/>
                              <w:bidi w:val="0"/>
                              <w:spacing w:before="0" w:after="0"/>
                              <w:jc w:val="left"/>
                              <w:rPr>
                                <w:rFonts w:ascii="Times New Roman" w:hAnsi="Times New Roman"/>
                                <w:sz w:val="20"/>
                              </w:rPr>
                            </w:pPr>
                            <w:r>
                              <w:rPr>
                                <w:rFonts w:ascii="Times New Roman" w:hAnsi="Times New Roman"/>
                                <w:sz w:val="20"/>
                              </w:rPr>
                              <w:t>in respect of any payment (</w:t>
                            </w:r>
                            <w:r>
                              <w:rPr>
                                <w:rFonts w:ascii="Times New Roman" w:hAnsi="Times New Roman"/>
                                <w:i/>
                                <w:sz w:val="20"/>
                              </w:rPr>
                              <w:t>storting</w:t>
                            </w:r>
                            <w:r>
                              <w:rPr>
                                <w:rFonts w:ascii="Times New Roman" w:hAnsi="Times New Roman"/>
                                <w:sz w:val="20"/>
                              </w:rPr>
                              <w:t>) on any Registered Shares to be satisfied by means of a set-off (</w:t>
                            </w:r>
                            <w:r>
                              <w:rPr>
                                <w:rFonts w:ascii="Times New Roman" w:hAnsi="Times New Roman"/>
                                <w:i/>
                                <w:sz w:val="20"/>
                              </w:rPr>
                              <w:t>verrekening</w:t>
                            </w:r>
                            <w:r>
                              <w:rPr>
                                <w:rFonts w:ascii="Times New Roman" w:hAnsi="Times New Roman"/>
                                <w:sz w:val="20"/>
                              </w:rPr>
                              <w:t xml:space="preserve">), the Company shall have validly effected such set-off of a debt of the Company vis-à-vis the relevant subscriber for such Registered Shares against the Company’s claim on such subscriber to pay up such Registered Shares in full in accordance with Section 6:127 DCC, the Company shall have the authority to set off such debt vis-à-vis such claim and the amount payable by the Company under such debt shall be sufficient to pay up such Registered Shares in full by means of such set-off, in each at the moment when the relevant Registered Shares are issued;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8"/>
                        <w:gridCol w:w="7906"/>
                      </w:tblGrid>
                      <w:tr>
                        <w:trPr/>
                        <w:tc>
                          <w:tcPr>
                            <w:tcW w:w="258" w:type="dxa"/>
                            <w:tcBorders/>
                          </w:tcPr>
                          <w:p>
                            <w:pPr>
                              <w:pStyle w:val="TableContents"/>
                              <w:bidi w:val="0"/>
                              <w:spacing w:before="0" w:after="283"/>
                              <w:jc w:val="left"/>
                              <w:rPr/>
                            </w:pPr>
                            <w:r>
                              <w:rPr/>
                              <w:t>n.</w:t>
                            </w:r>
                          </w:p>
                        </w:tc>
                        <w:tc>
                          <w:tcPr>
                            <w:tcW w:w="7906" w:type="dxa"/>
                            <w:tcBorders/>
                          </w:tcPr>
                          <w:p>
                            <w:pPr>
                              <w:pStyle w:val="TableContents"/>
                              <w:bidi w:val="0"/>
                              <w:spacing w:before="0" w:after="0"/>
                              <w:jc w:val="left"/>
                              <w:rPr>
                                <w:rFonts w:ascii="Times New Roman" w:hAnsi="Times New Roman"/>
                                <w:sz w:val="20"/>
                              </w:rPr>
                            </w:pPr>
                            <w:r>
                              <w:rPr>
                                <w:rFonts w:ascii="Times New Roman" w:hAnsi="Times New Roman"/>
                                <w:sz w:val="20"/>
                              </w:rPr>
                              <w:t>no Registered Shares shall be offered to the public (</w:t>
                            </w:r>
                            <w:r>
                              <w:rPr>
                                <w:rFonts w:ascii="Times New Roman" w:hAnsi="Times New Roman"/>
                                <w:i/>
                                <w:sz w:val="20"/>
                              </w:rPr>
                              <w:t>aanbieden aan het publiek</w:t>
                            </w:r>
                            <w:r>
                              <w:rPr>
                                <w:rFonts w:ascii="Times New Roman" w:hAnsi="Times New Roman"/>
                                <w:sz w:val="20"/>
                              </w:rPr>
                              <w:t xml:space="preserve">) in the Netherlands other than in conformity with the Prospectus Regulation and the rules promulgated thereunder.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subject to the qualifications set forth in this opinion letter and to any matters, documents or events not disclosed to us, we express the following opinions: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Status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1"/>
                        <w:gridCol w:w="7893"/>
                      </w:tblGrid>
                      <w:tr>
                        <w:trPr/>
                        <w:tc>
                          <w:tcPr>
                            <w:tcW w:w="271" w:type="dxa"/>
                            <w:tcBorders/>
                          </w:tcPr>
                          <w:p>
                            <w:pPr>
                              <w:pStyle w:val="TableContents"/>
                              <w:bidi w:val="0"/>
                              <w:spacing w:before="0" w:after="283"/>
                              <w:jc w:val="left"/>
                              <w:rPr/>
                            </w:pPr>
                            <w:r>
                              <w:rPr/>
                              <w:t>1.</w:t>
                            </w:r>
                          </w:p>
                        </w:tc>
                        <w:tc>
                          <w:tcPr>
                            <w:tcW w:w="78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been duly incorporated as a </w:t>
                            </w:r>
                            <w:r>
                              <w:rPr>
                                <w:rFonts w:ascii="Times New Roman" w:hAnsi="Times New Roman"/>
                                <w:i/>
                                <w:sz w:val="20"/>
                              </w:rPr>
                              <w:t>besloten</w:t>
                            </w:r>
                            <w:r>
                              <w:rPr>
                                <w:rFonts w:ascii="Times New Roman" w:hAnsi="Times New Roman"/>
                                <w:sz w:val="20"/>
                              </w:rPr>
                              <w:t xml:space="preserve"> </w:t>
                            </w:r>
                            <w:r>
                              <w:rPr>
                                <w:rFonts w:ascii="Times New Roman" w:hAnsi="Times New Roman"/>
                                <w:i/>
                                <w:sz w:val="20"/>
                              </w:rPr>
                              <w:t>vennootschap</w:t>
                            </w:r>
                            <w:r>
                              <w:rPr>
                                <w:rFonts w:ascii="Times New Roman" w:hAnsi="Times New Roman"/>
                                <w:sz w:val="20"/>
                              </w:rPr>
                              <w:t xml:space="preserve"> </w:t>
                            </w:r>
                            <w:r>
                              <w:rPr>
                                <w:rFonts w:ascii="Times New Roman" w:hAnsi="Times New Roman"/>
                                <w:i/>
                                <w:sz w:val="20"/>
                              </w:rPr>
                              <w:t>met beperkte</w:t>
                            </w:r>
                            <w:r>
                              <w:rPr>
                                <w:rFonts w:ascii="Times New Roman" w:hAnsi="Times New Roman"/>
                                <w:sz w:val="20"/>
                              </w:rPr>
                              <w:t xml:space="preserve"> </w:t>
                            </w:r>
                            <w:r>
                              <w:rPr>
                                <w:rFonts w:ascii="Times New Roman" w:hAnsi="Times New Roman"/>
                                <w:i/>
                                <w:sz w:val="20"/>
                              </w:rPr>
                              <w:t>aansprakelijkheid</w:t>
                            </w:r>
                            <w:r>
                              <w:rPr>
                                <w:rFonts w:ascii="Times New Roman" w:hAnsi="Times New Roman"/>
                                <w:sz w:val="20"/>
                              </w:rPr>
                              <w:t xml:space="preserve"> and is validly existing as a </w:t>
                            </w:r>
                            <w:r>
                              <w:rPr>
                                <w:rFonts w:ascii="Times New Roman" w:hAnsi="Times New Roman"/>
                                <w:i/>
                                <w:sz w:val="20"/>
                              </w:rPr>
                              <w:t>naamloze</w:t>
                            </w:r>
                            <w:r>
                              <w:rPr>
                                <w:rFonts w:ascii="Times New Roman" w:hAnsi="Times New Roman"/>
                                <w:sz w:val="20"/>
                              </w:rPr>
                              <w:t xml:space="preserve"> </w:t>
                            </w:r>
                            <w:r>
                              <w:rPr>
                                <w:rFonts w:ascii="Times New Roman" w:hAnsi="Times New Roman"/>
                                <w:i/>
                                <w:sz w:val="20"/>
                              </w:rPr>
                              <w:t>vennootschap</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Registered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6"/>
                        <w:gridCol w:w="7968"/>
                      </w:tblGrid>
                      <w:tr>
                        <w:trPr/>
                        <w:tc>
                          <w:tcPr>
                            <w:tcW w:w="196" w:type="dxa"/>
                            <w:tcBorders/>
                          </w:tcPr>
                          <w:p>
                            <w:pPr>
                              <w:pStyle w:val="TableContents"/>
                              <w:bidi w:val="0"/>
                              <w:spacing w:before="0" w:after="283"/>
                              <w:jc w:val="left"/>
                              <w:rPr/>
                            </w:pPr>
                            <w:r>
                              <w:rPr/>
                              <w:t>2.</w:t>
                            </w:r>
                          </w:p>
                        </w:tc>
                        <w:tc>
                          <w:tcPr>
                            <w:tcW w:w="79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receipt by the Company of payment in full for, or other satisfaction of the issue or exercise price for, the Registered Shares, and when issued by the Company and accepted by the acquiror(s) thereof, the Registered Shares shall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5"/>
                        <w:gridCol w:w="7929"/>
                      </w:tblGrid>
                      <w:tr>
                        <w:trPr/>
                        <w:tc>
                          <w:tcPr>
                            <w:tcW w:w="235" w:type="dxa"/>
                            <w:tcBorders/>
                          </w:tcPr>
                          <w:p>
                            <w:pPr>
                              <w:pStyle w:val="TableContents"/>
                              <w:bidi w:val="0"/>
                              <w:spacing w:before="0" w:after="283"/>
                              <w:jc w:val="left"/>
                              <w:rPr/>
                            </w:pPr>
                            <w:r>
                              <w:rPr/>
                              <w:t>A.</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Opinion 1 must not be read to imply that the Company cannot be dissolved (</w:t>
                            </w:r>
                            <w:r>
                              <w:rPr>
                                <w:rFonts w:ascii="Times New Roman" w:hAnsi="Times New Roman"/>
                                <w:i/>
                                <w:sz w:val="20"/>
                              </w:rPr>
                              <w:t>ontbonden</w:t>
                            </w:r>
                            <w:r>
                              <w:rPr>
                                <w:rFonts w:ascii="Times New Roman" w:hAnsi="Times New Roman"/>
                                <w:sz w:val="20"/>
                              </w:rPr>
                              <w:t>). A company such as the Company may be dissolved, inter alia by the competent court at the request of the company’s board of directors, any interested party (</w:t>
                            </w:r>
                            <w:r>
                              <w:rPr>
                                <w:rFonts w:ascii="Times New Roman" w:hAnsi="Times New Roman"/>
                                <w:i/>
                                <w:sz w:val="20"/>
                              </w:rPr>
                              <w:t>belanghebbende</w:t>
                            </w:r>
                            <w:r>
                              <w:rPr>
                                <w:rFonts w:ascii="Times New Roman" w:hAnsi="Times New Roman"/>
                                <w:sz w:val="20"/>
                              </w:rPr>
                              <w:t xml:space="preserve">) or the public prosecution office in certain circumstances, such as when there are certain defects in the incorporation of the company. Any such dissolution will not have retro-active effect.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000" w:type="pct"/>
        <w:jc w:val="center"/>
        <w:tblInd w:w="0" w:type="dxa"/>
        <w:tblLayout w:type="fixed"/>
        <w:tblCellMar>
          <w:top w:w="0" w:type="dxa"/>
          <w:left w:w="0" w:type="dxa"/>
          <w:bottom w:w="0" w:type="dxa"/>
          <w:right w:w="0" w:type="dxa"/>
        </w:tblCellMar>
      </w:tblPr>
      <w:tblGrid>
        <w:gridCol w:w="1845"/>
        <w:gridCol w:w="109"/>
        <w:gridCol w:w="8102"/>
        <w:gridCol w:w="123"/>
        <w:gridCol w:w="26"/>
      </w:tblGrid>
      <w:tr>
        <w:trPr/>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02" w:type="dxa"/>
            <w:tcBorders/>
          </w:tcPr>
          <w:p>
            <w:pPr>
              <w:pStyle w:val="TableContents"/>
              <w:bidi w:val="0"/>
              <w:spacing w:before="0" w:after="0"/>
              <w:jc w:val="center"/>
              <w:rPr/>
            </w:pPr>
            <w:r>
              <w:rPr/>
              <w:t xml:space="preserve">      </w:t>
            </w:r>
            <w:r>
              <w:rPr/>
              <w:drawing>
                <wp:inline distT="0" distB="0" distL="0" distR="0">
                  <wp:extent cx="1266825" cy="14287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266825" cy="142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 xml:space="preserve">5 </w:t>
            </w:r>
          </w:p>
        </w:tc>
        <w:tc>
          <w:tcPr>
            <w:tcW w:w="123" w:type="dxa"/>
            <w:tcBorders/>
            <w:vAlign w:val="bottom"/>
          </w:tcPr>
          <w:p>
            <w:pPr>
              <w:pStyle w:val="TableContents"/>
              <w:bidi w:val="0"/>
              <w:spacing w:before="0" w:after="283"/>
              <w:jc w:val="left"/>
              <w:rPr/>
            </w:pPr>
            <w:r>
              <w:rPr/>
              <w:t>  </w:t>
            </w:r>
          </w:p>
        </w:tc>
        <w:tc>
          <w:tcPr>
            <w:tcW w:w="26"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924"/>
        <w:gridCol w:w="130"/>
        <w:gridCol w:w="8151"/>
      </w:tblGrid>
      <w:tr>
        <w:trPr/>
        <w:tc>
          <w:tcPr>
            <w:tcW w:w="19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51" w:type="dxa"/>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8151"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101090" cy="350520"/>
                <wp:effectExtent l="0" t="0" r="0" b="0"/>
                <wp:wrapSquare wrapText="right"/>
                <wp:docPr id="14" name="Frame9"/>
                <a:graphic xmlns:a="http://schemas.openxmlformats.org/drawingml/2006/main">
                  <a:graphicData uri="http://schemas.microsoft.com/office/word/2010/wordprocessingShape">
                    <wps:wsp>
                      <wps:cNvSpPr txBox="1"/>
                      <wps:spPr>
                        <a:xfrm>
                          <a:off x="0" y="0"/>
                          <a:ext cx="1101090" cy="35052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17000</wp14:pctWidth>
                </wp14:sizeRelH>
              </wp:anchor>
            </w:drawing>
          </mc:Choice>
          <mc:Fallback>
            <w:pict>
              <v:rect style="position:absolute;rotation:-0;width:86.7pt;height:2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5184140" cy="5371465"/>
                <wp:effectExtent l="0" t="0" r="0" b="0"/>
                <wp:wrapSquare wrapText="right"/>
                <wp:docPr id="15" name="Frame10"/>
                <a:graphic xmlns:a="http://schemas.openxmlformats.org/drawingml/2006/main">
                  <a:graphicData uri="http://schemas.microsoft.com/office/word/2010/wordprocessingShape">
                    <wps:wsp>
                      <wps:cNvSpPr txBox="1"/>
                      <wps:spPr>
                        <a:xfrm>
                          <a:off x="0" y="0"/>
                          <a:ext cx="5184140" cy="5371465"/>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207"/>
                              <w:gridCol w:w="7957"/>
                            </w:tblGrid>
                            <w:tr>
                              <w:trPr/>
                              <w:tc>
                                <w:tcPr>
                                  <w:tcW w:w="207" w:type="dxa"/>
                                  <w:tcBorders/>
                                </w:tcPr>
                                <w:p>
                                  <w:pPr>
                                    <w:pStyle w:val="TableContents"/>
                                    <w:bidi w:val="0"/>
                                    <w:spacing w:before="0" w:after="283"/>
                                    <w:jc w:val="left"/>
                                    <w:rPr/>
                                  </w:pPr>
                                  <w:r>
                                    <w:rPr/>
                                    <w:t>B.</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Section 2:7 DCC, any transaction entered into by a legal entity may be nullified by the legal entity itself or its liquidator in bankruptcy proceedings (</w:t>
                                  </w:r>
                                  <w:r>
                                    <w:rPr>
                                      <w:rFonts w:ascii="Times New Roman" w:hAnsi="Times New Roman"/>
                                      <w:i/>
                                      <w:sz w:val="20"/>
                                    </w:rPr>
                                    <w:t>curator</w:t>
                                  </w:r>
                                  <w:r>
                                    <w:rPr>
                                      <w:rFonts w:ascii="Times New Roman" w:hAnsi="Times New Roman"/>
                                      <w:sz w:val="20"/>
                                    </w:rPr>
                                    <w:t>) if the objects of that entity were transgressed by the transaction and the other party to the transaction knew or should have known this without independent investigation (</w:t>
                                  </w:r>
                                  <w:r>
                                    <w:rPr>
                                      <w:rFonts w:ascii="Times New Roman" w:hAnsi="Times New Roman"/>
                                      <w:i/>
                                      <w:sz w:val="20"/>
                                    </w:rPr>
                                    <w:t>wist of zonder eigen onderzoek moest weten</w:t>
                                  </w:r>
                                  <w:r>
                                    <w:rPr>
                                      <w:rFonts w:ascii="Times New Roman" w:hAnsi="Times New Roman"/>
                                      <w:sz w:val="20"/>
                                    </w:rPr>
                                    <w:t>). The Dutch Supreme Court (</w:t>
                                  </w:r>
                                  <w:r>
                                    <w:rPr>
                                      <w:rFonts w:ascii="Times New Roman" w:hAnsi="Times New Roman"/>
                                      <w:i/>
                                      <w:sz w:val="20"/>
                                    </w:rPr>
                                    <w:t>Hoge Raad der Nederlanden</w:t>
                                  </w:r>
                                  <w:r>
                                    <w:rPr>
                                      <w:rFonts w:ascii="Times New Roman" w:hAnsi="Times New Roman"/>
                                      <w:sz w:val="20"/>
                                    </w:rPr>
                                    <w:t>) has ruled that in determining whether the objects of a legal entity are transgressed, not only the description of the objects in that legal entity’s articles of association (</w:t>
                                  </w:r>
                                  <w:r>
                                    <w:rPr>
                                      <w:rFonts w:ascii="Times New Roman" w:hAnsi="Times New Roman"/>
                                      <w:i/>
                                      <w:sz w:val="20"/>
                                    </w:rPr>
                                    <w:t>statuten</w:t>
                                  </w:r>
                                  <w:r>
                                    <w:rPr>
                                      <w:rFonts w:ascii="Times New Roman" w:hAnsi="Times New Roman"/>
                                      <w:sz w:val="20"/>
                                    </w:rPr>
                                    <w:t xml:space="preserve">) is decisive, but all (relevant) circumstances must be taken into account, in particular whether the interests of the legal entity were served by the transaction. Based on the objects clause contained in the Current Articles, we have no reason to believe that, by entering into the Reviewed Documents, the Company would transgress the description of the objects contained in its Articles of Association. However, we cannot assess whether there are other relevant circumstances that must be taken into account, in particular whether the interests of the Company are served by entering into the Reviewed Documents since this is a matter of fact.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
                              <w:gridCol w:w="7960"/>
                            </w:tblGrid>
                            <w:tr>
                              <w:trPr/>
                              <w:tc>
                                <w:tcPr>
                                  <w:tcW w:w="204" w:type="dxa"/>
                                  <w:tcBorders/>
                                </w:tcPr>
                                <w:p>
                                  <w:pPr>
                                    <w:pStyle w:val="TableContents"/>
                                    <w:bidi w:val="0"/>
                                    <w:spacing w:before="0" w:after="283"/>
                                    <w:jc w:val="left"/>
                                    <w:rPr/>
                                  </w:pPr>
                                  <w:r>
                                    <w:rPr/>
                                    <w:t>C.</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Section 2:98c DCC, a company such as the Company may grant loans (</w:t>
                                  </w:r>
                                  <w:r>
                                    <w:rPr>
                                      <w:rFonts w:ascii="Times New Roman" w:hAnsi="Times New Roman"/>
                                      <w:i/>
                                      <w:sz w:val="20"/>
                                    </w:rPr>
                                    <w:t>leningen verstrekken</w:t>
                                  </w:r>
                                  <w:r>
                                    <w:rPr>
                                      <w:rFonts w:ascii="Times New Roman" w:hAnsi="Times New Roman"/>
                                      <w:sz w:val="20"/>
                                    </w:rPr>
                                    <w:t>) only in accordance with the restrictions set out in Section 2:98c DCC, and may not provide security (</w:t>
                                  </w:r>
                                  <w:r>
                                    <w:rPr>
                                      <w:rFonts w:ascii="Times New Roman" w:hAnsi="Times New Roman"/>
                                      <w:i/>
                                      <w:sz w:val="20"/>
                                    </w:rPr>
                                    <w:t>zekerheid stellen</w:t>
                                  </w:r>
                                  <w:r>
                                    <w:rPr>
                                      <w:rFonts w:ascii="Times New Roman" w:hAnsi="Times New Roman"/>
                                      <w:sz w:val="20"/>
                                    </w:rPr>
                                    <w:t>), give a price guarantee (</w:t>
                                  </w:r>
                                  <w:r>
                                    <w:rPr>
                                      <w:rFonts w:ascii="Times New Roman" w:hAnsi="Times New Roman"/>
                                      <w:i/>
                                      <w:sz w:val="20"/>
                                    </w:rPr>
                                    <w:t>koersgarantie geven</w:t>
                                  </w:r>
                                  <w:r>
                                    <w:rPr>
                                      <w:rFonts w:ascii="Times New Roman" w:hAnsi="Times New Roman"/>
                                      <w:sz w:val="20"/>
                                    </w:rPr>
                                    <w:t>) or otherwise bind itself, whether jointly and severally or otherwise with or for third parties (</w:t>
                                  </w:r>
                                  <w:r>
                                    <w:rPr>
                                      <w:rFonts w:ascii="Times New Roman" w:hAnsi="Times New Roman"/>
                                      <w:i/>
                                      <w:sz w:val="20"/>
                                    </w:rPr>
                                    <w:t>zich op andere wijze sterk maken of zich hoofdelijk of anderszins naast of voor anderen verbinden</w:t>
                                  </w:r>
                                  <w:r>
                                    <w:rPr>
                                      <w:rFonts w:ascii="Times New Roman" w:hAnsi="Times New Roman"/>
                                      <w:sz w:val="20"/>
                                    </w:rPr>
                                    <w:t>) with a view to (</w:t>
                                  </w:r>
                                  <w:r>
                                    <w:rPr>
                                      <w:rFonts w:ascii="Times New Roman" w:hAnsi="Times New Roman"/>
                                      <w:i/>
                                      <w:sz w:val="20"/>
                                    </w:rPr>
                                    <w:t>met het oog op</w:t>
                                  </w:r>
                                  <w:r>
                                    <w:rPr>
                                      <w:rFonts w:ascii="Times New Roman" w:hAnsi="Times New Roman"/>
                                      <w:sz w:val="20"/>
                                    </w:rPr>
                                    <w:t>) the subscription or acquisition by third parties of shares in its share capital or depository receipts. This prohibition also applies to its subsidiaries (</w:t>
                                  </w:r>
                                  <w:r>
                                    <w:rPr>
                                      <w:rFonts w:ascii="Times New Roman" w:hAnsi="Times New Roman"/>
                                      <w:i/>
                                      <w:sz w:val="20"/>
                                    </w:rPr>
                                    <w:t>dochtervennootschappen</w:t>
                                  </w:r>
                                  <w:r>
                                    <w:rPr>
                                      <w:rFonts w:ascii="Times New Roman" w:hAnsi="Times New Roman"/>
                                      <w:sz w:val="20"/>
                                    </w:rPr>
                                    <w:t>). It is generally assumed that a transaction entered into in violation of Section 2:98c DCC is null and void (</w:t>
                                  </w:r>
                                  <w:r>
                                    <w:rPr>
                                      <w:rFonts w:ascii="Times New Roman" w:hAnsi="Times New Roman"/>
                                      <w:i/>
                                      <w:sz w:val="20"/>
                                    </w:rPr>
                                    <w:t>nietig</w:t>
                                  </w:r>
                                  <w:r>
                                    <w:rPr>
                                      <w:rFonts w:ascii="Times New Roman" w:hAnsi="Times New Roman"/>
                                      <w:sz w:val="20"/>
                                    </w:rPr>
                                    <w:t xml:space="preserve">). Based on the content of the Reviewed Documents, we have no reason to believe that the Company or its subsidiaries will violate Section 2:98c DCC in connection with the issue of the Registered Shares. 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2"/>
                              <w:gridCol w:w="7662"/>
                            </w:tblGrid>
                            <w:tr>
                              <w:trPr/>
                              <w:tc>
                                <w:tcPr>
                                  <w:tcW w:w="502" w:type="dxa"/>
                                  <w:tcBorders/>
                                </w:tcPr>
                                <w:p>
                                  <w:pPr>
                                    <w:pStyle w:val="TableContents"/>
                                    <w:bidi w:val="0"/>
                                    <w:spacing w:before="0" w:after="283"/>
                                    <w:jc w:val="left"/>
                                    <w:rPr/>
                                  </w:pPr>
                                  <w:r>
                                    <w:rPr/>
                                    <w:t>D.</w:t>
                                  </w:r>
                                </w:p>
                              </w:tc>
                              <w:tc>
                                <w:tcPr>
                                  <w:tcW w:w="76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opinions expressed in this opinion letter may be limited or affected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2"/>
                              <w:gridCol w:w="297"/>
                              <w:gridCol w:w="7585"/>
                            </w:tblGrid>
                            <w:tr>
                              <w:trPr/>
                              <w:tc>
                                <w:tcPr>
                                  <w:tcW w:w="282" w:type="dxa"/>
                                  <w:tcBorders/>
                                  <w:vAlign w:val="center"/>
                                </w:tcPr>
                                <w:p>
                                  <w:pPr>
                                    <w:pStyle w:val="TableContents"/>
                                    <w:bidi w:val="0"/>
                                    <w:spacing w:before="0" w:after="283"/>
                                    <w:jc w:val="left"/>
                                    <w:rPr/>
                                  </w:pPr>
                                  <w:r>
                                    <w:rPr/>
                                    <w:t> </w:t>
                                  </w:r>
                                </w:p>
                              </w:tc>
                              <w:tc>
                                <w:tcPr>
                                  <w:tcW w:w="297" w:type="dxa"/>
                                  <w:tcBorders/>
                                </w:tcPr>
                                <w:p>
                                  <w:pPr>
                                    <w:pStyle w:val="TableContents"/>
                                    <w:bidi w:val="0"/>
                                    <w:spacing w:before="0" w:after="283"/>
                                    <w:jc w:val="left"/>
                                    <w:rPr/>
                                  </w:pPr>
                                  <w:r>
                                    <w:rPr/>
                                    <w:t>a.</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rules relating to Insolvency Proceedings or similar proceedings under a foreign law and other rules affecting creditors’ rights generally;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422.95pt;mso-wrap-distance-left:0pt;mso-wrap-distance-right:0pt;mso-wrap-distance-top:0pt;mso-wrap-distance-bottom:0pt;margin-top:0pt;mso-position-vertical:top;mso-position-vertical-relative:text;margin-left:86.7pt;mso-position-horizontal:left;mso-position-horizontal-relative:text">
                <v:textbox inset="0in,0in,0in,0in">
                  <w:txbxContent>
                    <w:tbl>
                      <w:tblPr>
                        <w:tblW w:w="5000" w:type="pct"/>
                        <w:jc w:val="left"/>
                        <w:tblInd w:w="0" w:type="dxa"/>
                        <w:tblLayout w:type="fixed"/>
                        <w:tblCellMar>
                          <w:top w:w="0" w:type="dxa"/>
                          <w:left w:w="0" w:type="dxa"/>
                          <w:bottom w:w="0" w:type="dxa"/>
                          <w:right w:w="0" w:type="dxa"/>
                        </w:tblCellMar>
                      </w:tblPr>
                      <w:tblGrid>
                        <w:gridCol w:w="207"/>
                        <w:gridCol w:w="7957"/>
                      </w:tblGrid>
                      <w:tr>
                        <w:trPr/>
                        <w:tc>
                          <w:tcPr>
                            <w:tcW w:w="207" w:type="dxa"/>
                            <w:tcBorders/>
                          </w:tcPr>
                          <w:p>
                            <w:pPr>
                              <w:pStyle w:val="TableContents"/>
                              <w:bidi w:val="0"/>
                              <w:spacing w:before="0" w:after="283"/>
                              <w:jc w:val="left"/>
                              <w:rPr/>
                            </w:pPr>
                            <w:r>
                              <w:rPr/>
                              <w:t>B.</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Section 2:7 DCC, any transaction entered into by a legal entity may be nullified by the legal entity itself or its liquidator in bankruptcy proceedings (</w:t>
                            </w:r>
                            <w:r>
                              <w:rPr>
                                <w:rFonts w:ascii="Times New Roman" w:hAnsi="Times New Roman"/>
                                <w:i/>
                                <w:sz w:val="20"/>
                              </w:rPr>
                              <w:t>curator</w:t>
                            </w:r>
                            <w:r>
                              <w:rPr>
                                <w:rFonts w:ascii="Times New Roman" w:hAnsi="Times New Roman"/>
                                <w:sz w:val="20"/>
                              </w:rPr>
                              <w:t>) if the objects of that entity were transgressed by the transaction and the other party to the transaction knew or should have known this without independent investigation (</w:t>
                            </w:r>
                            <w:r>
                              <w:rPr>
                                <w:rFonts w:ascii="Times New Roman" w:hAnsi="Times New Roman"/>
                                <w:i/>
                                <w:sz w:val="20"/>
                              </w:rPr>
                              <w:t>wist of zonder eigen onderzoek moest weten</w:t>
                            </w:r>
                            <w:r>
                              <w:rPr>
                                <w:rFonts w:ascii="Times New Roman" w:hAnsi="Times New Roman"/>
                                <w:sz w:val="20"/>
                              </w:rPr>
                              <w:t>). The Dutch Supreme Court (</w:t>
                            </w:r>
                            <w:r>
                              <w:rPr>
                                <w:rFonts w:ascii="Times New Roman" w:hAnsi="Times New Roman"/>
                                <w:i/>
                                <w:sz w:val="20"/>
                              </w:rPr>
                              <w:t>Hoge Raad der Nederlanden</w:t>
                            </w:r>
                            <w:r>
                              <w:rPr>
                                <w:rFonts w:ascii="Times New Roman" w:hAnsi="Times New Roman"/>
                                <w:sz w:val="20"/>
                              </w:rPr>
                              <w:t>) has ruled that in determining whether the objects of a legal entity are transgressed, not only the description of the objects in that legal entity’s articles of association (</w:t>
                            </w:r>
                            <w:r>
                              <w:rPr>
                                <w:rFonts w:ascii="Times New Roman" w:hAnsi="Times New Roman"/>
                                <w:i/>
                                <w:sz w:val="20"/>
                              </w:rPr>
                              <w:t>statuten</w:t>
                            </w:r>
                            <w:r>
                              <w:rPr>
                                <w:rFonts w:ascii="Times New Roman" w:hAnsi="Times New Roman"/>
                                <w:sz w:val="20"/>
                              </w:rPr>
                              <w:t xml:space="preserve">) is decisive, but all (relevant) circumstances must be taken into account, in particular whether the interests of the legal entity were served by the transaction. Based on the objects clause contained in the Current Articles, we have no reason to believe that, by entering into the Reviewed Documents, the Company would transgress the description of the objects contained in its Articles of Association. However, we cannot assess whether there are other relevant circumstances that must be taken into account, in particular whether the interests of the Company are served by entering into the Reviewed Documents since this is a matter of fact.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
                        <w:gridCol w:w="7960"/>
                      </w:tblGrid>
                      <w:tr>
                        <w:trPr/>
                        <w:tc>
                          <w:tcPr>
                            <w:tcW w:w="204" w:type="dxa"/>
                            <w:tcBorders/>
                          </w:tcPr>
                          <w:p>
                            <w:pPr>
                              <w:pStyle w:val="TableContents"/>
                              <w:bidi w:val="0"/>
                              <w:spacing w:before="0" w:after="283"/>
                              <w:jc w:val="left"/>
                              <w:rPr/>
                            </w:pPr>
                            <w:r>
                              <w:rPr/>
                              <w:t>C.</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Section 2:98c DCC, a company such as the Company may grant loans (</w:t>
                            </w:r>
                            <w:r>
                              <w:rPr>
                                <w:rFonts w:ascii="Times New Roman" w:hAnsi="Times New Roman"/>
                                <w:i/>
                                <w:sz w:val="20"/>
                              </w:rPr>
                              <w:t>leningen verstrekken</w:t>
                            </w:r>
                            <w:r>
                              <w:rPr>
                                <w:rFonts w:ascii="Times New Roman" w:hAnsi="Times New Roman"/>
                                <w:sz w:val="20"/>
                              </w:rPr>
                              <w:t>) only in accordance with the restrictions set out in Section 2:98c DCC, and may not provide security (</w:t>
                            </w:r>
                            <w:r>
                              <w:rPr>
                                <w:rFonts w:ascii="Times New Roman" w:hAnsi="Times New Roman"/>
                                <w:i/>
                                <w:sz w:val="20"/>
                              </w:rPr>
                              <w:t>zekerheid stellen</w:t>
                            </w:r>
                            <w:r>
                              <w:rPr>
                                <w:rFonts w:ascii="Times New Roman" w:hAnsi="Times New Roman"/>
                                <w:sz w:val="20"/>
                              </w:rPr>
                              <w:t>), give a price guarantee (</w:t>
                            </w:r>
                            <w:r>
                              <w:rPr>
                                <w:rFonts w:ascii="Times New Roman" w:hAnsi="Times New Roman"/>
                                <w:i/>
                                <w:sz w:val="20"/>
                              </w:rPr>
                              <w:t>koersgarantie geven</w:t>
                            </w:r>
                            <w:r>
                              <w:rPr>
                                <w:rFonts w:ascii="Times New Roman" w:hAnsi="Times New Roman"/>
                                <w:sz w:val="20"/>
                              </w:rPr>
                              <w:t>) or otherwise bind itself, whether jointly and severally or otherwise with or for third parties (</w:t>
                            </w:r>
                            <w:r>
                              <w:rPr>
                                <w:rFonts w:ascii="Times New Roman" w:hAnsi="Times New Roman"/>
                                <w:i/>
                                <w:sz w:val="20"/>
                              </w:rPr>
                              <w:t>zich op andere wijze sterk maken of zich hoofdelijk of anderszins naast of voor anderen verbinden</w:t>
                            </w:r>
                            <w:r>
                              <w:rPr>
                                <w:rFonts w:ascii="Times New Roman" w:hAnsi="Times New Roman"/>
                                <w:sz w:val="20"/>
                              </w:rPr>
                              <w:t>) with a view to (</w:t>
                            </w:r>
                            <w:r>
                              <w:rPr>
                                <w:rFonts w:ascii="Times New Roman" w:hAnsi="Times New Roman"/>
                                <w:i/>
                                <w:sz w:val="20"/>
                              </w:rPr>
                              <w:t>met het oog op</w:t>
                            </w:r>
                            <w:r>
                              <w:rPr>
                                <w:rFonts w:ascii="Times New Roman" w:hAnsi="Times New Roman"/>
                                <w:sz w:val="20"/>
                              </w:rPr>
                              <w:t>) the subscription or acquisition by third parties of shares in its share capital or depository receipts. This prohibition also applies to its subsidiaries (</w:t>
                            </w:r>
                            <w:r>
                              <w:rPr>
                                <w:rFonts w:ascii="Times New Roman" w:hAnsi="Times New Roman"/>
                                <w:i/>
                                <w:sz w:val="20"/>
                              </w:rPr>
                              <w:t>dochtervennootschappen</w:t>
                            </w:r>
                            <w:r>
                              <w:rPr>
                                <w:rFonts w:ascii="Times New Roman" w:hAnsi="Times New Roman"/>
                                <w:sz w:val="20"/>
                              </w:rPr>
                              <w:t>). It is generally assumed that a transaction entered into in violation of Section 2:98c DCC is null and void (</w:t>
                            </w:r>
                            <w:r>
                              <w:rPr>
                                <w:rFonts w:ascii="Times New Roman" w:hAnsi="Times New Roman"/>
                                <w:i/>
                                <w:sz w:val="20"/>
                              </w:rPr>
                              <w:t>nietig</w:t>
                            </w:r>
                            <w:r>
                              <w:rPr>
                                <w:rFonts w:ascii="Times New Roman" w:hAnsi="Times New Roman"/>
                                <w:sz w:val="20"/>
                              </w:rPr>
                              <w:t xml:space="preserve">). Based on the content of the Reviewed Documents, we have no reason to believe that the Company or its subsidiaries will violate Section 2:98c DCC in connection with the issue of the Registered Shares. 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2"/>
                        <w:gridCol w:w="7662"/>
                      </w:tblGrid>
                      <w:tr>
                        <w:trPr/>
                        <w:tc>
                          <w:tcPr>
                            <w:tcW w:w="502" w:type="dxa"/>
                            <w:tcBorders/>
                          </w:tcPr>
                          <w:p>
                            <w:pPr>
                              <w:pStyle w:val="TableContents"/>
                              <w:bidi w:val="0"/>
                              <w:spacing w:before="0" w:after="283"/>
                              <w:jc w:val="left"/>
                              <w:rPr/>
                            </w:pPr>
                            <w:r>
                              <w:rPr/>
                              <w:t>D.</w:t>
                            </w:r>
                          </w:p>
                        </w:tc>
                        <w:tc>
                          <w:tcPr>
                            <w:tcW w:w="76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opinions expressed in this opinion letter may be limited or affected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2"/>
                        <w:gridCol w:w="297"/>
                        <w:gridCol w:w="7585"/>
                      </w:tblGrid>
                      <w:tr>
                        <w:trPr/>
                        <w:tc>
                          <w:tcPr>
                            <w:tcW w:w="282" w:type="dxa"/>
                            <w:tcBorders/>
                            <w:vAlign w:val="center"/>
                          </w:tcPr>
                          <w:p>
                            <w:pPr>
                              <w:pStyle w:val="TableContents"/>
                              <w:bidi w:val="0"/>
                              <w:spacing w:before="0" w:after="283"/>
                              <w:jc w:val="left"/>
                              <w:rPr/>
                            </w:pPr>
                            <w:r>
                              <w:rPr/>
                              <w:t> </w:t>
                            </w:r>
                          </w:p>
                        </w:tc>
                        <w:tc>
                          <w:tcPr>
                            <w:tcW w:w="297" w:type="dxa"/>
                            <w:tcBorders/>
                          </w:tcPr>
                          <w:p>
                            <w:pPr>
                              <w:pStyle w:val="TableContents"/>
                              <w:bidi w:val="0"/>
                              <w:spacing w:before="0" w:after="283"/>
                              <w:jc w:val="left"/>
                              <w:rPr/>
                            </w:pPr>
                            <w:r>
                              <w:rPr/>
                              <w:t>a.</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rules relating to Insolvency Proceedings or similar proceedings under a foreign law and other rules affecting creditors’ rights generally;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000" w:type="pct"/>
        <w:jc w:val="center"/>
        <w:tblInd w:w="0" w:type="dxa"/>
        <w:tblLayout w:type="fixed"/>
        <w:tblCellMar>
          <w:top w:w="0" w:type="dxa"/>
          <w:left w:w="0" w:type="dxa"/>
          <w:bottom w:w="0" w:type="dxa"/>
          <w:right w:w="0" w:type="dxa"/>
        </w:tblCellMar>
      </w:tblPr>
      <w:tblGrid>
        <w:gridCol w:w="1845"/>
        <w:gridCol w:w="109"/>
        <w:gridCol w:w="8102"/>
        <w:gridCol w:w="123"/>
        <w:gridCol w:w="26"/>
      </w:tblGrid>
      <w:tr>
        <w:trPr/>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02" w:type="dxa"/>
            <w:tcBorders/>
          </w:tcPr>
          <w:p>
            <w:pPr>
              <w:pStyle w:val="TableContents"/>
              <w:bidi w:val="0"/>
              <w:spacing w:before="0" w:after="0"/>
              <w:jc w:val="center"/>
              <w:rPr/>
            </w:pPr>
            <w:r>
              <w:rPr/>
              <w:t xml:space="preserve">      </w:t>
            </w:r>
            <w:r>
              <w:rPr/>
              <w:drawing>
                <wp:inline distT="0" distB="0" distL="0" distR="0">
                  <wp:extent cx="1266825" cy="142875"/>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1266825" cy="142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 xml:space="preserve">6 </w:t>
            </w:r>
          </w:p>
        </w:tc>
        <w:tc>
          <w:tcPr>
            <w:tcW w:w="123" w:type="dxa"/>
            <w:tcBorders/>
            <w:vAlign w:val="bottom"/>
          </w:tcPr>
          <w:p>
            <w:pPr>
              <w:pStyle w:val="TableContents"/>
              <w:bidi w:val="0"/>
              <w:spacing w:before="0" w:after="283"/>
              <w:jc w:val="left"/>
              <w:rPr/>
            </w:pPr>
            <w:r>
              <w:rPr/>
              <w:t>  </w:t>
            </w:r>
          </w:p>
        </w:tc>
        <w:tc>
          <w:tcPr>
            <w:tcW w:w="26"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924"/>
        <w:gridCol w:w="130"/>
        <w:gridCol w:w="8151"/>
      </w:tblGrid>
      <w:tr>
        <w:trPr/>
        <w:tc>
          <w:tcPr>
            <w:tcW w:w="19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51" w:type="dxa"/>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8151"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101090" cy="350520"/>
                <wp:effectExtent l="0" t="0" r="0" b="0"/>
                <wp:wrapSquare wrapText="right"/>
                <wp:docPr id="17" name="Frame11"/>
                <a:graphic xmlns:a="http://schemas.openxmlformats.org/drawingml/2006/main">
                  <a:graphicData uri="http://schemas.microsoft.com/office/word/2010/wordprocessingShape">
                    <wps:wsp>
                      <wps:cNvSpPr txBox="1"/>
                      <wps:spPr>
                        <a:xfrm>
                          <a:off x="0" y="0"/>
                          <a:ext cx="1101090" cy="35052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17000</wp14:pctWidth>
                </wp14:sizeRelH>
              </wp:anchor>
            </w:drawing>
          </mc:Choice>
          <mc:Fallback>
            <w:pict>
              <v:rect style="position:absolute;rotation:-0;width:86.7pt;height:2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5184140" cy="5732780"/>
                <wp:effectExtent l="0" t="0" r="0" b="0"/>
                <wp:wrapSquare wrapText="right"/>
                <wp:docPr id="18" name="Frame12"/>
                <a:graphic xmlns:a="http://schemas.openxmlformats.org/drawingml/2006/main">
                  <a:graphicData uri="http://schemas.microsoft.com/office/word/2010/wordprocessingShape">
                    <wps:wsp>
                      <wps:cNvSpPr txBox="1"/>
                      <wps:spPr>
                        <a:xfrm>
                          <a:off x="0" y="0"/>
                          <a:ext cx="5184140" cy="5732780"/>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182"/>
                              <w:gridCol w:w="239"/>
                              <w:gridCol w:w="7743"/>
                            </w:tblGrid>
                            <w:tr>
                              <w:trPr/>
                              <w:tc>
                                <w:tcPr>
                                  <w:tcW w:w="182" w:type="dxa"/>
                                  <w:tcBorders/>
                                  <w:vAlign w:val="center"/>
                                </w:tcPr>
                                <w:p>
                                  <w:pPr>
                                    <w:pStyle w:val="TableContents"/>
                                    <w:bidi w:val="0"/>
                                    <w:spacing w:before="0" w:after="283"/>
                                    <w:jc w:val="left"/>
                                    <w:rPr/>
                                  </w:pPr>
                                  <w:r>
                                    <w:rPr/>
                                    <w:t> </w:t>
                                  </w:r>
                                </w:p>
                              </w:tc>
                              <w:tc>
                                <w:tcPr>
                                  <w:tcW w:w="239" w:type="dxa"/>
                                  <w:tcBorders/>
                                </w:tcPr>
                                <w:p>
                                  <w:pPr>
                                    <w:pStyle w:val="TableContents"/>
                                    <w:bidi w:val="0"/>
                                    <w:spacing w:before="0" w:after="283"/>
                                    <w:jc w:val="left"/>
                                    <w:rPr/>
                                  </w:pPr>
                                  <w:r>
                                    <w:rPr/>
                                    <w:t>b.</w:t>
                                  </w:r>
                                </w:p>
                              </w:tc>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the provisions of fraudulent preference and fraudulent conveyance (</w:t>
                                  </w:r>
                                  <w:r>
                                    <w:rPr>
                                      <w:rFonts w:ascii="Times New Roman" w:hAnsi="Times New Roman"/>
                                      <w:i/>
                                      <w:sz w:val="20"/>
                                    </w:rPr>
                                    <w:t>Actio Pauliana</w:t>
                                  </w:r>
                                  <w:r>
                                    <w:rPr>
                                      <w:rFonts w:ascii="Times New Roman" w:hAnsi="Times New Roman"/>
                                      <w:sz w:val="20"/>
                                    </w:rPr>
                                    <w:t xml:space="preserve">) and similar rights available in other jurisdictions to insolvency practitioners and insolvency office holders in bankruptcy proceedings or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6"/>
                              <w:gridCol w:w="757"/>
                              <w:gridCol w:w="6651"/>
                            </w:tblGrid>
                            <w:tr>
                              <w:trPr/>
                              <w:tc>
                                <w:tcPr>
                                  <w:tcW w:w="756" w:type="dxa"/>
                                  <w:tcBorders/>
                                  <w:vAlign w:val="center"/>
                                </w:tcPr>
                                <w:p>
                                  <w:pPr>
                                    <w:pStyle w:val="TableContents"/>
                                    <w:bidi w:val="0"/>
                                    <w:spacing w:before="0" w:after="283"/>
                                    <w:jc w:val="left"/>
                                    <w:rPr/>
                                  </w:pPr>
                                  <w:r>
                                    <w:rPr/>
                                    <w:t> </w:t>
                                  </w:r>
                                </w:p>
                              </w:tc>
                              <w:tc>
                                <w:tcPr>
                                  <w:tcW w:w="757" w:type="dxa"/>
                                  <w:tcBorders/>
                                </w:tcPr>
                                <w:p>
                                  <w:pPr>
                                    <w:pStyle w:val="TableContents"/>
                                    <w:bidi w:val="0"/>
                                    <w:spacing w:before="0" w:after="283"/>
                                    <w:jc w:val="left"/>
                                    <w:rPr/>
                                  </w:pPr>
                                  <w:r>
                                    <w:rPr/>
                                    <w:t>c.</w:t>
                                  </w:r>
                                </w:p>
                              </w:tc>
                              <w:tc>
                                <w:tcPr>
                                  <w:tcW w:w="6651" w:type="dxa"/>
                                  <w:tcBorders/>
                                </w:tcPr>
                                <w:p>
                                  <w:pPr>
                                    <w:pStyle w:val="TableContents"/>
                                    <w:bidi w:val="0"/>
                                    <w:spacing w:before="0" w:after="0"/>
                                    <w:jc w:val="left"/>
                                    <w:rPr>
                                      <w:rFonts w:ascii="Times New Roman" w:hAnsi="Times New Roman"/>
                                      <w:sz w:val="20"/>
                                    </w:rPr>
                                  </w:pPr>
                                  <w:r>
                                    <w:rPr>
                                      <w:rFonts w:ascii="Times New Roman" w:hAnsi="Times New Roman"/>
                                      <w:sz w:val="20"/>
                                    </w:rPr>
                                    <w:t>claims based on tort (</w:t>
                                  </w:r>
                                  <w:r>
                                    <w:rPr>
                                      <w:rFonts w:ascii="Times New Roman" w:hAnsi="Times New Roman"/>
                                      <w:i/>
                                      <w:sz w:val="20"/>
                                    </w:rPr>
                                    <w:t>onrechtmatige daad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251"/>
                              <w:gridCol w:w="7712"/>
                            </w:tblGrid>
                            <w:tr>
                              <w:trPr/>
                              <w:tc>
                                <w:tcPr>
                                  <w:tcW w:w="201" w:type="dxa"/>
                                  <w:tcBorders/>
                                  <w:vAlign w:val="center"/>
                                </w:tcPr>
                                <w:p>
                                  <w:pPr>
                                    <w:pStyle w:val="TableContents"/>
                                    <w:bidi w:val="0"/>
                                    <w:spacing w:before="0" w:after="283"/>
                                    <w:jc w:val="left"/>
                                    <w:rPr/>
                                  </w:pPr>
                                  <w:r>
                                    <w:rPr/>
                                    <w:t> </w:t>
                                  </w:r>
                                </w:p>
                              </w:tc>
                              <w:tc>
                                <w:tcPr>
                                  <w:tcW w:w="251" w:type="dxa"/>
                                  <w:tcBorders/>
                                </w:tcPr>
                                <w:p>
                                  <w:pPr>
                                    <w:pStyle w:val="TableContents"/>
                                    <w:bidi w:val="0"/>
                                    <w:spacing w:before="0" w:after="283"/>
                                    <w:jc w:val="left"/>
                                    <w:rPr/>
                                  </w:pPr>
                                  <w:r>
                                    <w:rPr/>
                                    <w:t>d.</w:t>
                                  </w:r>
                                </w:p>
                              </w:tc>
                              <w:tc>
                                <w:tcPr>
                                  <w:tcW w:w="7712" w:type="dxa"/>
                                  <w:tcBorders/>
                                </w:tcPr>
                                <w:p>
                                  <w:pPr>
                                    <w:pStyle w:val="TableContents"/>
                                    <w:bidi w:val="0"/>
                                    <w:spacing w:before="0" w:after="0"/>
                                    <w:jc w:val="left"/>
                                    <w:rPr>
                                      <w:rFonts w:ascii="Times New Roman" w:hAnsi="Times New Roman"/>
                                      <w:sz w:val="20"/>
                                    </w:rPr>
                                  </w:pPr>
                                  <w:r>
                                    <w:rPr>
                                      <w:rFonts w:ascii="Times New Roman" w:hAnsi="Times New Roman"/>
                                      <w:sz w:val="20"/>
                                    </w:rPr>
                                    <w:t>sanctions and measures, including but not limited to those concerning export control, pursuant to European Union regulations, under the Dutch Sanctions Act 1977 (</w:t>
                                  </w:r>
                                  <w:r>
                                    <w:rPr>
                                      <w:rFonts w:ascii="Times New Roman" w:hAnsi="Times New Roman"/>
                                      <w:i/>
                                      <w:sz w:val="20"/>
                                    </w:rPr>
                                    <w:t>Sanctiewet 1977</w:t>
                                  </w:r>
                                  <w:r>
                                    <w:rPr>
                                      <w:rFonts w:ascii="Times New Roman" w:hAnsi="Times New Roman"/>
                                      <w:sz w:val="20"/>
                                    </w:rPr>
                                    <w:t xml:space="preserve">) or other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
                              <w:gridCol w:w="431"/>
                              <w:gridCol w:w="7302"/>
                            </w:tblGrid>
                            <w:tr>
                              <w:trPr/>
                              <w:tc>
                                <w:tcPr>
                                  <w:tcW w:w="431" w:type="dxa"/>
                                  <w:tcBorders/>
                                  <w:vAlign w:val="center"/>
                                </w:tcPr>
                                <w:p>
                                  <w:pPr>
                                    <w:pStyle w:val="TableContents"/>
                                    <w:bidi w:val="0"/>
                                    <w:spacing w:before="0" w:after="283"/>
                                    <w:jc w:val="left"/>
                                    <w:rPr/>
                                  </w:pPr>
                                  <w:r>
                                    <w:rPr/>
                                    <w:t> </w:t>
                                  </w:r>
                                </w:p>
                              </w:tc>
                              <w:tc>
                                <w:tcPr>
                                  <w:tcW w:w="431" w:type="dxa"/>
                                  <w:tcBorders/>
                                </w:tcPr>
                                <w:p>
                                  <w:pPr>
                                    <w:pStyle w:val="TableContents"/>
                                    <w:bidi w:val="0"/>
                                    <w:spacing w:before="0" w:after="283"/>
                                    <w:jc w:val="left"/>
                                    <w:rPr/>
                                  </w:pPr>
                                  <w:r>
                                    <w:rPr/>
                                    <w:t>e.</w:t>
                                  </w:r>
                                </w:p>
                              </w:tc>
                              <w:tc>
                                <w:tcPr>
                                  <w:tcW w:w="73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Anti-Boycott Regulation, Anti Money Laundering Laws and related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8"/>
                              <w:gridCol w:w="255"/>
                              <w:gridCol w:w="7681"/>
                            </w:tblGrid>
                            <w:tr>
                              <w:trPr/>
                              <w:tc>
                                <w:tcPr>
                                  <w:tcW w:w="228" w:type="dxa"/>
                                  <w:tcBorders/>
                                  <w:vAlign w:val="center"/>
                                </w:tcPr>
                                <w:p>
                                  <w:pPr>
                                    <w:pStyle w:val="TableContents"/>
                                    <w:bidi w:val="0"/>
                                    <w:spacing w:before="0" w:after="283"/>
                                    <w:jc w:val="left"/>
                                    <w:rPr/>
                                  </w:pPr>
                                  <w:r>
                                    <w:rPr/>
                                    <w:t> </w:t>
                                  </w:r>
                                </w:p>
                              </w:tc>
                              <w:tc>
                                <w:tcPr>
                                  <w:tcW w:w="255" w:type="dxa"/>
                                  <w:tcBorders/>
                                </w:tcPr>
                                <w:p>
                                  <w:pPr>
                                    <w:pStyle w:val="TableContents"/>
                                    <w:bidi w:val="0"/>
                                    <w:spacing w:before="0" w:after="283"/>
                                    <w:jc w:val="left"/>
                                    <w:rPr/>
                                  </w:pPr>
                                  <w:r>
                                    <w:rPr/>
                                    <w:t>f.</w:t>
                                  </w:r>
                                </w:p>
                              </w:tc>
                              <w:tc>
                                <w:tcPr>
                                  <w:tcW w:w="76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intervention, recovery or resolution measure by any regulatory or other authority or governmental body in relation to financial enterprises or their affiliated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7"/>
                              <w:gridCol w:w="201"/>
                              <w:gridCol w:w="7846"/>
                            </w:tblGrid>
                            <w:tr>
                              <w:trPr/>
                              <w:tc>
                                <w:tcPr>
                                  <w:tcW w:w="117" w:type="dxa"/>
                                  <w:tcBorders/>
                                  <w:vAlign w:val="center"/>
                                </w:tcPr>
                                <w:p>
                                  <w:pPr>
                                    <w:pStyle w:val="TableContents"/>
                                    <w:bidi w:val="0"/>
                                    <w:spacing w:before="0" w:after="283"/>
                                    <w:jc w:val="left"/>
                                    <w:rPr/>
                                  </w:pPr>
                                  <w:r>
                                    <w:rPr/>
                                    <w:t> </w:t>
                                  </w:r>
                                </w:p>
                              </w:tc>
                              <w:tc>
                                <w:tcPr>
                                  <w:tcW w:w="201" w:type="dxa"/>
                                  <w:tcBorders/>
                                </w:tcPr>
                                <w:p>
                                  <w:pPr>
                                    <w:pStyle w:val="TableContents"/>
                                    <w:bidi w:val="0"/>
                                    <w:spacing w:before="0" w:after="283"/>
                                    <w:jc w:val="left"/>
                                    <w:rPr/>
                                  </w:pPr>
                                  <w:r>
                                    <w:rPr/>
                                    <w:t>g.</w:t>
                                  </w:r>
                                </w:p>
                              </w:tc>
                              <w:tc>
                                <w:tcPr>
                                  <w:tcW w:w="7846" w:type="dxa"/>
                                  <w:tcBorders/>
                                </w:tcPr>
                                <w:p>
                                  <w:pPr>
                                    <w:pStyle w:val="TableContents"/>
                                    <w:bidi w:val="0"/>
                                    <w:spacing w:before="0" w:after="0"/>
                                    <w:jc w:val="left"/>
                                    <w:rPr>
                                      <w:rFonts w:ascii="Times New Roman" w:hAnsi="Times New Roman"/>
                                      <w:sz w:val="20"/>
                                    </w:rPr>
                                  </w:pPr>
                                  <w:r>
                                    <w:rPr>
                                      <w:rFonts w:ascii="Times New Roman" w:hAnsi="Times New Roman"/>
                                      <w:sz w:val="20"/>
                                    </w:rPr>
                                    <w:t>the rules of force majeure (</w:t>
                                  </w:r>
                                  <w:r>
                                    <w:rPr>
                                      <w:rFonts w:ascii="Times New Roman" w:hAnsi="Times New Roman"/>
                                      <w:i/>
                                      <w:sz w:val="20"/>
                                    </w:rPr>
                                    <w:t>niet toerekenbare tekortkoming</w:t>
                                  </w:r>
                                  <w:r>
                                    <w:rPr>
                                      <w:rFonts w:ascii="Times New Roman" w:hAnsi="Times New Roman"/>
                                      <w:sz w:val="20"/>
                                    </w:rPr>
                                    <w:t>), reasonableness and fairness (</w:t>
                                  </w:r>
                                  <w:r>
                                    <w:rPr>
                                      <w:rFonts w:ascii="Times New Roman" w:hAnsi="Times New Roman"/>
                                      <w:i/>
                                      <w:sz w:val="20"/>
                                    </w:rPr>
                                    <w:t>redelijkheid en billijkheid</w:t>
                                  </w:r>
                                  <w:r>
                                    <w:rPr>
                                      <w:rFonts w:ascii="Times New Roman" w:hAnsi="Times New Roman"/>
                                      <w:sz w:val="20"/>
                                    </w:rPr>
                                    <w:t>), suspension (</w:t>
                                  </w:r>
                                  <w:r>
                                    <w:rPr>
                                      <w:rFonts w:ascii="Times New Roman" w:hAnsi="Times New Roman"/>
                                      <w:i/>
                                      <w:sz w:val="20"/>
                                    </w:rPr>
                                    <w:t>opschorting</w:t>
                                  </w:r>
                                  <w:r>
                                    <w:rPr>
                                      <w:rFonts w:ascii="Times New Roman" w:hAnsi="Times New Roman"/>
                                      <w:sz w:val="20"/>
                                    </w:rPr>
                                    <w:t>), dissolution (</w:t>
                                  </w:r>
                                  <w:r>
                                    <w:rPr>
                                      <w:rFonts w:ascii="Times New Roman" w:hAnsi="Times New Roman"/>
                                      <w:i/>
                                      <w:sz w:val="20"/>
                                    </w:rPr>
                                    <w:t>ontbinding</w:t>
                                  </w:r>
                                  <w:r>
                                    <w:rPr>
                                      <w:rFonts w:ascii="Times New Roman" w:hAnsi="Times New Roman"/>
                                      <w:sz w:val="20"/>
                                    </w:rPr>
                                    <w:t>), unforeseen circumstances (</w:t>
                                  </w:r>
                                  <w:r>
                                    <w:rPr>
                                      <w:rFonts w:ascii="Times New Roman" w:hAnsi="Times New Roman"/>
                                      <w:i/>
                                      <w:sz w:val="20"/>
                                    </w:rPr>
                                    <w:t>onvoorziene omstandigheden</w:t>
                                  </w:r>
                                  <w:r>
                                    <w:rPr>
                                      <w:rFonts w:ascii="Times New Roman" w:hAnsi="Times New Roman"/>
                                      <w:sz w:val="20"/>
                                    </w:rPr>
                                    <w:t>) and vitiated consent (i.e., duress (</w:t>
                                  </w:r>
                                  <w:r>
                                    <w:rPr>
                                      <w:rFonts w:ascii="Times New Roman" w:hAnsi="Times New Roman"/>
                                      <w:i/>
                                      <w:sz w:val="20"/>
                                    </w:rPr>
                                    <w:t>bedreiging</w:t>
                                  </w:r>
                                  <w:r>
                                    <w:rPr>
                                      <w:rFonts w:ascii="Times New Roman" w:hAnsi="Times New Roman"/>
                                      <w:sz w:val="20"/>
                                    </w:rPr>
                                    <w:t>), fraud (</w:t>
                                  </w:r>
                                  <w:r>
                                    <w:rPr>
                                      <w:rFonts w:ascii="Times New Roman" w:hAnsi="Times New Roman"/>
                                      <w:i/>
                                      <w:sz w:val="20"/>
                                    </w:rPr>
                                    <w:t>bedrog</w:t>
                                  </w:r>
                                  <w:r>
                                    <w:rPr>
                                      <w:rFonts w:ascii="Times New Roman" w:hAnsi="Times New Roman"/>
                                      <w:sz w:val="20"/>
                                    </w:rPr>
                                    <w:t>), abuse of circumstances (</w:t>
                                  </w:r>
                                  <w:r>
                                    <w:rPr>
                                      <w:rFonts w:ascii="Times New Roman" w:hAnsi="Times New Roman"/>
                                      <w:i/>
                                      <w:sz w:val="20"/>
                                    </w:rPr>
                                    <w:t>misbruik van omstandigheden</w:t>
                                  </w:r>
                                  <w:r>
                                    <w:rPr>
                                      <w:rFonts w:ascii="Times New Roman" w:hAnsi="Times New Roman"/>
                                      <w:sz w:val="20"/>
                                    </w:rPr>
                                    <w:t>) and error (</w:t>
                                  </w:r>
                                  <w:r>
                                    <w:rPr>
                                      <w:rFonts w:ascii="Times New Roman" w:hAnsi="Times New Roman"/>
                                      <w:i/>
                                      <w:sz w:val="20"/>
                                    </w:rPr>
                                    <w:t>dwaling</w:t>
                                  </w:r>
                                  <w:r>
                                    <w:rPr>
                                      <w:rFonts w:ascii="Times New Roman" w:hAnsi="Times New Roman"/>
                                      <w:sz w:val="20"/>
                                    </w:rPr>
                                    <w:t>)) or a difference of intention (</w:t>
                                  </w:r>
                                  <w:r>
                                    <w:rPr>
                                      <w:rFonts w:ascii="Times New Roman" w:hAnsi="Times New Roman"/>
                                      <w:i/>
                                      <w:sz w:val="20"/>
                                    </w:rPr>
                                    <w:t>wil</w:t>
                                  </w:r>
                                  <w:r>
                                    <w:rPr>
                                      <w:rFonts w:ascii="Times New Roman" w:hAnsi="Times New Roman"/>
                                      <w:sz w:val="20"/>
                                    </w:rPr>
                                    <w:t>) and declaration (</w:t>
                                  </w:r>
                                  <w:r>
                                    <w:rPr>
                                      <w:rFonts w:ascii="Times New Roman" w:hAnsi="Times New Roman"/>
                                      <w:i/>
                                      <w:sz w:val="20"/>
                                    </w:rPr>
                                    <w:t>verklaring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9"/>
                              <w:gridCol w:w="7935"/>
                            </w:tblGrid>
                            <w:tr>
                              <w:trPr/>
                              <w:tc>
                                <w:tcPr>
                                  <w:tcW w:w="229" w:type="dxa"/>
                                  <w:tcBorders/>
                                </w:tcPr>
                                <w:p>
                                  <w:pPr>
                                    <w:pStyle w:val="TableContents"/>
                                    <w:bidi w:val="0"/>
                                    <w:spacing w:before="0" w:after="283"/>
                                    <w:jc w:val="left"/>
                                    <w:rPr/>
                                  </w:pPr>
                                  <w:r>
                                    <w:rPr/>
                                    <w:t>E.</w:t>
                                  </w:r>
                                </w:p>
                              </w:tc>
                              <w:tc>
                                <w:tcPr>
                                  <w:tcW w:w="793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7"/>
                              <w:gridCol w:w="7877"/>
                            </w:tblGrid>
                            <w:tr>
                              <w:trPr/>
                              <w:tc>
                                <w:tcPr>
                                  <w:tcW w:w="287" w:type="dxa"/>
                                  <w:tcBorders/>
                                </w:tcPr>
                                <w:p>
                                  <w:pPr>
                                    <w:pStyle w:val="TableContents"/>
                                    <w:bidi w:val="0"/>
                                    <w:spacing w:before="0" w:after="283"/>
                                    <w:jc w:val="left"/>
                                    <w:rPr/>
                                  </w:pPr>
                                  <w:r>
                                    <w:rPr/>
                                    <w:t>F.</w:t>
                                  </w:r>
                                </w:p>
                              </w:tc>
                              <w:tc>
                                <w:tcPr>
                                  <w:tcW w:w="78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letter does not purport to express any opinion or view on the operational rules and procedures of any clearing or settlement system or agency.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letter as an exhibit to the Company’s Form 6-K, as filed or to be filed with the SEC on 11 May 2026 and also consent to the reference to NautaDutilh in the Registration Statement and Prospectus Supplement under the caption “Legal Matters”. In giving this consent we do not admit or imply that we are a person whose consent is required under Section 7 of the United States Securities Act of 1933, as amended, or any rules and regulations promulgated </w:t>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451.4pt;mso-wrap-distance-left:0pt;mso-wrap-distance-right:0pt;mso-wrap-distance-top:0pt;mso-wrap-distance-bottom:0pt;margin-top:0pt;mso-position-vertical:top;mso-position-vertical-relative:text;margin-left:86.7pt;mso-position-horizontal:left;mso-position-horizontal-relative:text">
                <v:textbox inset="0in,0in,0in,0in">
                  <w:txbxContent>
                    <w:tbl>
                      <w:tblPr>
                        <w:tblW w:w="5000" w:type="pct"/>
                        <w:jc w:val="left"/>
                        <w:tblInd w:w="0" w:type="dxa"/>
                        <w:tblLayout w:type="fixed"/>
                        <w:tblCellMar>
                          <w:top w:w="0" w:type="dxa"/>
                          <w:left w:w="0" w:type="dxa"/>
                          <w:bottom w:w="0" w:type="dxa"/>
                          <w:right w:w="0" w:type="dxa"/>
                        </w:tblCellMar>
                      </w:tblPr>
                      <w:tblGrid>
                        <w:gridCol w:w="182"/>
                        <w:gridCol w:w="239"/>
                        <w:gridCol w:w="7743"/>
                      </w:tblGrid>
                      <w:tr>
                        <w:trPr/>
                        <w:tc>
                          <w:tcPr>
                            <w:tcW w:w="182" w:type="dxa"/>
                            <w:tcBorders/>
                            <w:vAlign w:val="center"/>
                          </w:tcPr>
                          <w:p>
                            <w:pPr>
                              <w:pStyle w:val="TableContents"/>
                              <w:bidi w:val="0"/>
                              <w:spacing w:before="0" w:after="283"/>
                              <w:jc w:val="left"/>
                              <w:rPr/>
                            </w:pPr>
                            <w:r>
                              <w:rPr/>
                              <w:t> </w:t>
                            </w:r>
                          </w:p>
                        </w:tc>
                        <w:tc>
                          <w:tcPr>
                            <w:tcW w:w="239" w:type="dxa"/>
                            <w:tcBorders/>
                          </w:tcPr>
                          <w:p>
                            <w:pPr>
                              <w:pStyle w:val="TableContents"/>
                              <w:bidi w:val="0"/>
                              <w:spacing w:before="0" w:after="283"/>
                              <w:jc w:val="left"/>
                              <w:rPr/>
                            </w:pPr>
                            <w:r>
                              <w:rPr/>
                              <w:t>b.</w:t>
                            </w:r>
                          </w:p>
                        </w:tc>
                        <w:tc>
                          <w:tcPr>
                            <w:tcW w:w="7743" w:type="dxa"/>
                            <w:tcBorders/>
                          </w:tcPr>
                          <w:p>
                            <w:pPr>
                              <w:pStyle w:val="TableContents"/>
                              <w:bidi w:val="0"/>
                              <w:spacing w:before="0" w:after="0"/>
                              <w:jc w:val="left"/>
                              <w:rPr>
                                <w:rFonts w:ascii="Times New Roman" w:hAnsi="Times New Roman"/>
                                <w:sz w:val="20"/>
                              </w:rPr>
                            </w:pPr>
                            <w:r>
                              <w:rPr>
                                <w:rFonts w:ascii="Times New Roman" w:hAnsi="Times New Roman"/>
                                <w:sz w:val="20"/>
                              </w:rPr>
                              <w:t>the provisions of fraudulent preference and fraudulent conveyance (</w:t>
                            </w:r>
                            <w:r>
                              <w:rPr>
                                <w:rFonts w:ascii="Times New Roman" w:hAnsi="Times New Roman"/>
                                <w:i/>
                                <w:sz w:val="20"/>
                              </w:rPr>
                              <w:t>Actio Pauliana</w:t>
                            </w:r>
                            <w:r>
                              <w:rPr>
                                <w:rFonts w:ascii="Times New Roman" w:hAnsi="Times New Roman"/>
                                <w:sz w:val="20"/>
                              </w:rPr>
                              <w:t xml:space="preserve">) and similar rights available in other jurisdictions to insolvency practitioners and insolvency office holders in bankruptcy proceedings or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6"/>
                        <w:gridCol w:w="757"/>
                        <w:gridCol w:w="6651"/>
                      </w:tblGrid>
                      <w:tr>
                        <w:trPr/>
                        <w:tc>
                          <w:tcPr>
                            <w:tcW w:w="756" w:type="dxa"/>
                            <w:tcBorders/>
                            <w:vAlign w:val="center"/>
                          </w:tcPr>
                          <w:p>
                            <w:pPr>
                              <w:pStyle w:val="TableContents"/>
                              <w:bidi w:val="0"/>
                              <w:spacing w:before="0" w:after="283"/>
                              <w:jc w:val="left"/>
                              <w:rPr/>
                            </w:pPr>
                            <w:r>
                              <w:rPr/>
                              <w:t> </w:t>
                            </w:r>
                          </w:p>
                        </w:tc>
                        <w:tc>
                          <w:tcPr>
                            <w:tcW w:w="757" w:type="dxa"/>
                            <w:tcBorders/>
                          </w:tcPr>
                          <w:p>
                            <w:pPr>
                              <w:pStyle w:val="TableContents"/>
                              <w:bidi w:val="0"/>
                              <w:spacing w:before="0" w:after="283"/>
                              <w:jc w:val="left"/>
                              <w:rPr/>
                            </w:pPr>
                            <w:r>
                              <w:rPr/>
                              <w:t>c.</w:t>
                            </w:r>
                          </w:p>
                        </w:tc>
                        <w:tc>
                          <w:tcPr>
                            <w:tcW w:w="6651" w:type="dxa"/>
                            <w:tcBorders/>
                          </w:tcPr>
                          <w:p>
                            <w:pPr>
                              <w:pStyle w:val="TableContents"/>
                              <w:bidi w:val="0"/>
                              <w:spacing w:before="0" w:after="0"/>
                              <w:jc w:val="left"/>
                              <w:rPr>
                                <w:rFonts w:ascii="Times New Roman" w:hAnsi="Times New Roman"/>
                                <w:sz w:val="20"/>
                              </w:rPr>
                            </w:pPr>
                            <w:r>
                              <w:rPr>
                                <w:rFonts w:ascii="Times New Roman" w:hAnsi="Times New Roman"/>
                                <w:sz w:val="20"/>
                              </w:rPr>
                              <w:t>claims based on tort (</w:t>
                            </w:r>
                            <w:r>
                              <w:rPr>
                                <w:rFonts w:ascii="Times New Roman" w:hAnsi="Times New Roman"/>
                                <w:i/>
                                <w:sz w:val="20"/>
                              </w:rPr>
                              <w:t>onrechtmatige daad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251"/>
                        <w:gridCol w:w="7712"/>
                      </w:tblGrid>
                      <w:tr>
                        <w:trPr/>
                        <w:tc>
                          <w:tcPr>
                            <w:tcW w:w="201" w:type="dxa"/>
                            <w:tcBorders/>
                            <w:vAlign w:val="center"/>
                          </w:tcPr>
                          <w:p>
                            <w:pPr>
                              <w:pStyle w:val="TableContents"/>
                              <w:bidi w:val="0"/>
                              <w:spacing w:before="0" w:after="283"/>
                              <w:jc w:val="left"/>
                              <w:rPr/>
                            </w:pPr>
                            <w:r>
                              <w:rPr/>
                              <w:t> </w:t>
                            </w:r>
                          </w:p>
                        </w:tc>
                        <w:tc>
                          <w:tcPr>
                            <w:tcW w:w="251" w:type="dxa"/>
                            <w:tcBorders/>
                          </w:tcPr>
                          <w:p>
                            <w:pPr>
                              <w:pStyle w:val="TableContents"/>
                              <w:bidi w:val="0"/>
                              <w:spacing w:before="0" w:after="283"/>
                              <w:jc w:val="left"/>
                              <w:rPr/>
                            </w:pPr>
                            <w:r>
                              <w:rPr/>
                              <w:t>d.</w:t>
                            </w:r>
                          </w:p>
                        </w:tc>
                        <w:tc>
                          <w:tcPr>
                            <w:tcW w:w="7712" w:type="dxa"/>
                            <w:tcBorders/>
                          </w:tcPr>
                          <w:p>
                            <w:pPr>
                              <w:pStyle w:val="TableContents"/>
                              <w:bidi w:val="0"/>
                              <w:spacing w:before="0" w:after="0"/>
                              <w:jc w:val="left"/>
                              <w:rPr>
                                <w:rFonts w:ascii="Times New Roman" w:hAnsi="Times New Roman"/>
                                <w:sz w:val="20"/>
                              </w:rPr>
                            </w:pPr>
                            <w:r>
                              <w:rPr>
                                <w:rFonts w:ascii="Times New Roman" w:hAnsi="Times New Roman"/>
                                <w:sz w:val="20"/>
                              </w:rPr>
                              <w:t>sanctions and measures, including but not limited to those concerning export control, pursuant to European Union regulations, under the Dutch Sanctions Act 1977 (</w:t>
                            </w:r>
                            <w:r>
                              <w:rPr>
                                <w:rFonts w:ascii="Times New Roman" w:hAnsi="Times New Roman"/>
                                <w:i/>
                                <w:sz w:val="20"/>
                              </w:rPr>
                              <w:t>Sanctiewet 1977</w:t>
                            </w:r>
                            <w:r>
                              <w:rPr>
                                <w:rFonts w:ascii="Times New Roman" w:hAnsi="Times New Roman"/>
                                <w:sz w:val="20"/>
                              </w:rPr>
                              <w:t xml:space="preserve">) or other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
                        <w:gridCol w:w="431"/>
                        <w:gridCol w:w="7302"/>
                      </w:tblGrid>
                      <w:tr>
                        <w:trPr/>
                        <w:tc>
                          <w:tcPr>
                            <w:tcW w:w="431" w:type="dxa"/>
                            <w:tcBorders/>
                            <w:vAlign w:val="center"/>
                          </w:tcPr>
                          <w:p>
                            <w:pPr>
                              <w:pStyle w:val="TableContents"/>
                              <w:bidi w:val="0"/>
                              <w:spacing w:before="0" w:after="283"/>
                              <w:jc w:val="left"/>
                              <w:rPr/>
                            </w:pPr>
                            <w:r>
                              <w:rPr/>
                              <w:t> </w:t>
                            </w:r>
                          </w:p>
                        </w:tc>
                        <w:tc>
                          <w:tcPr>
                            <w:tcW w:w="431" w:type="dxa"/>
                            <w:tcBorders/>
                          </w:tcPr>
                          <w:p>
                            <w:pPr>
                              <w:pStyle w:val="TableContents"/>
                              <w:bidi w:val="0"/>
                              <w:spacing w:before="0" w:after="283"/>
                              <w:jc w:val="left"/>
                              <w:rPr/>
                            </w:pPr>
                            <w:r>
                              <w:rPr/>
                              <w:t>e.</w:t>
                            </w:r>
                          </w:p>
                        </w:tc>
                        <w:tc>
                          <w:tcPr>
                            <w:tcW w:w="73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Anti-Boycott Regulation, Anti Money Laundering Laws and related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8"/>
                        <w:gridCol w:w="255"/>
                        <w:gridCol w:w="7681"/>
                      </w:tblGrid>
                      <w:tr>
                        <w:trPr/>
                        <w:tc>
                          <w:tcPr>
                            <w:tcW w:w="228" w:type="dxa"/>
                            <w:tcBorders/>
                            <w:vAlign w:val="center"/>
                          </w:tcPr>
                          <w:p>
                            <w:pPr>
                              <w:pStyle w:val="TableContents"/>
                              <w:bidi w:val="0"/>
                              <w:spacing w:before="0" w:after="283"/>
                              <w:jc w:val="left"/>
                              <w:rPr/>
                            </w:pPr>
                            <w:r>
                              <w:rPr/>
                              <w:t> </w:t>
                            </w:r>
                          </w:p>
                        </w:tc>
                        <w:tc>
                          <w:tcPr>
                            <w:tcW w:w="255" w:type="dxa"/>
                            <w:tcBorders/>
                          </w:tcPr>
                          <w:p>
                            <w:pPr>
                              <w:pStyle w:val="TableContents"/>
                              <w:bidi w:val="0"/>
                              <w:spacing w:before="0" w:after="283"/>
                              <w:jc w:val="left"/>
                              <w:rPr/>
                            </w:pPr>
                            <w:r>
                              <w:rPr/>
                              <w:t>f.</w:t>
                            </w:r>
                          </w:p>
                        </w:tc>
                        <w:tc>
                          <w:tcPr>
                            <w:tcW w:w="76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intervention, recovery or resolution measure by any regulatory or other authority or governmental body in relation to financial enterprises or their affiliated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7"/>
                        <w:gridCol w:w="201"/>
                        <w:gridCol w:w="7846"/>
                      </w:tblGrid>
                      <w:tr>
                        <w:trPr/>
                        <w:tc>
                          <w:tcPr>
                            <w:tcW w:w="117" w:type="dxa"/>
                            <w:tcBorders/>
                            <w:vAlign w:val="center"/>
                          </w:tcPr>
                          <w:p>
                            <w:pPr>
                              <w:pStyle w:val="TableContents"/>
                              <w:bidi w:val="0"/>
                              <w:spacing w:before="0" w:after="283"/>
                              <w:jc w:val="left"/>
                              <w:rPr/>
                            </w:pPr>
                            <w:r>
                              <w:rPr/>
                              <w:t> </w:t>
                            </w:r>
                          </w:p>
                        </w:tc>
                        <w:tc>
                          <w:tcPr>
                            <w:tcW w:w="201" w:type="dxa"/>
                            <w:tcBorders/>
                          </w:tcPr>
                          <w:p>
                            <w:pPr>
                              <w:pStyle w:val="TableContents"/>
                              <w:bidi w:val="0"/>
                              <w:spacing w:before="0" w:after="283"/>
                              <w:jc w:val="left"/>
                              <w:rPr/>
                            </w:pPr>
                            <w:r>
                              <w:rPr/>
                              <w:t>g.</w:t>
                            </w:r>
                          </w:p>
                        </w:tc>
                        <w:tc>
                          <w:tcPr>
                            <w:tcW w:w="7846" w:type="dxa"/>
                            <w:tcBorders/>
                          </w:tcPr>
                          <w:p>
                            <w:pPr>
                              <w:pStyle w:val="TableContents"/>
                              <w:bidi w:val="0"/>
                              <w:spacing w:before="0" w:after="0"/>
                              <w:jc w:val="left"/>
                              <w:rPr>
                                <w:rFonts w:ascii="Times New Roman" w:hAnsi="Times New Roman"/>
                                <w:sz w:val="20"/>
                              </w:rPr>
                            </w:pPr>
                            <w:r>
                              <w:rPr>
                                <w:rFonts w:ascii="Times New Roman" w:hAnsi="Times New Roman"/>
                                <w:sz w:val="20"/>
                              </w:rPr>
                              <w:t>the rules of force majeure (</w:t>
                            </w:r>
                            <w:r>
                              <w:rPr>
                                <w:rFonts w:ascii="Times New Roman" w:hAnsi="Times New Roman"/>
                                <w:i/>
                                <w:sz w:val="20"/>
                              </w:rPr>
                              <w:t>niet toerekenbare tekortkoming</w:t>
                            </w:r>
                            <w:r>
                              <w:rPr>
                                <w:rFonts w:ascii="Times New Roman" w:hAnsi="Times New Roman"/>
                                <w:sz w:val="20"/>
                              </w:rPr>
                              <w:t>), reasonableness and fairness (</w:t>
                            </w:r>
                            <w:r>
                              <w:rPr>
                                <w:rFonts w:ascii="Times New Roman" w:hAnsi="Times New Roman"/>
                                <w:i/>
                                <w:sz w:val="20"/>
                              </w:rPr>
                              <w:t>redelijkheid en billijkheid</w:t>
                            </w:r>
                            <w:r>
                              <w:rPr>
                                <w:rFonts w:ascii="Times New Roman" w:hAnsi="Times New Roman"/>
                                <w:sz w:val="20"/>
                              </w:rPr>
                              <w:t>), suspension (</w:t>
                            </w:r>
                            <w:r>
                              <w:rPr>
                                <w:rFonts w:ascii="Times New Roman" w:hAnsi="Times New Roman"/>
                                <w:i/>
                                <w:sz w:val="20"/>
                              </w:rPr>
                              <w:t>opschorting</w:t>
                            </w:r>
                            <w:r>
                              <w:rPr>
                                <w:rFonts w:ascii="Times New Roman" w:hAnsi="Times New Roman"/>
                                <w:sz w:val="20"/>
                              </w:rPr>
                              <w:t>), dissolution (</w:t>
                            </w:r>
                            <w:r>
                              <w:rPr>
                                <w:rFonts w:ascii="Times New Roman" w:hAnsi="Times New Roman"/>
                                <w:i/>
                                <w:sz w:val="20"/>
                              </w:rPr>
                              <w:t>ontbinding</w:t>
                            </w:r>
                            <w:r>
                              <w:rPr>
                                <w:rFonts w:ascii="Times New Roman" w:hAnsi="Times New Roman"/>
                                <w:sz w:val="20"/>
                              </w:rPr>
                              <w:t>), unforeseen circumstances (</w:t>
                            </w:r>
                            <w:r>
                              <w:rPr>
                                <w:rFonts w:ascii="Times New Roman" w:hAnsi="Times New Roman"/>
                                <w:i/>
                                <w:sz w:val="20"/>
                              </w:rPr>
                              <w:t>onvoorziene omstandigheden</w:t>
                            </w:r>
                            <w:r>
                              <w:rPr>
                                <w:rFonts w:ascii="Times New Roman" w:hAnsi="Times New Roman"/>
                                <w:sz w:val="20"/>
                              </w:rPr>
                              <w:t>) and vitiated consent (i.e., duress (</w:t>
                            </w:r>
                            <w:r>
                              <w:rPr>
                                <w:rFonts w:ascii="Times New Roman" w:hAnsi="Times New Roman"/>
                                <w:i/>
                                <w:sz w:val="20"/>
                              </w:rPr>
                              <w:t>bedreiging</w:t>
                            </w:r>
                            <w:r>
                              <w:rPr>
                                <w:rFonts w:ascii="Times New Roman" w:hAnsi="Times New Roman"/>
                                <w:sz w:val="20"/>
                              </w:rPr>
                              <w:t>), fraud (</w:t>
                            </w:r>
                            <w:r>
                              <w:rPr>
                                <w:rFonts w:ascii="Times New Roman" w:hAnsi="Times New Roman"/>
                                <w:i/>
                                <w:sz w:val="20"/>
                              </w:rPr>
                              <w:t>bedrog</w:t>
                            </w:r>
                            <w:r>
                              <w:rPr>
                                <w:rFonts w:ascii="Times New Roman" w:hAnsi="Times New Roman"/>
                                <w:sz w:val="20"/>
                              </w:rPr>
                              <w:t>), abuse of circumstances (</w:t>
                            </w:r>
                            <w:r>
                              <w:rPr>
                                <w:rFonts w:ascii="Times New Roman" w:hAnsi="Times New Roman"/>
                                <w:i/>
                                <w:sz w:val="20"/>
                              </w:rPr>
                              <w:t>misbruik van omstandigheden</w:t>
                            </w:r>
                            <w:r>
                              <w:rPr>
                                <w:rFonts w:ascii="Times New Roman" w:hAnsi="Times New Roman"/>
                                <w:sz w:val="20"/>
                              </w:rPr>
                              <w:t>) and error (</w:t>
                            </w:r>
                            <w:r>
                              <w:rPr>
                                <w:rFonts w:ascii="Times New Roman" w:hAnsi="Times New Roman"/>
                                <w:i/>
                                <w:sz w:val="20"/>
                              </w:rPr>
                              <w:t>dwaling</w:t>
                            </w:r>
                            <w:r>
                              <w:rPr>
                                <w:rFonts w:ascii="Times New Roman" w:hAnsi="Times New Roman"/>
                                <w:sz w:val="20"/>
                              </w:rPr>
                              <w:t>)) or a difference of intention (</w:t>
                            </w:r>
                            <w:r>
                              <w:rPr>
                                <w:rFonts w:ascii="Times New Roman" w:hAnsi="Times New Roman"/>
                                <w:i/>
                                <w:sz w:val="20"/>
                              </w:rPr>
                              <w:t>wil</w:t>
                            </w:r>
                            <w:r>
                              <w:rPr>
                                <w:rFonts w:ascii="Times New Roman" w:hAnsi="Times New Roman"/>
                                <w:sz w:val="20"/>
                              </w:rPr>
                              <w:t>) and declaration (</w:t>
                            </w:r>
                            <w:r>
                              <w:rPr>
                                <w:rFonts w:ascii="Times New Roman" w:hAnsi="Times New Roman"/>
                                <w:i/>
                                <w:sz w:val="20"/>
                              </w:rPr>
                              <w:t>verklaring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9"/>
                        <w:gridCol w:w="7935"/>
                      </w:tblGrid>
                      <w:tr>
                        <w:trPr/>
                        <w:tc>
                          <w:tcPr>
                            <w:tcW w:w="229" w:type="dxa"/>
                            <w:tcBorders/>
                          </w:tcPr>
                          <w:p>
                            <w:pPr>
                              <w:pStyle w:val="TableContents"/>
                              <w:bidi w:val="0"/>
                              <w:spacing w:before="0" w:after="283"/>
                              <w:jc w:val="left"/>
                              <w:rPr/>
                            </w:pPr>
                            <w:r>
                              <w:rPr/>
                              <w:t>E.</w:t>
                            </w:r>
                          </w:p>
                        </w:tc>
                        <w:tc>
                          <w:tcPr>
                            <w:tcW w:w="793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7"/>
                        <w:gridCol w:w="7877"/>
                      </w:tblGrid>
                      <w:tr>
                        <w:trPr/>
                        <w:tc>
                          <w:tcPr>
                            <w:tcW w:w="287" w:type="dxa"/>
                            <w:tcBorders/>
                          </w:tcPr>
                          <w:p>
                            <w:pPr>
                              <w:pStyle w:val="TableContents"/>
                              <w:bidi w:val="0"/>
                              <w:spacing w:before="0" w:after="283"/>
                              <w:jc w:val="left"/>
                              <w:rPr/>
                            </w:pPr>
                            <w:r>
                              <w:rPr/>
                              <w:t>F.</w:t>
                            </w:r>
                          </w:p>
                        </w:tc>
                        <w:tc>
                          <w:tcPr>
                            <w:tcW w:w="78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letter does not purport to express any opinion or view on the operational rules and procedures of any clearing or settlement system or agency.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letter as an exhibit to the Company’s Form 6-K, as filed or to be filed with the SEC on 11 May 2026 and also consent to the reference to NautaDutilh in the Registration Statement and Prospectus Supplement under the caption “Legal Matters”. In giving this consent we do not admit or imply that we are a person whose consent is required under Section 7 of the United States Securities Act of 1933, as amended, or any rules and regulations promulgated </w:t>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000" w:type="pct"/>
        <w:jc w:val="center"/>
        <w:tblInd w:w="0" w:type="dxa"/>
        <w:tblLayout w:type="fixed"/>
        <w:tblCellMar>
          <w:top w:w="0" w:type="dxa"/>
          <w:left w:w="0" w:type="dxa"/>
          <w:bottom w:w="0" w:type="dxa"/>
          <w:right w:w="0" w:type="dxa"/>
        </w:tblCellMar>
      </w:tblPr>
      <w:tblGrid>
        <w:gridCol w:w="1845"/>
        <w:gridCol w:w="109"/>
        <w:gridCol w:w="8102"/>
        <w:gridCol w:w="123"/>
        <w:gridCol w:w="26"/>
      </w:tblGrid>
      <w:tr>
        <w:trPr/>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02" w:type="dxa"/>
            <w:tcBorders/>
          </w:tcPr>
          <w:p>
            <w:pPr>
              <w:pStyle w:val="TableContents"/>
              <w:bidi w:val="0"/>
              <w:spacing w:before="0" w:after="0"/>
              <w:jc w:val="center"/>
              <w:rPr/>
            </w:pPr>
            <w:r>
              <w:rPr/>
              <w:t xml:space="preserve">      </w:t>
            </w:r>
            <w:r>
              <w:rPr/>
              <w:drawing>
                <wp:inline distT="0" distB="0" distL="0" distR="0">
                  <wp:extent cx="1266825" cy="1428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1266825" cy="142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 xml:space="preserve">7 </w:t>
            </w:r>
          </w:p>
        </w:tc>
        <w:tc>
          <w:tcPr>
            <w:tcW w:w="123" w:type="dxa"/>
            <w:tcBorders/>
            <w:vAlign w:val="bottom"/>
          </w:tcPr>
          <w:p>
            <w:pPr>
              <w:pStyle w:val="TableContents"/>
              <w:bidi w:val="0"/>
              <w:spacing w:before="0" w:after="283"/>
              <w:jc w:val="left"/>
              <w:rPr/>
            </w:pPr>
            <w:r>
              <w:rPr/>
              <w:t>  </w:t>
            </w:r>
          </w:p>
        </w:tc>
        <w:tc>
          <w:tcPr>
            <w:tcW w:w="26"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924"/>
        <w:gridCol w:w="130"/>
        <w:gridCol w:w="8151"/>
      </w:tblGrid>
      <w:tr>
        <w:trPr/>
        <w:tc>
          <w:tcPr>
            <w:tcW w:w="19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51" w:type="dxa"/>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8151"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1101090" cy="350520"/>
                <wp:effectExtent l="0" t="0" r="0" b="0"/>
                <wp:wrapSquare wrapText="right"/>
                <wp:docPr id="20" name="Frame13"/>
                <a:graphic xmlns:a="http://schemas.openxmlformats.org/drawingml/2006/main">
                  <a:graphicData uri="http://schemas.microsoft.com/office/word/2010/wordprocessingShape">
                    <wps:wsp>
                      <wps:cNvSpPr txBox="1"/>
                      <wps:spPr>
                        <a:xfrm>
                          <a:off x="0" y="0"/>
                          <a:ext cx="1101090" cy="35052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17000</wp14:pctWidth>
                </wp14:sizeRelH>
              </wp:anchor>
            </w:drawing>
          </mc:Choice>
          <mc:Fallback>
            <w:pict>
              <v:rect style="position:absolute;rotation:-0;width:86.7pt;height:2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5184140" cy="2430780"/>
                <wp:effectExtent l="0" t="0" r="0" b="0"/>
                <wp:wrapSquare wrapText="right"/>
                <wp:docPr id="21" name="Frame14"/>
                <a:graphic xmlns:a="http://schemas.openxmlformats.org/drawingml/2006/main">
                  <a:graphicData uri="http://schemas.microsoft.com/office/word/2010/wordprocessingShape">
                    <wps:wsp>
                      <wps:cNvSpPr txBox="1"/>
                      <wps:spPr>
                        <a:xfrm>
                          <a:off x="0" y="0"/>
                          <a:ext cx="5184140" cy="2430780"/>
                        </a:xfrm>
                        <a:prstGeom prst="rect"/>
                        <a:solidFill>
                          <a:srgbClr val="FFFFFF"/>
                        </a:solidFill>
                      </wps:spPr>
                      <wps:txbx>
                        <w:txbxContent>
                          <w:tbl>
                            <w:tblPr>
                              <w:tblW w:w="2000" w:type="pct"/>
                              <w:jc w:val="left"/>
                              <w:tblInd w:w="0" w:type="dxa"/>
                              <w:tblLayout w:type="fixed"/>
                              <w:tblCellMar>
                                <w:top w:w="0" w:type="dxa"/>
                                <w:left w:w="0" w:type="dxa"/>
                                <w:bottom w:w="0" w:type="dxa"/>
                                <w:right w:w="0" w:type="dxa"/>
                              </w:tblCellMar>
                            </w:tblPr>
                            <w:tblGrid>
                              <w:gridCol w:w="3265"/>
                            </w:tblGrid>
                            <w:tr>
                              <w:trPr/>
                              <w:tc>
                                <w:tcPr>
                                  <w:tcW w:w="3265"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pPr>
                                  <w:r>
                                    <w:rPr/>
                                    <w:t>thereunder.</w:t>
                                  </w:r>
                                </w:p>
                              </w:tc>
                            </w:tr>
                            <w:tr>
                              <w:trPr>
                                <w:trHeight w:val="120" w:hRule="atLeast"/>
                              </w:trPr>
                              <w:tc>
                                <w:tcPr>
                                  <w:tcW w:w="3265"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pPr>
                                  <w:r>
                                    <w:rPr/>
                                    <w:t>Sincerely yours,</w:t>
                                  </w:r>
                                </w:p>
                              </w:tc>
                            </w:tr>
                            <w:tr>
                              <w:trPr>
                                <w:trHeight w:val="120" w:hRule="atLeast"/>
                              </w:trPr>
                              <w:tc>
                                <w:tcPr>
                                  <w:tcW w:w="3265"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pPr>
                                  <w:r>
                                    <w:rPr/>
                                    <w:t>/s/ NautaDutilh N.V.</w:t>
                                  </w:r>
                                </w:p>
                              </w:tc>
                            </w:tr>
                            <w:tr>
                              <w:trPr>
                                <w:trHeight w:val="120" w:hRule="atLeast"/>
                              </w:trPr>
                              <w:tc>
                                <w:tcPr>
                                  <w:tcW w:w="3265"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pPr>
                                  <w:r>
                                    <w:rPr/>
                                    <w:t>NautaDutilh N.V.</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191.4pt;mso-wrap-distance-left:0pt;mso-wrap-distance-right:0pt;mso-wrap-distance-top:0pt;mso-wrap-distance-bottom:0pt;margin-top:0pt;mso-position-vertical:top;mso-position-vertical-relative:text;margin-left:86.7pt;mso-position-horizontal:left;mso-position-horizontal-relative:text">
                <v:textbox inset="0in,0in,0in,0in">
                  <w:txbxContent>
                    <w:tbl>
                      <w:tblPr>
                        <w:tblW w:w="2000" w:type="pct"/>
                        <w:jc w:val="left"/>
                        <w:tblInd w:w="0" w:type="dxa"/>
                        <w:tblLayout w:type="fixed"/>
                        <w:tblCellMar>
                          <w:top w:w="0" w:type="dxa"/>
                          <w:left w:w="0" w:type="dxa"/>
                          <w:bottom w:w="0" w:type="dxa"/>
                          <w:right w:w="0" w:type="dxa"/>
                        </w:tblCellMar>
                      </w:tblPr>
                      <w:tblGrid>
                        <w:gridCol w:w="3265"/>
                      </w:tblGrid>
                      <w:tr>
                        <w:trPr/>
                        <w:tc>
                          <w:tcPr>
                            <w:tcW w:w="3265"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pPr>
                            <w:r>
                              <w:rPr/>
                              <w:t>thereunder.</w:t>
                            </w:r>
                          </w:p>
                        </w:tc>
                      </w:tr>
                      <w:tr>
                        <w:trPr>
                          <w:trHeight w:val="120" w:hRule="atLeast"/>
                        </w:trPr>
                        <w:tc>
                          <w:tcPr>
                            <w:tcW w:w="3265"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pPr>
                            <w:r>
                              <w:rPr/>
                              <w:t>Sincerely yours,</w:t>
                            </w:r>
                          </w:p>
                        </w:tc>
                      </w:tr>
                      <w:tr>
                        <w:trPr>
                          <w:trHeight w:val="120" w:hRule="atLeast"/>
                        </w:trPr>
                        <w:tc>
                          <w:tcPr>
                            <w:tcW w:w="3265"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pPr>
                            <w:r>
                              <w:rPr/>
                              <w:t>/s/ NautaDutilh N.V.</w:t>
                            </w:r>
                          </w:p>
                        </w:tc>
                      </w:tr>
                      <w:tr>
                        <w:trPr>
                          <w:trHeight w:val="120" w:hRule="atLeast"/>
                        </w:trPr>
                        <w:tc>
                          <w:tcPr>
                            <w:tcW w:w="3265"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pPr>
                            <w:r>
                              <w:rPr/>
                              <w:t>NautaDutilh N.V.</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000" w:type="pct"/>
        <w:jc w:val="center"/>
        <w:tblInd w:w="0" w:type="dxa"/>
        <w:tblLayout w:type="fixed"/>
        <w:tblCellMar>
          <w:top w:w="0" w:type="dxa"/>
          <w:left w:w="0" w:type="dxa"/>
          <w:bottom w:w="0" w:type="dxa"/>
          <w:right w:w="0" w:type="dxa"/>
        </w:tblCellMar>
      </w:tblPr>
      <w:tblGrid>
        <w:gridCol w:w="1845"/>
        <w:gridCol w:w="109"/>
        <w:gridCol w:w="8102"/>
        <w:gridCol w:w="123"/>
        <w:gridCol w:w="26"/>
      </w:tblGrid>
      <w:tr>
        <w:trPr/>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02" w:type="dxa"/>
            <w:tcBorders/>
          </w:tcPr>
          <w:p>
            <w:pPr>
              <w:pStyle w:val="TableContents"/>
              <w:bidi w:val="0"/>
              <w:spacing w:before="0" w:after="0"/>
              <w:jc w:val="center"/>
              <w:rPr/>
            </w:pPr>
            <w:r>
              <w:rPr/>
              <w:t xml:space="preserve">      </w:t>
            </w:r>
            <w:r>
              <w:rPr/>
              <w:drawing>
                <wp:inline distT="0" distB="0" distL="0" distR="0">
                  <wp:extent cx="1266825" cy="14287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1266825" cy="142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 xml:space="preserve">8 </w:t>
            </w:r>
          </w:p>
        </w:tc>
        <w:tc>
          <w:tcPr>
            <w:tcW w:w="123" w:type="dxa"/>
            <w:tcBorders/>
            <w:vAlign w:val="bottom"/>
          </w:tcPr>
          <w:p>
            <w:pPr>
              <w:pStyle w:val="TableContents"/>
              <w:bidi w:val="0"/>
              <w:spacing w:before="0" w:after="283"/>
              <w:jc w:val="left"/>
              <w:rPr/>
            </w:pPr>
            <w:r>
              <w:rPr/>
              <w:t>  </w:t>
            </w:r>
          </w:p>
        </w:tc>
        <w:tc>
          <w:tcPr>
            <w:tcW w:w="26"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924"/>
        <w:gridCol w:w="130"/>
        <w:gridCol w:w="8151"/>
      </w:tblGrid>
      <w:tr>
        <w:trPr/>
        <w:tc>
          <w:tcPr>
            <w:tcW w:w="19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51" w:type="dxa"/>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8151"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1101090" cy="350520"/>
                <wp:effectExtent l="0" t="0" r="0" b="0"/>
                <wp:wrapSquare wrapText="right"/>
                <wp:docPr id="23" name="Frame15"/>
                <a:graphic xmlns:a="http://schemas.openxmlformats.org/drawingml/2006/main">
                  <a:graphicData uri="http://schemas.microsoft.com/office/word/2010/wordprocessingShape">
                    <wps:wsp>
                      <wps:cNvSpPr txBox="1"/>
                      <wps:spPr>
                        <a:xfrm>
                          <a:off x="0" y="0"/>
                          <a:ext cx="1101090" cy="35052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17000</wp14:pctWidth>
                </wp14:sizeRelH>
              </wp:anchor>
            </w:drawing>
          </mc:Choice>
          <mc:Fallback>
            <w:pict>
              <v:rect style="position:absolute;rotation:-0;width:86.7pt;height:2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5184140" cy="7853045"/>
                <wp:effectExtent l="0" t="0" r="0" b="0"/>
                <wp:wrapSquare wrapText="right"/>
                <wp:docPr id="24" name="Frame16"/>
                <a:graphic xmlns:a="http://schemas.openxmlformats.org/drawingml/2006/main">
                  <a:graphicData uri="http://schemas.microsoft.com/office/word/2010/wordprocessingShape">
                    <wps:wsp>
                      <wps:cNvSpPr txBox="1"/>
                      <wps:spPr>
                        <a:xfrm>
                          <a:off x="0" y="0"/>
                          <a:ext cx="5184140" cy="7853045"/>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EXHIBIT A </w:t>
                            </w:r>
                          </w:p>
                          <w:p>
                            <w:pPr>
                              <w:pStyle w:val="TextBody"/>
                              <w:bidi w:val="0"/>
                              <w:spacing w:before="240" w:after="0"/>
                              <w:jc w:val="left"/>
                              <w:rPr>
                                <w:rFonts w:ascii="Times New Roman" w:hAnsi="Times New Roman"/>
                                <w:b/>
                                <w:sz w:val="20"/>
                              </w:rPr>
                            </w:pPr>
                            <w:r>
                              <w:rPr>
                                <w:rFonts w:ascii="Times New Roman" w:hAnsi="Times New Roman"/>
                                <w:b/>
                                <w:sz w:val="20"/>
                              </w:rPr>
                              <w:t xml:space="preserve">LIST OF DEFINITIONS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7"/>
                              <w:gridCol w:w="162"/>
                              <w:gridCol w:w="5145"/>
                            </w:tblGrid>
                            <w:tr>
                              <w:trPr/>
                              <w:tc>
                                <w:tcPr>
                                  <w:tcW w:w="285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5145" w:type="dxa"/>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AGM Documents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Each of the following: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 the notice to convene the Company’s annual general meeting on 28 June 2024 (the “</w:t>
                                  </w:r>
                                  <w:r>
                                    <w:rPr>
                                      <w:rFonts w:ascii="Times New Roman" w:hAnsi="Times New Roman"/>
                                      <w:b/>
                                      <w:sz w:val="20"/>
                                    </w:rPr>
                                    <w:t>Convening Notice</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the document containing the expanatory notes with respect to the Company’s annual general meeting held on 28 June 2024, as attached to the Convening Notice;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c.   the signed minutes of the General Meeting, dated 28 June 2024.</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Anti Money Laundering Laws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European Anti-Money Laundering Directives, as implemented in the Netherlands in the Money Laundering and Terrorist Financing Prevention Act (</w:t>
                                  </w:r>
                                  <w:r>
                                    <w:rPr>
                                      <w:i/>
                                    </w:rPr>
                                    <w:t>Wet ter voorkoming van witwassen en financieren van terrorisme</w:t>
                                  </w:r>
                                  <w:r>
                                    <w:rPr/>
                                    <w:t>) and the Dutch Criminal Code (</w:t>
                                  </w:r>
                                  <w:r>
                                    <w:rPr>
                                      <w:i/>
                                    </w:rPr>
                                    <w:t>Wetboek van Strafrecht</w:t>
                                  </w:r>
                                  <w:r>
                                    <w:rPr/>
                                    <w: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Anti-Boycott Regulation</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Council Regulation (EC) No 2271/96 of 22 November 1996 on protecting against the effects of the extra-territorial application of legislation adopted by a third country, and actions based thereon or resulting therefrom.</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Articles of Association</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Company’s articles of association (</w:t>
                                  </w:r>
                                  <w:r>
                                    <w:rPr>
                                      <w:i/>
                                    </w:rPr>
                                    <w:t>statuten</w:t>
                                  </w:r>
                                  <w:r>
                                    <w:rPr/>
                                    <w:t>) as they read from time to time.</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Bankruptcy Code</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Dutch Bankruptcy Code (</w:t>
                                  </w:r>
                                  <w:r>
                                    <w:rPr>
                                      <w:i/>
                                    </w:rPr>
                                    <w:t>Faillissementswet</w:t>
                                  </w:r>
                                  <w:r>
                                    <w:rPr/>
                                    <w: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Board</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Company’s board of directors (</w:t>
                                  </w:r>
                                  <w:r>
                                    <w:rPr>
                                      <w:i/>
                                    </w:rPr>
                                    <w:t>bestuur</w:t>
                                  </w:r>
                                  <w:r>
                                    <w:rPr/>
                                    <w: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Commercial Register</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Dutch Commercial Register (</w:t>
                                  </w:r>
                                  <w:r>
                                    <w:rPr>
                                      <w:i/>
                                    </w:rPr>
                                    <w:t>handelsregister</w:t>
                                  </w: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618.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EXHIBIT A </w:t>
                      </w:r>
                    </w:p>
                    <w:p>
                      <w:pPr>
                        <w:pStyle w:val="TextBody"/>
                        <w:bidi w:val="0"/>
                        <w:spacing w:before="240" w:after="0"/>
                        <w:jc w:val="left"/>
                        <w:rPr>
                          <w:rFonts w:ascii="Times New Roman" w:hAnsi="Times New Roman"/>
                          <w:b/>
                          <w:sz w:val="20"/>
                        </w:rPr>
                      </w:pPr>
                      <w:r>
                        <w:rPr>
                          <w:rFonts w:ascii="Times New Roman" w:hAnsi="Times New Roman"/>
                          <w:b/>
                          <w:sz w:val="20"/>
                        </w:rPr>
                        <w:t xml:space="preserve">LIST OF DEFINITIONS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7"/>
                        <w:gridCol w:w="162"/>
                        <w:gridCol w:w="5145"/>
                      </w:tblGrid>
                      <w:tr>
                        <w:trPr/>
                        <w:tc>
                          <w:tcPr>
                            <w:tcW w:w="285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5145" w:type="dxa"/>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AGM Documents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Each of the following: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 the notice to convene the Company’s annual general meeting on 28 June 2024 (the “</w:t>
                            </w:r>
                            <w:r>
                              <w:rPr>
                                <w:rFonts w:ascii="Times New Roman" w:hAnsi="Times New Roman"/>
                                <w:b/>
                                <w:sz w:val="20"/>
                              </w:rPr>
                              <w:t>Convening Notice</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the document containing the expanatory notes with respect to the Company’s annual general meeting held on 28 June 2024, as attached to the Convening Notice;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c.   the signed minutes of the General Meeting, dated 28 June 2024.</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Anti Money Laundering Laws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European Anti-Money Laundering Directives, as implemented in the Netherlands in the Money Laundering and Terrorist Financing Prevention Act (</w:t>
                            </w:r>
                            <w:r>
                              <w:rPr>
                                <w:i/>
                              </w:rPr>
                              <w:t>Wet ter voorkoming van witwassen en financieren van terrorisme</w:t>
                            </w:r>
                            <w:r>
                              <w:rPr/>
                              <w:t>) and the Dutch Criminal Code (</w:t>
                            </w:r>
                            <w:r>
                              <w:rPr>
                                <w:i/>
                              </w:rPr>
                              <w:t>Wetboek van Strafrecht</w:t>
                            </w:r>
                            <w:r>
                              <w:rPr/>
                              <w: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Anti-Boycott Regulation</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Council Regulation (EC) No 2271/96 of 22 November 1996 on protecting against the effects of the extra-territorial application of legislation adopted by a third country, and actions based thereon or resulting therefrom.</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Articles of Association</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Company’s articles of association (</w:t>
                            </w:r>
                            <w:r>
                              <w:rPr>
                                <w:i/>
                              </w:rPr>
                              <w:t>statuten</w:t>
                            </w:r>
                            <w:r>
                              <w:rPr/>
                              <w:t>) as they read from time to time.</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Bankruptcy Code</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Dutch Bankruptcy Code (</w:t>
                            </w:r>
                            <w:r>
                              <w:rPr>
                                <w:i/>
                              </w:rPr>
                              <w:t>Faillissementswet</w:t>
                            </w:r>
                            <w:r>
                              <w:rPr/>
                              <w: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Board</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Company’s board of directors (</w:t>
                            </w:r>
                            <w:r>
                              <w:rPr>
                                <w:i/>
                              </w:rPr>
                              <w:t>bestuur</w:t>
                            </w:r>
                            <w:r>
                              <w:rPr/>
                              <w: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Commercial Register</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Dutch Commercial Register (</w:t>
                            </w:r>
                            <w:r>
                              <w:rPr>
                                <w:i/>
                              </w:rPr>
                              <w:t>handelsregister</w:t>
                            </w: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000" w:type="pct"/>
        <w:jc w:val="center"/>
        <w:tblInd w:w="0" w:type="dxa"/>
        <w:tblLayout w:type="fixed"/>
        <w:tblCellMar>
          <w:top w:w="0" w:type="dxa"/>
          <w:left w:w="0" w:type="dxa"/>
          <w:bottom w:w="0" w:type="dxa"/>
          <w:right w:w="0" w:type="dxa"/>
        </w:tblCellMar>
      </w:tblPr>
      <w:tblGrid>
        <w:gridCol w:w="1845"/>
        <w:gridCol w:w="109"/>
        <w:gridCol w:w="8102"/>
        <w:gridCol w:w="123"/>
        <w:gridCol w:w="26"/>
      </w:tblGrid>
      <w:tr>
        <w:trPr/>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02" w:type="dxa"/>
            <w:tcBorders/>
          </w:tcPr>
          <w:p>
            <w:pPr>
              <w:pStyle w:val="TableContents"/>
              <w:bidi w:val="0"/>
              <w:spacing w:before="0" w:after="0"/>
              <w:jc w:val="center"/>
              <w:rPr/>
            </w:pPr>
            <w:r>
              <w:rPr/>
              <w:t xml:space="preserve">      </w:t>
            </w:r>
            <w:r>
              <w:rPr/>
              <w:drawing>
                <wp:inline distT="0" distB="0" distL="0" distR="0">
                  <wp:extent cx="1266825" cy="14287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1266825" cy="142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 xml:space="preserve">9 </w:t>
            </w:r>
          </w:p>
        </w:tc>
        <w:tc>
          <w:tcPr>
            <w:tcW w:w="123" w:type="dxa"/>
            <w:tcBorders/>
            <w:vAlign w:val="bottom"/>
          </w:tcPr>
          <w:p>
            <w:pPr>
              <w:pStyle w:val="TableContents"/>
              <w:bidi w:val="0"/>
              <w:spacing w:before="0" w:after="283"/>
              <w:jc w:val="left"/>
              <w:rPr/>
            </w:pPr>
            <w:r>
              <w:rPr/>
              <w:t>  </w:t>
            </w:r>
          </w:p>
        </w:tc>
        <w:tc>
          <w:tcPr>
            <w:tcW w:w="26"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924"/>
        <w:gridCol w:w="130"/>
        <w:gridCol w:w="8151"/>
      </w:tblGrid>
      <w:tr>
        <w:trPr/>
        <w:tc>
          <w:tcPr>
            <w:tcW w:w="19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51" w:type="dxa"/>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8151"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1101090" cy="350520"/>
                <wp:effectExtent l="0" t="0" r="0" b="0"/>
                <wp:wrapSquare wrapText="right"/>
                <wp:docPr id="26" name="Frame17"/>
                <a:graphic xmlns:a="http://schemas.openxmlformats.org/drawingml/2006/main">
                  <a:graphicData uri="http://schemas.microsoft.com/office/word/2010/wordprocessingShape">
                    <wps:wsp>
                      <wps:cNvSpPr txBox="1"/>
                      <wps:spPr>
                        <a:xfrm>
                          <a:off x="0" y="0"/>
                          <a:ext cx="1101090" cy="35052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17000</wp14:pctWidth>
                </wp14:sizeRelH>
              </wp:anchor>
            </w:drawing>
          </mc:Choice>
          <mc:Fallback>
            <w:pict>
              <v:rect style="position:absolute;rotation:-0;width:86.7pt;height:27.6pt;mso-wrap-distance-left:0pt;mso-wrap-distance-right:0pt;mso-wrap-distance-top:0pt;mso-wrap-distance-bottom:0pt;margin-top:0pt;mso-position-vertical:top;mso-position-vertical-relative:text;margin-left:408.2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5184140" cy="9972040"/>
                <wp:effectExtent l="0" t="0" r="0" b="0"/>
                <wp:wrapSquare wrapText="right"/>
                <wp:docPr id="27" name="Frame18"/>
                <a:graphic xmlns:a="http://schemas.openxmlformats.org/drawingml/2006/main">
                  <a:graphicData uri="http://schemas.microsoft.com/office/word/2010/wordprocessingShape">
                    <wps:wsp>
                      <wps:cNvSpPr txBox="1"/>
                      <wps:spPr>
                        <a:xfrm>
                          <a:off x="0" y="0"/>
                          <a:ext cx="518414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2857"/>
                              <w:gridCol w:w="162"/>
                              <w:gridCol w:w="5145"/>
                            </w:tblGrid>
                            <w:tr>
                              <w:trPr/>
                              <w:tc>
                                <w:tcPr>
                                  <w:tcW w:w="285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5145" w:type="dxa"/>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Company</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Pharvaris N.V., a public company with limited liability (</w:t>
                                  </w:r>
                                  <w:r>
                                    <w:rPr>
                                      <w:i/>
                                    </w:rPr>
                                    <w:t>naamloze vennootschap</w:t>
                                  </w:r>
                                  <w:r>
                                    <w:rPr/>
                                    <w:t>), registered with the Commercial Register under number 64239411.</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Corporate Documents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Deed of Incorporation, the Deed of Conversion, the Current Articles and the Resolutions.</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Current Articles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Articles of Association as they read as a consequence of the execution of the deed of amendment of the articles of association dated 6 March 2024.</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DCC</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Dutch Civil Code (</w:t>
                                  </w:r>
                                  <w:r>
                                    <w:rPr>
                                      <w:i/>
                                    </w:rPr>
                                    <w:t>Burgerlijk Wetboek</w:t>
                                  </w:r>
                                  <w:r>
                                    <w:rPr/>
                                    <w: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Deed of Conversion</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deed of conversion and amendment to the Articles of Association dated 5 February 2021.</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Deed of Incorporation</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Company’s deed of incorporation (</w:t>
                                  </w:r>
                                  <w:r>
                                    <w:rPr>
                                      <w:i/>
                                    </w:rPr>
                                    <w:t>akte van oprichting</w:t>
                                  </w:r>
                                  <w:r>
                                    <w:rPr/>
                                    <w:t>) dated 30 September 2015.</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Deeds</w:t>
                                  </w:r>
                                  <w:r>
                                    <w:rPr/>
                                    <w:t xml:space="preserve"> </w:t>
                                  </w:r>
                                  <w:r>
                                    <w:rPr>
                                      <w:b/>
                                    </w:rPr>
                                    <w:t>of Issue</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draft deed of issue of the Offer Shares or Option Shares, as the case may be, prepared by us with references 82045253 M 59619065 and 82045253 M 59619160, respectively.</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eIDAS Regulation</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Regulation (EU) No 910/2014 of the European Parliament and of the Council of 23 July 2014 on electronic identification and trust services for electronic transactions in the internal market and repealing Directive 1999/93/EC.</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General Meeting</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Company’s general meeting (</w:t>
                                  </w:r>
                                  <w:r>
                                    <w:rPr>
                                      <w:i/>
                                    </w:rPr>
                                    <w:t>algemene vergadering</w:t>
                                  </w:r>
                                  <w:r>
                                    <w:rPr/>
                                    <w: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Insolvency Proceedings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Any insolvency proceedings within the meaning of Regulation (EU) 2015/848 of the European Parliament and of the Council of 20 May 2015 on insolvency proceedings (recast), as amended by Regulation (EU) 2021/2260 of the European Parliament and of the Counsel of 15 December 2021, listed in Annex A thereto and any statutory proceedings for the restructuring of debts (</w:t>
                                  </w:r>
                                  <w:r>
                                    <w:rPr>
                                      <w:i/>
                                    </w:rPr>
                                    <w:t>akkoordprocedure</w:t>
                                  </w:r>
                                  <w:r>
                                    <w:rPr/>
                                    <w:t>) pursuant to the Bankruptcy Code.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2857"/>
                        <w:gridCol w:w="162"/>
                        <w:gridCol w:w="5145"/>
                      </w:tblGrid>
                      <w:tr>
                        <w:trPr/>
                        <w:tc>
                          <w:tcPr>
                            <w:tcW w:w="285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5145" w:type="dxa"/>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Company</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Pharvaris N.V., a public company with limited liability (</w:t>
                            </w:r>
                            <w:r>
                              <w:rPr>
                                <w:i/>
                              </w:rPr>
                              <w:t>naamloze vennootschap</w:t>
                            </w:r>
                            <w:r>
                              <w:rPr/>
                              <w:t>), registered with the Commercial Register under number 64239411.</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Corporate Documents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Deed of Incorporation, the Deed of Conversion, the Current Articles and the Resolutions.</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Current Articles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Articles of Association as they read as a consequence of the execution of the deed of amendment of the articles of association dated 6 March 2024.</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DCC</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Dutch Civil Code (</w:t>
                            </w:r>
                            <w:r>
                              <w:rPr>
                                <w:i/>
                              </w:rPr>
                              <w:t>Burgerlijk Wetboek</w:t>
                            </w:r>
                            <w:r>
                              <w:rPr/>
                              <w: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Deed of Conversion</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deed of conversion and amendment to the Articles of Association dated 5 February 2021.</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Deed of Incorporation</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Company’s deed of incorporation (</w:t>
                            </w:r>
                            <w:r>
                              <w:rPr>
                                <w:i/>
                              </w:rPr>
                              <w:t>akte van oprichting</w:t>
                            </w:r>
                            <w:r>
                              <w:rPr/>
                              <w:t>) dated 30 September 2015.</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Deeds</w:t>
                            </w:r>
                            <w:r>
                              <w:rPr/>
                              <w:t xml:space="preserve"> </w:t>
                            </w:r>
                            <w:r>
                              <w:rPr>
                                <w:b/>
                              </w:rPr>
                              <w:t>of Issue</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draft deed of issue of the Offer Shares or Option Shares, as the case may be, prepared by us with references 82045253 M 59619065 and 82045253 M 59619160, respectively.</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eIDAS Regulation</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Regulation (EU) No 910/2014 of the European Parliament and of the Council of 23 July 2014 on electronic identification and trust services for electronic transactions in the internal market and repealing Directive 1999/93/EC.</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General Meeting</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Company’s general meeting (</w:t>
                            </w:r>
                            <w:r>
                              <w:rPr>
                                <w:i/>
                              </w:rPr>
                              <w:t>algemene vergadering</w:t>
                            </w:r>
                            <w:r>
                              <w:rPr/>
                              <w: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Insolvency Proceedings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Any insolvency proceedings within the meaning of Regulation (EU) 2015/848 of the European Parliament and of the Council of 20 May 2015 on insolvency proceedings (recast), as amended by Regulation (EU) 2021/2260 of the European Parliament and of the Counsel of 15 December 2021, listed in Annex A thereto and any statutory proceedings for the restructuring of debts (</w:t>
                            </w:r>
                            <w:r>
                              <w:rPr>
                                <w:i/>
                              </w:rPr>
                              <w:t>akkoordprocedure</w:t>
                            </w:r>
                            <w:r>
                              <w:rPr/>
                              <w:t>) pursuant to the Bankruptcy Code.</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000" w:type="pct"/>
        <w:jc w:val="center"/>
        <w:tblInd w:w="0" w:type="dxa"/>
        <w:tblLayout w:type="fixed"/>
        <w:tblCellMar>
          <w:top w:w="0" w:type="dxa"/>
          <w:left w:w="0" w:type="dxa"/>
          <w:bottom w:w="0" w:type="dxa"/>
          <w:right w:w="0" w:type="dxa"/>
        </w:tblCellMar>
      </w:tblPr>
      <w:tblGrid>
        <w:gridCol w:w="1845"/>
        <w:gridCol w:w="109"/>
        <w:gridCol w:w="8102"/>
        <w:gridCol w:w="123"/>
        <w:gridCol w:w="26"/>
      </w:tblGrid>
      <w:tr>
        <w:trPr/>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02" w:type="dxa"/>
            <w:tcBorders/>
          </w:tcPr>
          <w:p>
            <w:pPr>
              <w:pStyle w:val="TableContents"/>
              <w:bidi w:val="0"/>
              <w:spacing w:before="0" w:after="0"/>
              <w:jc w:val="center"/>
              <w:rPr/>
            </w:pPr>
            <w:r>
              <w:rPr/>
              <w:t xml:space="preserve">      </w:t>
            </w:r>
            <w:r>
              <w:rPr/>
              <w:drawing>
                <wp:inline distT="0" distB="0" distL="0" distR="0">
                  <wp:extent cx="1266825" cy="14287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1266825" cy="142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 xml:space="preserve">10 </w:t>
            </w:r>
          </w:p>
        </w:tc>
        <w:tc>
          <w:tcPr>
            <w:tcW w:w="123" w:type="dxa"/>
            <w:tcBorders/>
            <w:vAlign w:val="bottom"/>
          </w:tcPr>
          <w:p>
            <w:pPr>
              <w:pStyle w:val="TableContents"/>
              <w:bidi w:val="0"/>
              <w:spacing w:before="0" w:after="283"/>
              <w:jc w:val="left"/>
              <w:rPr/>
            </w:pPr>
            <w:r>
              <w:rPr/>
              <w:t>  </w:t>
            </w:r>
          </w:p>
        </w:tc>
        <w:tc>
          <w:tcPr>
            <w:tcW w:w="26"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924"/>
        <w:gridCol w:w="130"/>
        <w:gridCol w:w="8151"/>
      </w:tblGrid>
      <w:tr>
        <w:trPr/>
        <w:tc>
          <w:tcPr>
            <w:tcW w:w="19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51" w:type="dxa"/>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8151"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1101090" cy="350520"/>
                <wp:effectExtent l="0" t="0" r="0" b="0"/>
                <wp:wrapSquare wrapText="right"/>
                <wp:docPr id="29" name="Frame19"/>
                <a:graphic xmlns:a="http://schemas.openxmlformats.org/drawingml/2006/main">
                  <a:graphicData uri="http://schemas.microsoft.com/office/word/2010/wordprocessingShape">
                    <wps:wsp>
                      <wps:cNvSpPr txBox="1"/>
                      <wps:spPr>
                        <a:xfrm>
                          <a:off x="0" y="0"/>
                          <a:ext cx="1101090" cy="35052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17000</wp14:pctWidth>
                </wp14:sizeRelH>
              </wp:anchor>
            </w:drawing>
          </mc:Choice>
          <mc:Fallback>
            <w:pict>
              <v:rect style="position:absolute;rotation:-0;width:86.7pt;height:27.6pt;mso-wrap-distance-left:0pt;mso-wrap-distance-right:0pt;mso-wrap-distance-top:0pt;mso-wrap-distance-bottom:0pt;margin-top:0pt;mso-position-vertical:top;mso-position-vertical-relative:text;margin-left:408.2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5184140" cy="9066530"/>
                <wp:effectExtent l="0" t="0" r="0" b="0"/>
                <wp:wrapSquare wrapText="right"/>
                <wp:docPr id="30" name="Frame20"/>
                <a:graphic xmlns:a="http://schemas.openxmlformats.org/drawingml/2006/main">
                  <a:graphicData uri="http://schemas.microsoft.com/office/word/2010/wordprocessingShape">
                    <wps:wsp>
                      <wps:cNvSpPr txBox="1"/>
                      <wps:spPr>
                        <a:xfrm>
                          <a:off x="0" y="0"/>
                          <a:ext cx="5184140" cy="906653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2856"/>
                              <w:gridCol w:w="163"/>
                              <w:gridCol w:w="5145"/>
                            </w:tblGrid>
                            <w:tr>
                              <w:trPr/>
                              <w:tc>
                                <w:tcPr>
                                  <w:tcW w:w="2856"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5145" w:type="dxa"/>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NautaDutilh</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NautaDutilh N.V.</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the Netherlands</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European territory of the Kingdom of the Netherlands and “</w:t>
                                  </w:r>
                                  <w:r>
                                    <w:rPr>
                                      <w:b/>
                                    </w:rPr>
                                    <w:t>Dutch</w:t>
                                  </w:r>
                                  <w:r>
                                    <w:rPr/>
                                    <w:t>” is in or from the Netherlands.</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Offer Shares</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3,874,664 Ordinary Shares.</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Offering</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offering of Ordinary Shares as contemplated by the Prospectus Supplement.</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Option</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option to acquire Option Shares to be granted to the Underwriters pursuant to the Underwriting Agreement and the Resolutions.</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Option Shares</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Up to 581,199 Ordinary Shares or such lesser number of Ordinary Shares in respect of which the Option is exercised.</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Ordinary Shares</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Ordinary shares in the Company’s capital, with a nominal value of EUR 0.12 each.</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Prospectus Regulation</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Regulation (EU) 2017/1129 of the European Parliament and of the Council of 14 June 2017 on the prospectus to be published when securities are offered to the public or admitted to trading on a regulated market, and repealing Directive 2003/71/EC.</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Prospectus Supplement</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prospectus supplement with respect to the Offering, supplementing the Registration Statement, as filed or to be filed with the SEC by the Company on 8 May 2026.</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Registered Shares</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The following Ordinary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a.</w:t>
                                  </w:r>
                                  <w:r>
                                    <w:rPr>
                                      <w:rFonts w:ascii="Times New Roman" w:hAnsi="Times New Roman"/>
                                      <w:sz w:val="20"/>
                                    </w:rPr>
                                    <w:t>  the Offer Shares;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b.</w:t>
                                  </w:r>
                                  <w:r>
                                    <w:rPr>
                                      <w:rFonts w:ascii="Times New Roman" w:hAnsi="Times New Roman"/>
                                      <w:sz w:val="20"/>
                                    </w:rPr>
                                    <w:t>  the Option Shares.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713.9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2856"/>
                        <w:gridCol w:w="163"/>
                        <w:gridCol w:w="5145"/>
                      </w:tblGrid>
                      <w:tr>
                        <w:trPr/>
                        <w:tc>
                          <w:tcPr>
                            <w:tcW w:w="2856"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5145" w:type="dxa"/>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NautaDutilh</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NautaDutilh N.V.</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the Netherlands</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European territory of the Kingdom of the Netherlands and “</w:t>
                            </w:r>
                            <w:r>
                              <w:rPr>
                                <w:b/>
                              </w:rPr>
                              <w:t>Dutch</w:t>
                            </w:r>
                            <w:r>
                              <w:rPr/>
                              <w:t>” is in or from the Netherlands.</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Offer Shares</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3,874,664 Ordinary Shares.</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Offering</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offering of Ordinary Shares as contemplated by the Prospectus Supplement.</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Option</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option to acquire Option Shares to be granted to the Underwriters pursuant to the Underwriting Agreement and the Resolutions.</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Option Shares</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Up to 581,199 Ordinary Shares or such lesser number of Ordinary Shares in respect of which the Option is exercised.</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Ordinary Shares</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Ordinary shares in the Company’s capital, with a nominal value of EUR 0.12 each.</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Prospectus Regulation</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Regulation (EU) 2017/1129 of the European Parliament and of the Council of 14 June 2017 on the prospectus to be published when securities are offered to the public or admitted to trading on a regulated market, and repealing Directive 2003/71/EC.</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Prospectus Supplement</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prospectus supplement with respect to the Offering, supplementing the Registration Statement, as filed or to be filed with the SEC by the Company on 8 May 2026.</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5308"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left"/>
                              <w:rPr/>
                            </w:pPr>
                            <w:r>
                              <w:rPr/>
                              <w:t>“</w:t>
                            </w:r>
                            <w:r>
                              <w:rPr>
                                <w:b/>
                              </w:rPr>
                              <w:t>Registered Shares</w:t>
                            </w:r>
                            <w:r>
                              <w:rPr/>
                              <w:t>”</w:t>
                            </w:r>
                          </w:p>
                        </w:tc>
                        <w:tc>
                          <w:tcPr>
                            <w:tcW w:w="163"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The following Ordinary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a.</w:t>
                            </w:r>
                            <w:r>
                              <w:rPr>
                                <w:rFonts w:ascii="Times New Roman" w:hAnsi="Times New Roman"/>
                                <w:sz w:val="20"/>
                              </w:rPr>
                              <w:t>  the Offer Shares;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b.</w:t>
                            </w:r>
                            <w:r>
                              <w:rPr>
                                <w:rFonts w:ascii="Times New Roman" w:hAnsi="Times New Roman"/>
                                <w:sz w:val="20"/>
                              </w:rPr>
                              <w:t>  the Option Shares.</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000" w:type="pct"/>
        <w:jc w:val="center"/>
        <w:tblInd w:w="0" w:type="dxa"/>
        <w:tblLayout w:type="fixed"/>
        <w:tblCellMar>
          <w:top w:w="0" w:type="dxa"/>
          <w:left w:w="0" w:type="dxa"/>
          <w:bottom w:w="0" w:type="dxa"/>
          <w:right w:w="0" w:type="dxa"/>
        </w:tblCellMar>
      </w:tblPr>
      <w:tblGrid>
        <w:gridCol w:w="1845"/>
        <w:gridCol w:w="109"/>
        <w:gridCol w:w="8102"/>
        <w:gridCol w:w="123"/>
        <w:gridCol w:w="26"/>
      </w:tblGrid>
      <w:tr>
        <w:trPr/>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02" w:type="dxa"/>
            <w:tcBorders/>
          </w:tcPr>
          <w:p>
            <w:pPr>
              <w:pStyle w:val="TableContents"/>
              <w:bidi w:val="0"/>
              <w:spacing w:before="0" w:after="0"/>
              <w:jc w:val="center"/>
              <w:rPr/>
            </w:pPr>
            <w:r>
              <w:rPr/>
              <w:t xml:space="preserve">      </w:t>
            </w:r>
            <w:r>
              <w:rPr/>
              <w:drawing>
                <wp:inline distT="0" distB="0" distL="0" distR="0">
                  <wp:extent cx="1266825" cy="142875"/>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1266825" cy="142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 xml:space="preserve">11 </w:t>
            </w:r>
          </w:p>
        </w:tc>
        <w:tc>
          <w:tcPr>
            <w:tcW w:w="123" w:type="dxa"/>
            <w:tcBorders/>
            <w:vAlign w:val="bottom"/>
          </w:tcPr>
          <w:p>
            <w:pPr>
              <w:pStyle w:val="TableContents"/>
              <w:bidi w:val="0"/>
              <w:spacing w:before="0" w:after="283"/>
              <w:jc w:val="left"/>
              <w:rPr/>
            </w:pPr>
            <w:r>
              <w:rPr/>
              <w:t>  </w:t>
            </w:r>
          </w:p>
        </w:tc>
        <w:tc>
          <w:tcPr>
            <w:tcW w:w="26" w:type="dxa"/>
            <w:tcBorders/>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924"/>
        <w:gridCol w:w="130"/>
        <w:gridCol w:w="8151"/>
      </w:tblGrid>
      <w:tr>
        <w:trPr/>
        <w:tc>
          <w:tcPr>
            <w:tcW w:w="19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51" w:type="dxa"/>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8151"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283"/>
        <w:jc w:val="left"/>
        <w:rPr/>
      </w:pPr>
      <w:r>
        <w:rPr/>
        <w:t>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1101090" cy="350520"/>
                <wp:effectExtent l="0" t="0" r="0" b="0"/>
                <wp:wrapSquare wrapText="right"/>
                <wp:docPr id="32" name="Frame21"/>
                <a:graphic xmlns:a="http://schemas.openxmlformats.org/drawingml/2006/main">
                  <a:graphicData uri="http://schemas.microsoft.com/office/word/2010/wordprocessingShape">
                    <wps:wsp>
                      <wps:cNvSpPr txBox="1"/>
                      <wps:spPr>
                        <a:xfrm>
                          <a:off x="0" y="0"/>
                          <a:ext cx="1101090" cy="35052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17000</wp14:pctWidth>
                </wp14:sizeRelH>
              </wp:anchor>
            </w:drawing>
          </mc:Choice>
          <mc:Fallback>
            <w:pict>
              <v:rect style="position:absolute;rotation:-0;width:86.7pt;height:27.6pt;mso-wrap-distance-left:0pt;mso-wrap-distance-right:0pt;mso-wrap-distance-top:0pt;mso-wrap-distance-bottom:0pt;margin-top:0pt;mso-position-vertical:top;mso-position-vertical-relative:text;margin-left:408.2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5184140" cy="6441440"/>
                <wp:effectExtent l="0" t="0" r="0" b="0"/>
                <wp:wrapSquare wrapText="right"/>
                <wp:docPr id="33" name="Frame22"/>
                <a:graphic xmlns:a="http://schemas.openxmlformats.org/drawingml/2006/main">
                  <a:graphicData uri="http://schemas.microsoft.com/office/word/2010/wordprocessingShape">
                    <wps:wsp>
                      <wps:cNvSpPr txBox="1"/>
                      <wps:spPr>
                        <a:xfrm>
                          <a:off x="0" y="0"/>
                          <a:ext cx="5184140" cy="64414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2857"/>
                              <w:gridCol w:w="162"/>
                              <w:gridCol w:w="5145"/>
                            </w:tblGrid>
                            <w:tr>
                              <w:trPr/>
                              <w:tc>
                                <w:tcPr>
                                  <w:tcW w:w="285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5145" w:type="dxa"/>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Registration Statement</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Company’s automatic shelf registration statement on Form F-3, which became effective automatically upon filing on 12 April 2024.</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Relevant Moment</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Each time when one or more Registered Shares are issued by the Company.</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Resolutions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Each of the following: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 the written resolutions of the Board, dated 7 May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the AGM Documents;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c.   the written resolutions of the pricing committee established by the Board, dated 8 May 2026.</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Reviewed Documents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Each Deed of Issue and the Underwriting Agreement.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SEC</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United States Securities and Exchange Commission.</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Underwriters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Underwriters, as defined in the Underwriting Agreement.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Underwriting Agreement”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underwriting agreement between the Company and the Underwriters in connection with the Offering, dated 8 May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507.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2857"/>
                        <w:gridCol w:w="162"/>
                        <w:gridCol w:w="5145"/>
                      </w:tblGrid>
                      <w:tr>
                        <w:trPr/>
                        <w:tc>
                          <w:tcPr>
                            <w:tcW w:w="285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5145" w:type="dxa"/>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Registration Statement</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Company’s automatic shelf registration statement on Form F-3, which became effective automatically upon filing on 12 April 2024.</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Relevant Moment</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Each time when one or more Registered Shares are issued by the Company.</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Resolutions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Each of the following: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 the written resolutions of the Board, dated 7 May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the AGM Documents;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c.   the written resolutions of the pricing committee established by the Board, dated 8 May 2026.</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Reviewed Documents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Each Deed of Issue and the Underwriting Agreement.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SEC</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United States Securities and Exchange Commission.</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Underwriters</w:t>
                            </w:r>
                            <w:r>
                              <w:rPr/>
                              <w: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Underwriters, as defined in the Underwriting Agreement.</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w:t>
                            </w:r>
                            <w:r>
                              <w:rPr>
                                <w:b/>
                              </w:rPr>
                              <w:t>Underwriting Agreement”</w:t>
                            </w:r>
                          </w:p>
                        </w:tc>
                        <w:tc>
                          <w:tcPr>
                            <w:tcW w:w="162" w:type="dxa"/>
                            <w:tcBorders/>
                            <w:vAlign w:val="bottom"/>
                          </w:tcPr>
                          <w:p>
                            <w:pPr>
                              <w:pStyle w:val="TableContents"/>
                              <w:bidi w:val="0"/>
                              <w:spacing w:before="0" w:after="283"/>
                              <w:jc w:val="left"/>
                              <w:rPr/>
                            </w:pPr>
                            <w:r>
                              <w:rPr/>
                              <w:t>  </w:t>
                            </w:r>
                          </w:p>
                        </w:tc>
                        <w:tc>
                          <w:tcPr>
                            <w:tcW w:w="5145" w:type="dxa"/>
                            <w:tcBorders/>
                          </w:tcPr>
                          <w:p>
                            <w:pPr>
                              <w:pStyle w:val="TableContents"/>
                              <w:bidi w:val="0"/>
                              <w:spacing w:before="0" w:after="283"/>
                              <w:jc w:val="left"/>
                              <w:rPr/>
                            </w:pPr>
                            <w:r>
                              <w:rPr/>
                              <w:t>The underwriting agreement between the Company and the Underwriters in connection with the Offering, dated 8 May 2026.</w:t>
                            </w:r>
                          </w:p>
                        </w:tc>
                      </w:tr>
                    </w:tbl>
                    <w:p>
                      <w:pPr>
                        <w:pStyle w:val="TextBody"/>
                        <w:bidi w:val="0"/>
                        <w:spacing w:before="0" w:after="283"/>
                        <w:jc w:val="left"/>
                        <w:rPr/>
                      </w:pPr>
                      <w:r>
                        <w:rPr/>
                      </w:r>
                    </w:p>
                  </w:txbxContent>
                </v:textbox>
                <w10:wrap type="square" side="right"/>
              </v:rect>
            </w:pict>
          </mc:Fallback>
        </mc:AlternateConten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22762</Words>
  <Characters>120526</Characters>
  <CharactersWithSpaces>143727</CharactersWithSpaces>
  <Paragraphs>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