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Modig Berndt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CRANBERRY HILL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Pharvaris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PHVS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0"/>
        <w:gridCol w:w="933"/>
        <w:gridCol w:w="802"/>
        <w:gridCol w:w="619"/>
        <w:gridCol w:w="340"/>
        <w:gridCol w:w="805"/>
        <w:gridCol w:w="412"/>
        <w:gridCol w:w="959"/>
        <w:gridCol w:w="1107"/>
        <w:gridCol w:w="962"/>
        <w:gridCol w:w="13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2,292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34.7669</w:t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130,625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950,000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Schoodic Management BV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acquired upon vesting of restricted stock units and sold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Schoodic Management BV, an entity controlled by Mr. Modig.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Marnus Nel, Attorney-in-Fact for Berndt Modig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43072" TargetMode="External"/><Relationship Id="rId5" Type="http://schemas.openxmlformats.org/officeDocument/2006/relationships/hyperlink" Target="http://www.sec.gov/cgi-bin/browse-edgar?action=getcompany&amp;CIK=00018304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3276</Characters>
  <CharactersWithSpaces>3807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