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September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Amendment to License Agreement</w:t>
      </w:r>
    </w:p>
    <w:p>
      <w:pPr>
        <w:spacing w:after="0" w:line="113" w:lineRule="exact"/>
        <w:rPr>
          <w:sz w:val="20"/>
          <w:szCs w:val="20"/>
          <w:color w:val="auto"/>
        </w:rPr>
      </w:pPr>
    </w:p>
    <w:p>
      <w:pPr>
        <w:jc w:val="both"/>
        <w:ind w:firstLine="520"/>
        <w:spacing w:after="0" w:line="256" w:lineRule="auto"/>
        <w:rPr>
          <w:sz w:val="20"/>
          <w:szCs w:val="20"/>
          <w:color w:val="auto"/>
        </w:rPr>
      </w:pPr>
      <w:r>
        <w:rPr>
          <w:rFonts w:ascii="Arial" w:cs="Arial" w:eastAsia="Arial" w:hAnsi="Arial"/>
          <w:sz w:val="16"/>
          <w:szCs w:val="16"/>
          <w:color w:val="auto"/>
        </w:rPr>
        <w:t>On September 20, 2024, Pharvaris N.V. (the “Company”) entered into an amendment (the “Amendment”) to the March 31, 2016 license agreement (the “AnalytiCon License”) with AnalytiCon Discovery GmbH (“AnalytiCon”) pursuant to which the Company acquired a worldwide, exclusive royalty-bearing license to use a certain proprietary substance class of bradykinin-B2-receptor antagonists with the potential of oral activity, for the purpose of developing, manufacturing and marketing compounds on a global basis for the treatment of, among others, hereditary angioedema. Certain rights associated with deucrictibant, PHVS416 and PHVS719 are subject to the AnalytiCon License.</w:t>
      </w:r>
    </w:p>
    <w:p>
      <w:pPr>
        <w:spacing w:after="0" w:line="180" w:lineRule="exact"/>
        <w:rPr>
          <w:sz w:val="20"/>
          <w:szCs w:val="20"/>
          <w:color w:val="auto"/>
        </w:rPr>
      </w:pPr>
    </w:p>
    <w:p>
      <w:pPr>
        <w:jc w:val="both"/>
        <w:ind w:firstLine="520"/>
        <w:spacing w:after="0" w:line="266" w:lineRule="auto"/>
        <w:rPr>
          <w:sz w:val="20"/>
          <w:szCs w:val="20"/>
          <w:color w:val="auto"/>
        </w:rPr>
      </w:pPr>
      <w:r>
        <w:rPr>
          <w:rFonts w:ascii="Arial" w:cs="Arial" w:eastAsia="Arial" w:hAnsi="Arial"/>
          <w:sz w:val="16"/>
          <w:szCs w:val="16"/>
          <w:color w:val="auto"/>
        </w:rPr>
        <w:t>The Amendment clarifies the scope of products upon which the Company will be required to pay a royalty, namely, any licensed product containing a compound within the scope of the Markush general formula (I) of claim 1 of US Patent No. 10,836,748. Each of deucrictibant, PHVS416 and PHVS719 is a royalty-bearing product.</w:t>
      </w:r>
    </w:p>
    <w:p>
      <w:pPr>
        <w:spacing w:after="0" w:line="171" w:lineRule="exact"/>
        <w:rPr>
          <w:sz w:val="20"/>
          <w:szCs w:val="20"/>
          <w:color w:val="auto"/>
        </w:rPr>
      </w:pPr>
    </w:p>
    <w:p>
      <w:pPr>
        <w:jc w:val="both"/>
        <w:ind w:firstLine="520"/>
        <w:spacing w:after="0" w:line="259" w:lineRule="auto"/>
        <w:rPr>
          <w:sz w:val="20"/>
          <w:szCs w:val="20"/>
          <w:color w:val="auto"/>
        </w:rPr>
      </w:pPr>
      <w:r>
        <w:rPr>
          <w:rFonts w:ascii="Arial" w:cs="Arial" w:eastAsia="Arial" w:hAnsi="Arial"/>
          <w:sz w:val="16"/>
          <w:szCs w:val="16"/>
          <w:color w:val="auto"/>
        </w:rPr>
        <w:t>The foregoing description of the Amendment does not purport to be complete and is subject to, and qualified in its entirety by, the full text of the Amendment, a copy of which is filed as Exhibit 99.1 to this Report on Form 6-K and which is incorporated herein by reference. The information included in this Form 6-K (including Exhibit 99.1) is hereby incorporated by reference into the Company’s registration statements on Form F-3 (Registration Numbers 333-278650, 333-277705 and 333-273757) and Form S-8 (Registration Number 333-252897).</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700" w:type="dxa"/>
            <w:vAlign w:val="bottom"/>
            <w:gridSpan w:val="4"/>
          </w:tcPr>
          <w:p>
            <w:pPr>
              <w:ind w:left="212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540" w:type="dxa"/>
            <w:vAlign w:val="bottom"/>
            <w:gridSpan w:val="6"/>
          </w:tcPr>
          <w:p>
            <w:pPr>
              <w:ind w:left="20"/>
              <w:spacing w:after="0"/>
              <w:rPr>
                <w:sz w:val="20"/>
                <w:szCs w:val="20"/>
                <w:color w:val="auto"/>
              </w:rPr>
            </w:pPr>
            <w:r>
              <w:rPr>
                <w:rFonts w:ascii="Arial" w:cs="Arial" w:eastAsia="Arial" w:hAnsi="Arial"/>
                <w:sz w:val="18"/>
                <w:szCs w:val="18"/>
                <w:color w:val="auto"/>
              </w:rPr>
              <w:t>Date: September 23, 2024</w:t>
            </w:r>
          </w:p>
        </w:tc>
        <w:tc>
          <w:tcPr>
            <w:tcW w:w="3020" w:type="dxa"/>
            <w:vAlign w:val="bottom"/>
          </w:tcPr>
          <w:p>
            <w:pPr>
              <w:ind w:left="21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20" w:type="dxa"/>
            <w:vAlign w:val="bottom"/>
          </w:tcPr>
          <w:p>
            <w:pPr>
              <w:ind w:left="2120"/>
              <w:spacing w:after="0"/>
              <w:rPr>
                <w:sz w:val="20"/>
                <w:szCs w:val="20"/>
                <w:color w:val="auto"/>
              </w:rPr>
            </w:pPr>
            <w:r>
              <w:rPr>
                <w:rFonts w:ascii="Arial" w:cs="Arial" w:eastAsia="Arial" w:hAnsi="Arial"/>
                <w:sz w:val="18"/>
                <w:szCs w:val="18"/>
                <w:color w:val="auto"/>
              </w:rPr>
              <w:t>Name:</w:t>
            </w:r>
          </w:p>
        </w:tc>
        <w:tc>
          <w:tcPr>
            <w:tcW w:w="4680" w:type="dxa"/>
            <w:vAlign w:val="bottom"/>
            <w:gridSpan w:val="3"/>
          </w:tcPr>
          <w:p>
            <w:pPr>
              <w:spacing w:after="0"/>
              <w:rPr>
                <w:sz w:val="20"/>
                <w:szCs w:val="20"/>
                <w:color w:val="auto"/>
              </w:rPr>
            </w:pPr>
            <w:r>
              <w:rPr>
                <w:rFonts w:ascii="Arial" w:cs="Arial" w:eastAsia="Arial" w:hAnsi="Arial"/>
                <w:sz w:val="18"/>
                <w:szCs w:val="18"/>
                <w:color w:val="auto"/>
              </w:rPr>
              <w:t>Berndt Modig</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20" w:type="dxa"/>
            <w:vAlign w:val="bottom"/>
          </w:tcPr>
          <w:p>
            <w:pPr>
              <w:ind w:left="2120"/>
              <w:spacing w:after="0"/>
              <w:rPr>
                <w:sz w:val="20"/>
                <w:szCs w:val="20"/>
                <w:color w:val="auto"/>
              </w:rPr>
            </w:pPr>
            <w:r>
              <w:rPr>
                <w:rFonts w:ascii="Arial" w:cs="Arial" w:eastAsia="Arial" w:hAnsi="Arial"/>
                <w:sz w:val="18"/>
                <w:szCs w:val="18"/>
                <w:color w:val="auto"/>
              </w:rPr>
              <w:t>Title:</w:t>
            </w:r>
          </w:p>
        </w:tc>
        <w:tc>
          <w:tcPr>
            <w:tcW w:w="46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4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2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3"/>
        </w:trPr>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42"/>
        </w:trPr>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1"/>
                <w:szCs w:val="21"/>
                <w:color w:val="auto"/>
              </w:rPr>
            </w:pP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0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r>
      <w:tr>
        <w:trPr>
          <w:trHeight w:val="175"/>
        </w:trPr>
        <w:tc>
          <w:tcPr>
            <w:tcW w:w="1020" w:type="dxa"/>
            <w:vAlign w:val="bottom"/>
            <w:gridSpan w:val="3"/>
          </w:tcPr>
          <w:p>
            <w:pPr>
              <w:ind w:left="20"/>
              <w:spacing w:after="0" w:line="175"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120" w:type="dxa"/>
            <w:vAlign w:val="bottom"/>
          </w:tcPr>
          <w:p>
            <w:pPr>
              <w:spacing w:after="0"/>
              <w:rPr>
                <w:sz w:val="15"/>
                <w:szCs w:val="15"/>
                <w:color w:val="auto"/>
              </w:rPr>
            </w:pPr>
          </w:p>
        </w:tc>
        <w:tc>
          <w:tcPr>
            <w:tcW w:w="10100" w:type="dxa"/>
            <w:vAlign w:val="bottom"/>
            <w:gridSpan w:val="6"/>
          </w:tcPr>
          <w:p>
            <w:pPr>
              <w:ind w:left="20"/>
              <w:spacing w:after="0" w:line="175" w:lineRule="exact"/>
              <w:rPr>
                <w:sz w:val="20"/>
                <w:szCs w:val="20"/>
                <w:color w:val="auto"/>
              </w:rPr>
            </w:pPr>
            <w:r>
              <w:rPr>
                <w:rFonts w:ascii="Arial" w:cs="Arial" w:eastAsia="Arial" w:hAnsi="Arial"/>
                <w:sz w:val="16"/>
                <w:szCs w:val="16"/>
                <w:color w:val="0000FF"/>
              </w:rPr>
              <w:t>Amendment 2, between Pharvaris Netherlands B.V. and AnalytiCon Discovery GmbH dated as of September 20, 2024, to the License</w:t>
            </w:r>
          </w:p>
        </w:tc>
      </w:tr>
      <w:tr>
        <w:trPr>
          <w:trHeight w:val="169"/>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Agreement between Pharvaris B.V. and AnalytiCon Discovery GmbH dated as of March 31, 2016.</w:t>
            </w:r>
          </w:p>
        </w:tc>
        <w:tc>
          <w:tcPr>
            <w:tcW w:w="480" w:type="dxa"/>
            <w:vAlign w:val="bottom"/>
          </w:tcPr>
          <w:p>
            <w:pPr>
              <w:spacing w:after="0"/>
              <w:rPr>
                <w:sz w:val="14"/>
                <w:szCs w:val="14"/>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top w:val="single" w:sz="8" w:color="0000FF"/>
              <w:bottom w:val="single" w:sz="8" w:color="9A9A9A"/>
            </w:tcBorders>
          </w:tcPr>
          <w:p>
            <w:pPr>
              <w:spacing w:after="0"/>
              <w:rPr>
                <w:sz w:val="24"/>
                <w:szCs w:val="24"/>
                <w:color w:val="auto"/>
              </w:rPr>
            </w:pPr>
          </w:p>
        </w:tc>
        <w:tc>
          <w:tcPr>
            <w:tcW w:w="3020" w:type="dxa"/>
            <w:vAlign w:val="bottom"/>
            <w:tcBorders>
              <w:top w:val="single" w:sz="8" w:color="0000FF"/>
              <w:bottom w:val="single" w:sz="8" w:color="9A9A9A"/>
            </w:tcBorders>
          </w:tcPr>
          <w:p>
            <w:pPr>
              <w:spacing w:after="0"/>
              <w:rPr>
                <w:sz w:val="24"/>
                <w:szCs w:val="24"/>
                <w:color w:val="auto"/>
              </w:rPr>
            </w:pPr>
          </w:p>
        </w:tc>
        <w:tc>
          <w:tcPr>
            <w:tcW w:w="1580" w:type="dxa"/>
            <w:vAlign w:val="bottom"/>
            <w:tcBorders>
              <w:top w:val="single" w:sz="8" w:color="0000FF"/>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right"/>
        <w:ind w:right="60"/>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Amendment 2</w:t>
      </w:r>
    </w:p>
    <w:p>
      <w:pPr>
        <w:spacing w:after="0" w:line="2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to the</w:t>
      </w:r>
    </w:p>
    <w:p>
      <w:pPr>
        <w:spacing w:after="0" w:line="20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entered into by</w:t>
      </w:r>
    </w:p>
    <w:p>
      <w:pPr>
        <w:spacing w:after="0" w:line="2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b w:val="1"/>
          <w:bCs w:val="1"/>
          <w:color w:val="auto"/>
        </w:rPr>
        <w:t>AnalytiCon Discovery GmbH and Pharvaris NV on 31</w:t>
      </w:r>
      <w:r>
        <w:rPr>
          <w:rFonts w:ascii="Times New Roman" w:cs="Times New Roman" w:eastAsia="Times New Roman" w:hAnsi="Times New Roman"/>
          <w:sz w:val="28"/>
          <w:szCs w:val="28"/>
          <w:b w:val="1"/>
          <w:bCs w:val="1"/>
          <w:color w:val="auto"/>
          <w:vertAlign w:val="superscript"/>
        </w:rPr>
        <w:t>st</w:t>
      </w:r>
      <w:r>
        <w:rPr>
          <w:rFonts w:ascii="Times New Roman" w:cs="Times New Roman" w:eastAsia="Times New Roman" w:hAnsi="Times New Roman"/>
          <w:sz w:val="22"/>
          <w:szCs w:val="22"/>
          <w:b w:val="1"/>
          <w:bCs w:val="1"/>
          <w:color w:val="auto"/>
        </w:rPr>
        <w:t xml:space="preserve"> March 2016,</w:t>
      </w:r>
    </w:p>
    <w:p>
      <w:pPr>
        <w:spacing w:after="0" w:line="14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This Amendment 2 is made between</w:t>
      </w:r>
    </w:p>
    <w:p>
      <w:pPr>
        <w:spacing w:after="0" w:line="20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b w:val="1"/>
          <w:bCs w:val="1"/>
          <w:color w:val="auto"/>
        </w:rPr>
        <w:t>Pharvaris Netherlands BV</w:t>
      </w:r>
    </w:p>
    <w:p>
      <w:pPr>
        <w:spacing w:after="0" w:line="21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Emmy Noetherweg 2, 2333 BK Leiden, The Netherlands</w:t>
      </w:r>
    </w:p>
    <w:p>
      <w:pPr>
        <w:spacing w:after="0" w:line="20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“Pharvaris”</w:t>
      </w: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BRAIN Biotech AG</w:t>
      </w:r>
    </w:p>
    <w:p>
      <w:pPr>
        <w:spacing w:after="0" w:line="2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Darmstädter Str. 34 - 36, 64673 Darmstadt, Germany</w:t>
      </w:r>
    </w:p>
    <w:p>
      <w:pPr>
        <w:spacing w:after="0" w:line="20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“BRAIN Biotech”</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BRAIN Biotech and Pharvaris in the following also referred to individually as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or collectively as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1285875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Amendment 2 to License Agreement (“</w:t>
      </w:r>
      <w:r>
        <w:rPr>
          <w:rFonts w:ascii="Times New Roman" w:cs="Times New Roman" w:eastAsia="Times New Roman" w:hAnsi="Times New Roman"/>
          <w:sz w:val="22"/>
          <w:szCs w:val="22"/>
          <w:b w:val="1"/>
          <w:bCs w:val="1"/>
          <w:color w:val="auto"/>
        </w:rPr>
        <w:t>Amendment 2</w:t>
      </w:r>
      <w:r>
        <w:rPr>
          <w:rFonts w:ascii="Times New Roman" w:cs="Times New Roman" w:eastAsia="Times New Roman" w:hAnsi="Times New Roman"/>
          <w:sz w:val="22"/>
          <w:szCs w:val="22"/>
          <w:color w:val="auto"/>
        </w:rPr>
        <w:t>”) is dated as of September 20, 2024 by and between Pharvaris Netherlands BV, a company with limited liability incorporated in the Netherlands (“</w:t>
      </w:r>
      <w:r>
        <w:rPr>
          <w:rFonts w:ascii="Times New Roman" w:cs="Times New Roman" w:eastAsia="Times New Roman" w:hAnsi="Times New Roman"/>
          <w:sz w:val="22"/>
          <w:szCs w:val="22"/>
          <w:b w:val="1"/>
          <w:bCs w:val="1"/>
          <w:color w:val="auto"/>
        </w:rPr>
        <w:t>Pharvaris</w:t>
      </w:r>
      <w:r>
        <w:rPr>
          <w:rFonts w:ascii="Times New Roman" w:cs="Times New Roman" w:eastAsia="Times New Roman" w:hAnsi="Times New Roman"/>
          <w:sz w:val="22"/>
          <w:szCs w:val="22"/>
          <w:color w:val="auto"/>
        </w:rPr>
        <w:t>”), and BRAIN Biotech AG, a stock corporation incorporated in Germany (“</w:t>
      </w:r>
      <w:r>
        <w:rPr>
          <w:rFonts w:ascii="Times New Roman" w:cs="Times New Roman" w:eastAsia="Times New Roman" w:hAnsi="Times New Roman"/>
          <w:sz w:val="22"/>
          <w:szCs w:val="22"/>
          <w:b w:val="1"/>
          <w:bCs w:val="1"/>
          <w:color w:val="auto"/>
        </w:rPr>
        <w:t>BRAIN Biotech</w:t>
      </w:r>
      <w:r>
        <w:rPr>
          <w:rFonts w:ascii="Times New Roman" w:cs="Times New Roman" w:eastAsia="Times New Roman" w:hAnsi="Times New Roman"/>
          <w:sz w:val="22"/>
          <w:szCs w:val="22"/>
          <w:color w:val="auto"/>
        </w:rPr>
        <w:t>”). Capitalized terms used and not defined in this Amendment 2 have the meanings assigned to them in the License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Pharvaris NV (FKA Pharvaris BV) and AnalytiCon Discovery GmbH (“</w:t>
      </w:r>
      <w:r>
        <w:rPr>
          <w:rFonts w:ascii="Times New Roman" w:cs="Times New Roman" w:eastAsia="Times New Roman" w:hAnsi="Times New Roman"/>
          <w:sz w:val="22"/>
          <w:szCs w:val="22"/>
          <w:b w:val="1"/>
          <w:bCs w:val="1"/>
          <w:color w:val="auto"/>
        </w:rPr>
        <w:t>AnalytiCon</w:t>
      </w:r>
      <w:r>
        <w:rPr>
          <w:rFonts w:ascii="Times New Roman" w:cs="Times New Roman" w:eastAsia="Times New Roman" w:hAnsi="Times New Roman"/>
          <w:sz w:val="22"/>
          <w:szCs w:val="22"/>
          <w:color w:val="auto"/>
        </w:rPr>
        <w:t>”) have entered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certain License Agreement, dated as of March 31, 2016, as assumed by Pharvaris which replaced Pharvaris NV by way of an Assumption of Contract dated as of January 21/23, 2020 and as amended by that certain Amendment 1, dated as of January 9, 2021 (“</w:t>
      </w:r>
      <w:r>
        <w:rPr>
          <w:rFonts w:ascii="Times New Roman" w:cs="Times New Roman" w:eastAsia="Times New Roman" w:hAnsi="Times New Roman"/>
          <w:sz w:val="22"/>
          <w:szCs w:val="22"/>
          <w:b w:val="1"/>
          <w:bCs w:val="1"/>
          <w:color w:val="auto"/>
        </w:rPr>
        <w:t>Amendment 1</w:t>
      </w:r>
      <w:r>
        <w:rPr>
          <w:rFonts w:ascii="Times New Roman" w:cs="Times New Roman" w:eastAsia="Times New Roman" w:hAnsi="Times New Roman"/>
          <w:sz w:val="22"/>
          <w:szCs w:val="22"/>
          <w:color w:val="auto"/>
        </w:rPr>
        <w:t>”; the License Agreement, as amended from time to time, the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AnalytiCon has transferred the License Agreement to BRAIN Biotech by way of a merger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AnalytiCon and BRAIN Biotech, effective as of June 6, 2024;</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BRAIN Biotech has proposed to sell, transfer and assign its right, title and interest in the payments BRAIN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Biotech receives from Pharvaris pursuant to Section 5.3 of the License Agreement (subject to, as the case may be, reductions pursuant to Sections 5.5, 5.6, 6.4.4, 10.3.3, and 12.2.4 of, or otherwise pursuant to and in accordance with, the License Agreement) to Royalty Pharma Investments 2019 ICAV, an Irish collective asset-management vehicle (“</w:t>
      </w:r>
      <w:r>
        <w:rPr>
          <w:rFonts w:ascii="Times New Roman" w:cs="Times New Roman" w:eastAsia="Times New Roman" w:hAnsi="Times New Roman"/>
          <w:sz w:val="22"/>
          <w:szCs w:val="22"/>
          <w:b w:val="1"/>
          <w:bCs w:val="1"/>
          <w:color w:val="auto"/>
        </w:rPr>
        <w:t>Royalty Pharma</w:t>
      </w:r>
      <w:r>
        <w:rPr>
          <w:rFonts w:ascii="Times New Roman" w:cs="Times New Roman" w:eastAsia="Times New Roman" w:hAnsi="Times New Roman"/>
          <w:sz w:val="22"/>
          <w:szCs w:val="22"/>
          <w:color w:val="auto"/>
        </w:rPr>
        <w:t>”) on terms and conditions customary for such a monetization transaction, including the grant for the benefit of Royalty Pharma of a security interest in the License Agreement (the “</w:t>
      </w:r>
      <w:r>
        <w:rPr>
          <w:rFonts w:ascii="Times New Roman" w:cs="Times New Roman" w:eastAsia="Times New Roman" w:hAnsi="Times New Roman"/>
          <w:sz w:val="22"/>
          <w:szCs w:val="22"/>
          <w:b w:val="1"/>
          <w:bCs w:val="1"/>
          <w:color w:val="auto"/>
        </w:rPr>
        <w:t>RP Monetization</w:t>
      </w:r>
      <w:r>
        <w:rPr>
          <w:rFonts w:ascii="Times New Roman" w:cs="Times New Roman" w:eastAsia="Times New Roman" w:hAnsi="Times New Roman"/>
          <w:sz w:val="22"/>
          <w:szCs w:val="22"/>
          <w:color w:val="auto"/>
        </w:rPr>
        <w:t>”); and</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at the occasion of, but independently from, the RP Monetization, the Parties desire to amend the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clarify certain terms related to the duration of the Pharvaris payment obligations under the License Agreement, as set forth herein.</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Parties hereby amend the License Agreement and agree as follows:</w:t>
      </w:r>
    </w:p>
    <w:p>
      <w:pPr>
        <w:spacing w:after="0" w:line="154"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Section 1.27, the following new Section 1.27A is hereby added:</w:t>
      </w:r>
    </w:p>
    <w:p>
      <w:pPr>
        <w:spacing w:after="0" w:line="202"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 xml:space="preserve">“1.27A </w:t>
      </w:r>
      <w:r>
        <w:rPr>
          <w:rFonts w:ascii="Times New Roman" w:cs="Times New Roman" w:eastAsia="Times New Roman" w:hAnsi="Times New Roman"/>
          <w:sz w:val="22"/>
          <w:szCs w:val="22"/>
          <w:b w:val="1"/>
          <w:bCs w:val="1"/>
          <w:color w:val="auto"/>
        </w:rPr>
        <w:t>“Royalty-Bearing Product(s)”</w:t>
      </w:r>
      <w:r>
        <w:rPr>
          <w:rFonts w:ascii="Times New Roman" w:cs="Times New Roman" w:eastAsia="Times New Roman" w:hAnsi="Times New Roman"/>
          <w:sz w:val="22"/>
          <w:szCs w:val="22"/>
          <w:color w:val="auto"/>
        </w:rPr>
        <w:t xml:space="preserve"> shall mean any Licensed Product containing a compound within the scope of the Markush general formula (I) of claim 1 of US Patent No. 10,836,748. Each of deucrictibant (PHVS121), PHVS416 and PHVS719 is a Royalty-Bearing Product.”</w:t>
      </w:r>
    </w:p>
    <w:p>
      <w:pPr>
        <w:spacing w:after="0" w:line="171" w:lineRule="exact"/>
        <w:rPr>
          <w:sz w:val="20"/>
          <w:szCs w:val="20"/>
          <w:color w:val="auto"/>
        </w:rPr>
      </w:pPr>
    </w:p>
    <w:p>
      <w:pPr>
        <w:jc w:val="both"/>
        <w:ind w:firstLine="8"/>
        <w:spacing w:after="0" w:line="244" w:lineRule="auto"/>
        <w:tabs>
          <w:tab w:leader="none" w:pos="50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Sections 1.13, 1.17, 1.22, 5.2, 5.3, 5.6, and 6.1 the words “Licensed Product(s)” (or corollary phrases “Licensed Product” or “Licensed Products” as applicable) are replaced by the words “Royalty-Bearing Product(s)” (or corollary phrases “Royalty-Bearing Product” or “Royalty-Bearing Products” as applicable).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ind w:left="520" w:hanging="512"/>
        <w:spacing w:after="0"/>
        <w:tabs>
          <w:tab w:leader="none" w:pos="5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1.28 is reworded as follows:</w:t>
      </w:r>
    </w:p>
    <w:p>
      <w:pPr>
        <w:spacing w:after="0" w:line="202" w:lineRule="exact"/>
        <w:rPr>
          <w:sz w:val="20"/>
          <w:szCs w:val="20"/>
          <w:color w:val="auto"/>
        </w:rPr>
      </w:pPr>
    </w:p>
    <w:p>
      <w:pPr>
        <w:jc w:val="both"/>
        <w:ind w:left="760"/>
        <w:spacing w:after="0" w:line="263" w:lineRule="auto"/>
        <w:rPr>
          <w:sz w:val="20"/>
          <w:szCs w:val="20"/>
          <w:color w:val="auto"/>
        </w:rPr>
      </w:pPr>
      <w:r>
        <w:rPr>
          <w:rFonts w:ascii="Times New Roman" w:cs="Times New Roman" w:eastAsia="Times New Roman" w:hAnsi="Times New Roman"/>
          <w:sz w:val="21"/>
          <w:szCs w:val="21"/>
          <w:color w:val="auto"/>
        </w:rPr>
        <w:t xml:space="preserve">“1.28 </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xml:space="preserve"> shall mean such a Third Party which receives a commercial sublicense from Pharvaris under the Exclusive License to develop, market and sell Licensed Products(s) on its own account (and, if applicable, which is obligated to make payments to Pharvaris on the basis of royalty payments on Net Sales of Royalty-Bearing Product(s)).”</w:t>
      </w:r>
    </w:p>
    <w:p>
      <w:pPr>
        <w:spacing w:after="0" w:line="15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IV.</w:t>
        <w:tab/>
        <w:t>Section 4.2 is reworded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Sublicensing</w:t>
      </w:r>
    </w:p>
    <w:p>
      <w:pPr>
        <w:spacing w:after="0" w:line="206"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The Exclusive License includes the right of Pharvaris to grant sublicenses within the scope of the Exclusive License to its Affiliates or Third Parties to develop, market and sell Licensed Product(s) on its own account (if applicable, on the basis of royalty payments by Pharvaris to AnalytiCon on Net Sales of Royalty-Bearing Product(s) by such Sublicensees as further defined in this Agreement).”</w:t>
      </w:r>
    </w:p>
    <w:p>
      <w:pPr>
        <w:spacing w:after="0" w:line="180" w:lineRule="exact"/>
        <w:rPr>
          <w:sz w:val="20"/>
          <w:szCs w:val="20"/>
          <w:color w:val="auto"/>
        </w:rPr>
      </w:pPr>
    </w:p>
    <w:p>
      <w:pPr>
        <w:ind w:firstLine="8"/>
        <w:spacing w:after="0" w:line="258" w:lineRule="auto"/>
        <w:tabs>
          <w:tab w:leader="none" w:pos="50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5.4, the words “Product” are replaced by words “Royalty-Bearing Product containing deucrictibant”, and the words “Backup Product” are replaced by the words “Royalty-Bearing Product not containing deucrictibant”.</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VI.</w:t>
        <w:tab/>
        <w:t>In Section 5.5, the words “Product” are replaced by the words “Royalty-Bearing Product”.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VII.  Section 5.7.2 is reworded as follows:</w:t>
      </w:r>
    </w:p>
    <w:p>
      <w:pPr>
        <w:spacing w:after="0" w:line="206" w:lineRule="exact"/>
        <w:rPr>
          <w:sz w:val="20"/>
          <w:szCs w:val="20"/>
          <w:color w:val="auto"/>
        </w:rPr>
      </w:pPr>
    </w:p>
    <w:p>
      <w:pPr>
        <w:jc w:val="both"/>
        <w:ind w:left="760"/>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The Term of royalty payments with respect to each Royalty-Bearing Product shall be the Term with respect to such Royalty-Bearing Product.</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VIII. In the first sentence of Section 10.1, the words “the expiry of the last Patent of the Licensed IP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are replaced by the following words:</w:t>
      </w:r>
    </w:p>
    <w:p>
      <w:pPr>
        <w:spacing w:after="0" w:line="154"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“(a) with respect to each Royalty-Bearing Product, the Expiration of the last Valid Claim of a Royalty-Bearing Patent that claims such Royalty-Bearing Product, on a Royalty-Bearing Product-by-Royalty-Bearing Product basis, and (b) with respect to each Licensed Product that is not a Royalty-Bearing Product, the Expiration of the last Valid Claim of a Non-Royalty-Bearing Patent that claims such Licensed Product, on a Licensed Product-by-Licensed Product basis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IX.</w:t>
        <w:tab/>
        <w:t>At the end of Section 10.1, the following new paragraphs are added:</w:t>
      </w:r>
    </w:p>
    <w:p>
      <w:pPr>
        <w:spacing w:after="0" w:line="202" w:lineRule="exact"/>
        <w:rPr>
          <w:sz w:val="20"/>
          <w:szCs w:val="20"/>
          <w:color w:val="auto"/>
        </w:rPr>
      </w:pPr>
    </w:p>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of a Patent, including as such claim may be extended, whether through a patent term extension, supplementary protection certificate or otherwise, that has not expired, lapsed, been cancelled, abandoned or waived, or been dedicated to the public, disclaimed, rejected or held unenforceable, invalid, revoked or cancelled by a court or administrative agency of competent jurisdiction in an order or decision from which no appeal has been or can be taken, including through opposition, re-examination, reissue, disclaimer, inter partes review, inter partes review post grant procedures or similar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proceedings, and that has not otherwise become, or turned out to be, ineffective in whatever form and on whatever legal grounds. “</w:t>
      </w:r>
      <w:r>
        <w:rPr>
          <w:rFonts w:ascii="Times New Roman" w:cs="Times New Roman" w:eastAsia="Times New Roman" w:hAnsi="Times New Roman"/>
          <w:sz w:val="22"/>
          <w:szCs w:val="22"/>
          <w:b w:val="1"/>
          <w:bCs w:val="1"/>
          <w:color w:val="auto"/>
        </w:rPr>
        <w:t>Expiration</w:t>
      </w:r>
      <w:r>
        <w:rPr>
          <w:rFonts w:ascii="Times New Roman" w:cs="Times New Roman" w:eastAsia="Times New Roman" w:hAnsi="Times New Roman"/>
          <w:sz w:val="22"/>
          <w:szCs w:val="22"/>
          <w:color w:val="auto"/>
        </w:rPr>
        <w:t>” means any of the cases of ineffectiveness addressed in the preceding sentence.</w:t>
      </w:r>
    </w:p>
    <w:p>
      <w:pPr>
        <w:spacing w:after="0" w:line="154"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Royalty-Bearing Patent</w:t>
      </w:r>
      <w:r>
        <w:rPr>
          <w:rFonts w:ascii="Times New Roman" w:cs="Times New Roman" w:eastAsia="Times New Roman" w:hAnsi="Times New Roman"/>
          <w:sz w:val="22"/>
          <w:szCs w:val="22"/>
          <w:color w:val="auto"/>
        </w:rPr>
        <w:t>” means (a) US Patent No. 10,836,748 and (b) any patent or patent application (including any international patent or patent application) that shares a common priority with US Patent No. 10,836,748. The Patents listed on Schedule A are the Royalty-Bearing Patents that exist as of the date of this Amendment 2.</w:t>
      </w:r>
    </w:p>
    <w:p>
      <w:pPr>
        <w:spacing w:after="0" w:line="167"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Non-Royalty-Bearing Patent</w:t>
      </w:r>
      <w:r>
        <w:rPr>
          <w:rFonts w:ascii="Times New Roman" w:cs="Times New Roman" w:eastAsia="Times New Roman" w:hAnsi="Times New Roman"/>
          <w:sz w:val="22"/>
          <w:szCs w:val="22"/>
          <w:color w:val="auto"/>
        </w:rPr>
        <w:t>” means any Patent owned or controlled by Pharvaris that claims a Licensed Product that is not a Royalty-Bearing Product.”</w:t>
      </w:r>
    </w:p>
    <w:p>
      <w:pPr>
        <w:spacing w:after="0" w:line="154" w:lineRule="exact"/>
        <w:rPr>
          <w:sz w:val="20"/>
          <w:szCs w:val="20"/>
          <w:color w:val="auto"/>
        </w:rPr>
      </w:pPr>
    </w:p>
    <w:p>
      <w:pPr>
        <w:ind w:firstLine="8"/>
        <w:spacing w:after="0" w:line="258" w:lineRule="auto"/>
        <w:tabs>
          <w:tab w:leader="none" w:pos="5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 attached hereto as Schedule A is hereby appended to, and incorporated into, the License Agreement as a new Schedule A.</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XI.</w:t>
        <w:tab/>
        <w:t>The License Agreement shall stay in force to the extent not explicitly amended by this Amendment 2.</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XII. This Amendment 2 shall only come into effect (and, subject to the terms and conditions of the License Agreement, remain in effect) upon the condition that the Consent Letter, as specified in Exhibit D-2 to the Royalty Purchase Agreement between Brain Biotech and Royalty Pharma, is duly executed and becomes effective among Brain Biotech, Pharvaris, and Royalty Pharma.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THEREOF, the Parties hereto have caused this Amendment 2 to be executed in duplicate by their respective duly authorized representatives.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Place 9/20/2024</w:t>
            </w: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Date / Place 9/20/2024</w:t>
            </w:r>
          </w:p>
        </w:tc>
      </w:tr>
      <w:tr>
        <w:trPr>
          <w:trHeight w:val="42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BRAIN Biotech AG</w:t>
            </w: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Pharvaris Netherlands BV, represented by its sole board member Pharvaris</w:t>
            </w:r>
          </w:p>
        </w:tc>
      </w:tr>
      <w:tr>
        <w:trPr>
          <w:trHeight w:val="234"/>
        </w:trPr>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NV(Pharvaris)</w:t>
            </w:r>
          </w:p>
        </w:tc>
      </w:tr>
      <w:tr>
        <w:trPr>
          <w:trHeight w:val="44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(BRAIN Biotech)</w:t>
            </w: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(Pharvaris)</w:t>
            </w:r>
          </w:p>
        </w:tc>
      </w:tr>
      <w:tr>
        <w:trPr>
          <w:trHeight w:val="40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Adriaan Moelker</w:t>
            </w:r>
          </w:p>
        </w:tc>
        <w:tc>
          <w:tcPr>
            <w:tcW w:w="71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0"/>
        </w:trPr>
        <w:tc>
          <w:tcPr>
            <w:tcW w:w="2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6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Adriaan Moelker</w:t>
            </w:r>
          </w:p>
        </w:tc>
        <w:tc>
          <w:tcPr>
            <w:tcW w:w="7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Berndt Modig</w:t>
            </w:r>
          </w:p>
        </w:tc>
      </w:tr>
      <w:tr>
        <w:trPr>
          <w:trHeight w:val="44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Management Board</w:t>
            </w:r>
          </w:p>
        </w:tc>
        <w:tc>
          <w:tcPr>
            <w:tcW w:w="71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 Place 9/20/2024</w:t>
            </w:r>
          </w:p>
        </w:tc>
        <w:tc>
          <w:tcPr>
            <w:tcW w:w="7180" w:type="dxa"/>
            <w:vAlign w:val="bottom"/>
          </w:tcPr>
          <w:p>
            <w:pPr>
              <w:spacing w:after="0"/>
              <w:rPr>
                <w:sz w:val="24"/>
                <w:szCs w:val="24"/>
                <w:color w:val="auto"/>
              </w:rPr>
            </w:pPr>
          </w:p>
        </w:tc>
      </w:tr>
      <w:tr>
        <w:trPr>
          <w:trHeight w:val="44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BRAIN Biotech AG</w:t>
            </w:r>
          </w:p>
        </w:tc>
        <w:tc>
          <w:tcPr>
            <w:tcW w:w="7180" w:type="dxa"/>
            <w:vAlign w:val="bottom"/>
          </w:tcPr>
          <w:p>
            <w:pPr>
              <w:spacing w:after="0"/>
              <w:rPr>
                <w:sz w:val="24"/>
                <w:szCs w:val="24"/>
                <w:color w:val="auto"/>
              </w:rPr>
            </w:pPr>
          </w:p>
        </w:tc>
      </w:tr>
      <w:tr>
        <w:trPr>
          <w:trHeight w:val="44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(BRAIN Biotech)</w:t>
            </w:r>
          </w:p>
        </w:tc>
        <w:tc>
          <w:tcPr>
            <w:tcW w:w="7180" w:type="dxa"/>
            <w:vAlign w:val="bottom"/>
          </w:tcPr>
          <w:p>
            <w:pPr>
              <w:spacing w:after="0"/>
              <w:rPr>
                <w:sz w:val="24"/>
                <w:szCs w:val="24"/>
                <w:color w:val="auto"/>
              </w:rPr>
            </w:pPr>
          </w:p>
        </w:tc>
      </w:tr>
      <w:tr>
        <w:trPr>
          <w:trHeight w:val="44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1C1C1C"/>
              </w:rPr>
              <w:t>/s/ Michael Schneiders</w:t>
            </w:r>
          </w:p>
        </w:tc>
        <w:tc>
          <w:tcPr>
            <w:tcW w:w="7180" w:type="dxa"/>
            <w:vAlign w:val="bottom"/>
          </w:tcPr>
          <w:p>
            <w:pPr>
              <w:spacing w:after="0"/>
              <w:rPr>
                <w:sz w:val="24"/>
                <w:szCs w:val="24"/>
                <w:color w:val="auto"/>
              </w:rPr>
            </w:pPr>
          </w:p>
        </w:tc>
      </w:tr>
      <w:tr>
        <w:trPr>
          <w:trHeight w:val="44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1C1C1C"/>
              </w:rPr>
              <w:t>Michael Schneiders</w:t>
            </w:r>
          </w:p>
        </w:tc>
        <w:tc>
          <w:tcPr>
            <w:tcW w:w="7180" w:type="dxa"/>
            <w:vAlign w:val="bottom"/>
          </w:tcPr>
          <w:p>
            <w:pPr>
              <w:spacing w:after="0"/>
              <w:rPr>
                <w:sz w:val="24"/>
                <w:szCs w:val="24"/>
                <w:color w:val="auto"/>
              </w:rPr>
            </w:pPr>
          </w:p>
        </w:tc>
      </w:tr>
      <w:tr>
        <w:trPr>
          <w:trHeight w:val="44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of the Management Board</w:t>
            </w:r>
          </w:p>
        </w:tc>
        <w:tc>
          <w:tcPr>
            <w:tcW w:w="7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Amendment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0" w:type="dxa"/>
            <w:vAlign w:val="bottom"/>
            <w:tcBorders>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Application no.</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 no. appl.</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Grant/Registration</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Publication of grant/</w:t>
            </w:r>
          </w:p>
        </w:tc>
        <w:tc>
          <w:tcPr>
            <w:tcW w:w="220" w:type="dxa"/>
            <w:vAlign w:val="bottom"/>
          </w:tcPr>
          <w:p>
            <w:pPr>
              <w:spacing w:after="0"/>
              <w:rPr>
                <w:sz w:val="20"/>
                <w:szCs w:val="20"/>
                <w:color w:val="auto"/>
              </w:rPr>
            </w:pPr>
          </w:p>
        </w:tc>
      </w:tr>
      <w:tr>
        <w:trPr>
          <w:trHeight w:val="262"/>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registration</w:t>
            </w:r>
          </w:p>
        </w:tc>
        <w:tc>
          <w:tcPr>
            <w:tcW w:w="220" w:type="dxa"/>
            <w:vAlign w:val="bottom"/>
          </w:tcPr>
          <w:p>
            <w:pPr>
              <w:spacing w:after="0"/>
              <w:rPr>
                <w:sz w:val="22"/>
                <w:szCs w:val="22"/>
                <w:color w:val="auto"/>
              </w:rPr>
            </w:pPr>
          </w:p>
        </w:tc>
      </w:tr>
      <w:tr>
        <w:trPr>
          <w:trHeight w:val="240"/>
        </w:trPr>
        <w:tc>
          <w:tcPr>
            <w:tcW w:w="260" w:type="dxa"/>
            <w:vAlign w:val="bottom"/>
            <w:tcBorders>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8"/>
        </w:trPr>
        <w:tc>
          <w:tcPr>
            <w:tcW w:w="2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Argentina</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20180103444</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AR113839 A1</w:t>
            </w:r>
          </w:p>
        </w:tc>
        <w:tc>
          <w:tcPr>
            <w:tcW w:w="21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1"/>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Taiwan</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107141872</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202017916</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I768156B</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6/21/2022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Uruguay</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37981</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WIPO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PCT/EP2018/082338</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WO 2019/101906 A1</w:t>
            </w: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2018371186</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2018371186</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AU2018371186B</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8/25/2022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Brazil</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BR 11 2020 010298 9</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BR 11 2020 010298-9</w:t>
            </w:r>
          </w:p>
        </w:tc>
        <w:tc>
          <w:tcPr>
            <w:tcW w:w="21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A2</w:t>
            </w: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Canada</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3,082,948</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China</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201880076162.X</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WO 2019/101906 A1</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CN111433196B</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06.06.2023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Macao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J/007322</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J/007322</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18.10.2023 / 26.09.2023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Colombia</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NC2020/0006205</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NC2020/0006205</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 42230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22.02.2024 / 15.04.2024</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Eurasia (EAPO)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 202091256</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EA43330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Armenia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AM/EA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Azerbaijan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AZ/EA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Belarus</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BY/EA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Kazakhstan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KG/EA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Kyrgyz Republic</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KZ/EA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Russian Federation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RU/EA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Tajikistan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TJ/EA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404"/>
        </w:trPr>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3"/>
        </w:trPr>
        <w:tc>
          <w:tcPr>
            <w:tcW w:w="260" w:type="dxa"/>
            <w:vAlign w:val="bottom"/>
            <w:tcBorders>
              <w:right w:val="single" w:sz="8" w:color="auto"/>
            </w:tcBorders>
          </w:tcPr>
          <w:p>
            <w:pPr>
              <w:spacing w:after="0"/>
              <w:rPr>
                <w:sz w:val="20"/>
                <w:szCs w:val="20"/>
                <w:color w:val="auto"/>
              </w:rPr>
            </w:pPr>
          </w:p>
        </w:tc>
        <w:tc>
          <w:tcPr>
            <w:tcW w:w="1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60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Application no.</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 no. appl.</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Grant/Registration</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Publication of grant/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registration</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60" w:type="dxa"/>
            <w:vAlign w:val="bottom"/>
            <w:tcBorders>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60" w:type="dxa"/>
            <w:vAlign w:val="bottom"/>
            <w:tcBorders>
              <w:right w:val="single" w:sz="8" w:color="auto"/>
            </w:tcBorders>
          </w:tcPr>
          <w:p>
            <w:pPr>
              <w:spacing w:after="0"/>
              <w:rPr>
                <w:sz w:val="20"/>
                <w:szCs w:val="20"/>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Turkmenistan</w:t>
            </w:r>
          </w:p>
        </w:tc>
        <w:tc>
          <w:tcPr>
            <w:tcW w:w="6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TM/EA 43330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5/15/2023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Europe (EPC)</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EP 18 818 992.2</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3713928</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EP3713928B1</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Albania</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AL/EP3713928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Austria</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AT/EP3713928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Bosnia</w:t>
            </w:r>
          </w:p>
        </w:tc>
        <w:tc>
          <w:tcPr>
            <w:tcW w:w="600" w:type="dxa"/>
            <w:vAlign w:val="bottom"/>
            <w:tcBorders>
              <w:right w:val="single" w:sz="8" w:color="auto"/>
            </w:tcBorders>
          </w:tcPr>
          <w:p>
            <w:pPr>
              <w:ind w:left="160"/>
              <w:spacing w:after="0" w:line="213" w:lineRule="exact"/>
              <w:rPr>
                <w:sz w:val="20"/>
                <w:szCs w:val="20"/>
                <w:color w:val="auto"/>
              </w:rPr>
            </w:pPr>
            <w:r>
              <w:rPr>
                <w:rFonts w:ascii="Times New Roman" w:cs="Times New Roman" w:eastAsia="Times New Roman" w:hAnsi="Times New Roman"/>
                <w:sz w:val="20"/>
                <w:szCs w:val="20"/>
                <w:color w:val="auto"/>
              </w:rPr>
              <w:t>and</w:t>
            </w: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BA/EP3713928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60" w:type="dxa"/>
            <w:vAlign w:val="bottom"/>
            <w:tcBorders>
              <w:right w:val="single" w:sz="8" w:color="auto"/>
            </w:tcBorders>
          </w:tcPr>
          <w:p>
            <w:pPr>
              <w:spacing w:after="0"/>
              <w:rPr>
                <w:sz w:val="11"/>
                <w:szCs w:val="11"/>
                <w:color w:val="auto"/>
              </w:rPr>
            </w:pP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Herzegovina</w:t>
            </w:r>
          </w:p>
        </w:tc>
        <w:tc>
          <w:tcPr>
            <w:tcW w:w="6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tcPr>
          <w:p>
            <w:pPr>
              <w:spacing w:after="0"/>
              <w:rPr>
                <w:sz w:val="11"/>
                <w:szCs w:val="11"/>
                <w:color w:val="auto"/>
              </w:rPr>
            </w:pPr>
          </w:p>
        </w:tc>
        <w:tc>
          <w:tcPr>
            <w:tcW w:w="2160" w:type="dxa"/>
            <w:vAlign w:val="bottom"/>
            <w:tcBorders>
              <w:right w:val="single" w:sz="8" w:color="auto"/>
            </w:tcBorders>
            <w:vMerge w:val="continue"/>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60" w:type="dxa"/>
            <w:vAlign w:val="bottom"/>
            <w:tcBorders>
              <w:right w:val="single" w:sz="8" w:color="auto"/>
            </w:tcBorders>
          </w:tcPr>
          <w:p>
            <w:pPr>
              <w:spacing w:after="0"/>
              <w:rPr>
                <w:sz w:val="10"/>
                <w:szCs w:val="10"/>
                <w:color w:val="auto"/>
              </w:rPr>
            </w:pPr>
          </w:p>
        </w:tc>
        <w:tc>
          <w:tcPr>
            <w:tcW w:w="1580" w:type="dxa"/>
            <w:vAlign w:val="bottom"/>
            <w:vMerge w:val="continue"/>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Belgium</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Bulgaria</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BG/EP3713928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Switzerland</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CH/EP3713928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Cyprus</w:t>
            </w:r>
          </w:p>
        </w:tc>
        <w:tc>
          <w:tcPr>
            <w:tcW w:w="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CY/EP3713928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(CY1125348T1)</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Czech Republic</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CZ/EP3713928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Germany</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Denmark</w:t>
            </w:r>
          </w:p>
        </w:tc>
        <w:tc>
          <w:tcPr>
            <w:tcW w:w="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DK/EP3713928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(DK3713928T3)</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Estonia</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Spain</w:t>
            </w:r>
          </w:p>
        </w:tc>
        <w:tc>
          <w:tcPr>
            <w:tcW w:w="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ES/EP3713928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(ES2908409T3)</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Finland</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FI/EP3713928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France</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FR/EP3713928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United Kingdom</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GB/EP3713928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Greece</w:t>
            </w:r>
          </w:p>
        </w:tc>
        <w:tc>
          <w:tcPr>
            <w:tcW w:w="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GR/EP3713928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(GR3110122)</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Hong Kong</w:t>
            </w:r>
          </w:p>
        </w:tc>
        <w:tc>
          <w:tcPr>
            <w:tcW w:w="60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HK 62020021917.3</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HK40031700</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HK40031700</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14.04.2022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5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Croatia</w:t>
            </w:r>
          </w:p>
        </w:tc>
        <w:tc>
          <w:tcPr>
            <w:tcW w:w="6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HR/EP3713928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(HRP20220429)</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5"/>
        </w:trPr>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3"/>
        </w:trPr>
        <w:tc>
          <w:tcPr>
            <w:tcW w:w="260" w:type="dxa"/>
            <w:vAlign w:val="bottom"/>
            <w:tcBorders>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Application no.</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 no. appl.</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Grant/Registration</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Publication of grant/</w:t>
            </w:r>
          </w:p>
        </w:tc>
        <w:tc>
          <w:tcPr>
            <w:tcW w:w="220" w:type="dxa"/>
            <w:vAlign w:val="bottom"/>
          </w:tcPr>
          <w:p>
            <w:pPr>
              <w:spacing w:after="0"/>
              <w:rPr>
                <w:sz w:val="20"/>
                <w:szCs w:val="20"/>
                <w:color w:val="auto"/>
              </w:rPr>
            </w:pPr>
          </w:p>
        </w:tc>
      </w:tr>
      <w:tr>
        <w:trPr>
          <w:trHeight w:val="262"/>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registration</w:t>
            </w:r>
          </w:p>
        </w:tc>
        <w:tc>
          <w:tcPr>
            <w:tcW w:w="220" w:type="dxa"/>
            <w:vAlign w:val="bottom"/>
          </w:tcPr>
          <w:p>
            <w:pPr>
              <w:spacing w:after="0"/>
              <w:rPr>
                <w:sz w:val="22"/>
                <w:szCs w:val="22"/>
                <w:color w:val="auto"/>
              </w:rPr>
            </w:pPr>
          </w:p>
        </w:tc>
      </w:tr>
      <w:tr>
        <w:trPr>
          <w:trHeight w:val="240"/>
        </w:trPr>
        <w:tc>
          <w:tcPr>
            <w:tcW w:w="260" w:type="dxa"/>
            <w:vAlign w:val="bottom"/>
            <w:tcBorders>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7"/>
        </w:trPr>
        <w:tc>
          <w:tcPr>
            <w:tcW w:w="2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0"/>
                <w:szCs w:val="20"/>
                <w:color w:val="auto"/>
              </w:rPr>
              <w:t>Hungary</w:t>
            </w:r>
          </w:p>
        </w:tc>
        <w:tc>
          <w:tcPr>
            <w:tcW w:w="214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0"/>
                <w:szCs w:val="20"/>
                <w:color w:val="auto"/>
              </w:rPr>
              <w:t>HU/EP3713928</w:t>
            </w:r>
          </w:p>
        </w:tc>
        <w:tc>
          <w:tcPr>
            <w:tcW w:w="214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7"/>
                <w:szCs w:val="17"/>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(HU/E058217)</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Ireland</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Iceland</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IS/EP3713928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Italy</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IT/EP3713928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Liechtenstein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LI/EP3713928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Lithuania</w:t>
            </w:r>
          </w:p>
        </w:tc>
        <w:tc>
          <w:tcPr>
            <w:tcW w:w="21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LT/EP3713928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(LT3713928T)</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Luxembourg</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LU/EP3713928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Latvia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LV/EP3713928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Morocco</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MA50804B1</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Monaco</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MC/EP3713928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Montenegro</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North Macedonia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MK/EP3713928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Malta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MT/EP3713928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Netherlands</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NL/EP3713928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Norway</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Poland</w:t>
            </w:r>
          </w:p>
        </w:tc>
        <w:tc>
          <w:tcPr>
            <w:tcW w:w="21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PL/EP3713928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(PL3713928T3)</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Portugal</w:t>
            </w:r>
          </w:p>
        </w:tc>
        <w:tc>
          <w:tcPr>
            <w:tcW w:w="21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PT/EP3713928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(PT3713928T)</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Romania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RO/EP3713928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Serbia</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RS63087B1</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Sweden</w:t>
            </w: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404"/>
        </w:trPr>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3"/>
        </w:trPr>
        <w:tc>
          <w:tcPr>
            <w:tcW w:w="260" w:type="dxa"/>
            <w:vAlign w:val="bottom"/>
            <w:tcBorders>
              <w:right w:val="single" w:sz="8" w:color="auto"/>
            </w:tcBorders>
          </w:tcPr>
          <w:p>
            <w:pPr>
              <w:spacing w:after="0"/>
              <w:rPr>
                <w:sz w:val="20"/>
                <w:szCs w:val="20"/>
                <w:color w:val="auto"/>
              </w:rPr>
            </w:pPr>
          </w:p>
        </w:tc>
        <w:tc>
          <w:tcPr>
            <w:tcW w:w="1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700" w:type="dxa"/>
            <w:vAlign w:val="bottom"/>
            <w:tcBorders>
              <w:top w:val="single" w:sz="8" w:color="auto"/>
            </w:tcBorders>
          </w:tcPr>
          <w:p>
            <w:pPr>
              <w:spacing w:after="0"/>
              <w:rPr>
                <w:sz w:val="20"/>
                <w:szCs w:val="20"/>
                <w:color w:val="auto"/>
              </w:rPr>
            </w:pPr>
          </w:p>
        </w:tc>
        <w:tc>
          <w:tcPr>
            <w:tcW w:w="46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Application no.</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 no. appl.</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Grant/Registration</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Publication of grant/</w:t>
            </w:r>
          </w:p>
        </w:tc>
        <w:tc>
          <w:tcPr>
            <w:tcW w:w="220" w:type="dxa"/>
            <w:vAlign w:val="bottom"/>
          </w:tcPr>
          <w:p>
            <w:pPr>
              <w:spacing w:after="0"/>
              <w:rPr>
                <w:sz w:val="20"/>
                <w:szCs w:val="20"/>
                <w:color w:val="auto"/>
              </w:rPr>
            </w:pPr>
          </w:p>
        </w:tc>
      </w:tr>
      <w:tr>
        <w:trPr>
          <w:trHeight w:val="262"/>
        </w:trPr>
        <w:tc>
          <w:tcPr>
            <w:tcW w:w="26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registration</w:t>
            </w:r>
          </w:p>
        </w:tc>
        <w:tc>
          <w:tcPr>
            <w:tcW w:w="220" w:type="dxa"/>
            <w:vAlign w:val="bottom"/>
          </w:tcPr>
          <w:p>
            <w:pPr>
              <w:spacing w:after="0"/>
              <w:rPr>
                <w:sz w:val="22"/>
                <w:szCs w:val="22"/>
                <w:color w:val="auto"/>
              </w:rPr>
            </w:pPr>
          </w:p>
        </w:tc>
      </w:tr>
      <w:tr>
        <w:trPr>
          <w:trHeight w:val="240"/>
        </w:trPr>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7"/>
        </w:trPr>
        <w:tc>
          <w:tcPr>
            <w:tcW w:w="260" w:type="dxa"/>
            <w:vAlign w:val="bottom"/>
            <w:tcBorders>
              <w:right w:val="single" w:sz="8" w:color="auto"/>
            </w:tcBorders>
          </w:tcPr>
          <w:p>
            <w:pPr>
              <w:spacing w:after="0"/>
              <w:rPr>
                <w:sz w:val="17"/>
                <w:szCs w:val="17"/>
                <w:color w:val="auto"/>
              </w:rPr>
            </w:pPr>
          </w:p>
        </w:tc>
        <w:tc>
          <w:tcPr>
            <w:tcW w:w="1000" w:type="dxa"/>
            <w:vAlign w:val="bottom"/>
          </w:tcPr>
          <w:p>
            <w:pPr>
              <w:ind w:left="80"/>
              <w:spacing w:after="0" w:line="197" w:lineRule="exact"/>
              <w:rPr>
                <w:sz w:val="20"/>
                <w:szCs w:val="20"/>
                <w:color w:val="auto"/>
              </w:rPr>
            </w:pPr>
            <w:r>
              <w:rPr>
                <w:rFonts w:ascii="Times New Roman" w:cs="Times New Roman" w:eastAsia="Times New Roman" w:hAnsi="Times New Roman"/>
                <w:sz w:val="20"/>
                <w:szCs w:val="20"/>
                <w:color w:val="auto"/>
              </w:rPr>
              <w:t>Slovenia</w:t>
            </w:r>
          </w:p>
        </w:tc>
        <w:tc>
          <w:tcPr>
            <w:tcW w:w="70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0"/>
                <w:szCs w:val="20"/>
                <w:color w:val="auto"/>
              </w:rPr>
              <w:t>SI/EP3713928</w:t>
            </w:r>
          </w:p>
        </w:tc>
        <w:tc>
          <w:tcPr>
            <w:tcW w:w="214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7"/>
                <w:szCs w:val="17"/>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(SI3713928T1)</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Slovakia</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SK/EP3713928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70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20"/>
                <w:szCs w:val="20"/>
                <w:color w:val="auto"/>
              </w:rPr>
              <w:t>San Marino</w:t>
            </w:r>
          </w:p>
        </w:tc>
        <w:tc>
          <w:tcPr>
            <w:tcW w:w="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SM/EP3713928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(SMT20220154)</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Tunisia</w:t>
            </w: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EP3713928</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(TN/P/2022/0094)</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Türkiye</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TR/EP3713928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Europe (EPC)</w:t>
            </w: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21 213 719.4</w:t>
            </w: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3998259</w:t>
            </w: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Indonesia</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P00202004204</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IDP000082558</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08/18/2022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Israel</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274883</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IL274883</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10/2/2023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India</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202017023470</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IN419052</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1/24/2023</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Japan</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2020-545875</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JP7164619</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11/1/2022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70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Republic of Korea</w:t>
            </w: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10-2020-7017972</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KR10-2413321</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6/22/2022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Mexico</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MX/a/2020/005287</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MX398255</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12/8/2022</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Nigeria</w:t>
            </w: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NG/PT/C/2020/4568</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WO 2019/101906 A1</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RP</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11/22/2022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NG/PT/C/2020/4568</w:t>
            </w: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700" w:type="dxa"/>
            <w:vAlign w:val="bottom"/>
            <w:tcBorders>
              <w:bottom w:val="single" w:sz="8" w:color="auto"/>
            </w:tcBorders>
            <w:gridSpan w:val="2"/>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New Zealand</w:t>
            </w: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764304</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NZ764304</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5/31/2024 / 5/24/2024</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Philippines</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1/2020/550683</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Singapore</w:t>
            </w:r>
          </w:p>
        </w:tc>
        <w:tc>
          <w:tcPr>
            <w:tcW w:w="70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11202004653T</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SG11202004653T</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8/27/2024</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United</w:t>
            </w:r>
          </w:p>
        </w:tc>
        <w:tc>
          <w:tcPr>
            <w:tcW w:w="7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States</w:t>
            </w:r>
          </w:p>
        </w:tc>
        <w:tc>
          <w:tcPr>
            <w:tcW w:w="460" w:type="dxa"/>
            <w:vAlign w:val="bottom"/>
            <w:tcBorders>
              <w:right w:val="single" w:sz="8" w:color="auto"/>
            </w:tcBorders>
          </w:tcPr>
          <w:p>
            <w:pPr>
              <w:ind w:left="160"/>
              <w:spacing w:after="0" w:line="213" w:lineRule="exact"/>
              <w:rPr>
                <w:sz w:val="20"/>
                <w:szCs w:val="20"/>
                <w:color w:val="auto"/>
              </w:rPr>
            </w:pPr>
            <w:r>
              <w:rPr>
                <w:rFonts w:ascii="Times New Roman" w:cs="Times New Roman" w:eastAsia="Times New Roman" w:hAnsi="Times New Roman"/>
                <w:sz w:val="20"/>
                <w:szCs w:val="20"/>
                <w:color w:val="auto"/>
              </w:rPr>
              <w:t>of</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16/861,131</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US 2020/0255405 A1</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US10,836,748B2</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11/17/2020</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America</w:t>
            </w: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3"/>
        </w:trPr>
        <w:tc>
          <w:tcPr>
            <w:tcW w:w="2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100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United</w:t>
            </w:r>
          </w:p>
        </w:tc>
        <w:tc>
          <w:tcPr>
            <w:tcW w:w="70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States</w:t>
            </w:r>
          </w:p>
        </w:tc>
        <w:tc>
          <w:tcPr>
            <w:tcW w:w="460" w:type="dxa"/>
            <w:vAlign w:val="bottom"/>
            <w:tcBorders>
              <w:right w:val="single" w:sz="8" w:color="auto"/>
            </w:tcBorders>
          </w:tcPr>
          <w:p>
            <w:pPr>
              <w:ind w:left="160"/>
              <w:spacing w:after="0" w:line="213" w:lineRule="exact"/>
              <w:rPr>
                <w:sz w:val="20"/>
                <w:szCs w:val="20"/>
                <w:color w:val="auto"/>
              </w:rPr>
            </w:pPr>
            <w:r>
              <w:rPr>
                <w:rFonts w:ascii="Times New Roman" w:cs="Times New Roman" w:eastAsia="Times New Roman" w:hAnsi="Times New Roman"/>
                <w:sz w:val="20"/>
                <w:szCs w:val="20"/>
                <w:color w:val="auto"/>
              </w:rPr>
              <w:t>of</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17/033,347</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US 2021/0017158 A1</w:t>
            </w:r>
          </w:p>
        </w:tc>
        <w:tc>
          <w:tcPr>
            <w:tcW w:w="2160" w:type="dxa"/>
            <w:vAlign w:val="bottom"/>
            <w:tcBorders>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US11,261,173B2</w:t>
            </w:r>
          </w:p>
        </w:tc>
        <w:tc>
          <w:tcPr>
            <w:tcW w:w="2140" w:type="dxa"/>
            <w:vAlign w:val="bottom"/>
            <w:tcBorders>
              <w:right w:val="single" w:sz="8" w:color="auto"/>
            </w:tcBorders>
          </w:tcPr>
          <w:p>
            <w:pPr>
              <w:ind w:left="80"/>
              <w:spacing w:after="0" w:line="213" w:lineRule="exact"/>
              <w:rPr>
                <w:sz w:val="20"/>
                <w:szCs w:val="20"/>
                <w:color w:val="auto"/>
              </w:rPr>
            </w:pPr>
            <w:r>
              <w:rPr>
                <w:rFonts w:ascii="Times New Roman" w:cs="Times New Roman" w:eastAsia="Times New Roman" w:hAnsi="Times New Roman"/>
                <w:sz w:val="20"/>
                <w:szCs w:val="20"/>
                <w:color w:val="auto"/>
              </w:rPr>
              <w:t>3/1/2022</w:t>
            </w:r>
          </w:p>
        </w:tc>
        <w:tc>
          <w:tcPr>
            <w:tcW w:w="220" w:type="dxa"/>
            <w:vAlign w:val="bottom"/>
          </w:tcPr>
          <w:p>
            <w:pPr>
              <w:spacing w:after="0"/>
              <w:rPr>
                <w:sz w:val="18"/>
                <w:szCs w:val="18"/>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America</w:t>
            </w:r>
          </w:p>
        </w:tc>
        <w:tc>
          <w:tcPr>
            <w:tcW w:w="7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404"/>
        </w:trPr>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3"/>
        </w:trPr>
        <w:tc>
          <w:tcPr>
            <w:tcW w:w="260" w:type="dxa"/>
            <w:vAlign w:val="bottom"/>
            <w:tcBorders>
              <w:right w:val="single" w:sz="8" w:color="auto"/>
            </w:tcBorders>
          </w:tcPr>
          <w:p>
            <w:pPr>
              <w:spacing w:after="0"/>
              <w:rPr>
                <w:sz w:val="20"/>
                <w:szCs w:val="20"/>
                <w:color w:val="auto"/>
              </w:rPr>
            </w:pPr>
          </w:p>
        </w:tc>
        <w:tc>
          <w:tcPr>
            <w:tcW w:w="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Country</w:t>
            </w:r>
          </w:p>
        </w:tc>
        <w:tc>
          <w:tcPr>
            <w:tcW w:w="760" w:type="dxa"/>
            <w:vAlign w:val="bottom"/>
            <w:tcBorders>
              <w:top w:val="single" w:sz="8" w:color="auto"/>
            </w:tcBorders>
          </w:tcPr>
          <w:p>
            <w:pPr>
              <w:spacing w:after="0"/>
              <w:rPr>
                <w:sz w:val="20"/>
                <w:szCs w:val="20"/>
                <w:color w:val="auto"/>
              </w:rPr>
            </w:pPr>
          </w:p>
        </w:tc>
        <w:tc>
          <w:tcPr>
            <w:tcW w:w="52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Application no.</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Publ. no. appl.</w:t>
            </w:r>
          </w:p>
        </w:tc>
        <w:tc>
          <w:tcPr>
            <w:tcW w:w="21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Grant/Registration</w:t>
            </w:r>
          </w:p>
        </w:tc>
        <w:tc>
          <w:tcPr>
            <w:tcW w:w="2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Publication of grant/</w:t>
            </w:r>
          </w:p>
        </w:tc>
        <w:tc>
          <w:tcPr>
            <w:tcW w:w="220" w:type="dxa"/>
            <w:vAlign w:val="bottom"/>
          </w:tcPr>
          <w:p>
            <w:pPr>
              <w:spacing w:after="0"/>
              <w:rPr>
                <w:sz w:val="20"/>
                <w:szCs w:val="20"/>
                <w:color w:val="auto"/>
              </w:rPr>
            </w:pPr>
          </w:p>
        </w:tc>
      </w:tr>
      <w:tr>
        <w:trPr>
          <w:trHeight w:val="262"/>
        </w:trPr>
        <w:tc>
          <w:tcPr>
            <w:tcW w:w="260" w:type="dxa"/>
            <w:vAlign w:val="bottom"/>
            <w:tcBorders>
              <w:righ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registration</w:t>
            </w:r>
          </w:p>
        </w:tc>
        <w:tc>
          <w:tcPr>
            <w:tcW w:w="220" w:type="dxa"/>
            <w:vAlign w:val="bottom"/>
          </w:tcPr>
          <w:p>
            <w:pPr>
              <w:spacing w:after="0"/>
              <w:rPr>
                <w:sz w:val="22"/>
                <w:szCs w:val="22"/>
                <w:color w:val="auto"/>
              </w:rPr>
            </w:pPr>
          </w:p>
        </w:tc>
      </w:tr>
      <w:tr>
        <w:trPr>
          <w:trHeight w:val="240"/>
        </w:trPr>
        <w:tc>
          <w:tcPr>
            <w:tcW w:w="260" w:type="dxa"/>
            <w:vAlign w:val="bottom"/>
            <w:tcBorders>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7"/>
        </w:trPr>
        <w:tc>
          <w:tcPr>
            <w:tcW w:w="260" w:type="dxa"/>
            <w:vAlign w:val="bottom"/>
            <w:tcBorders>
              <w:right w:val="single" w:sz="8" w:color="auto"/>
            </w:tcBorders>
          </w:tcPr>
          <w:p>
            <w:pPr>
              <w:spacing w:after="0"/>
              <w:rPr>
                <w:sz w:val="17"/>
                <w:szCs w:val="17"/>
                <w:color w:val="auto"/>
              </w:rPr>
            </w:pPr>
          </w:p>
        </w:tc>
        <w:tc>
          <w:tcPr>
            <w:tcW w:w="900" w:type="dxa"/>
            <w:vAlign w:val="bottom"/>
          </w:tcPr>
          <w:p>
            <w:pPr>
              <w:ind w:left="80"/>
              <w:spacing w:after="0" w:line="197" w:lineRule="exact"/>
              <w:rPr>
                <w:sz w:val="20"/>
                <w:szCs w:val="20"/>
                <w:color w:val="auto"/>
              </w:rPr>
            </w:pPr>
            <w:r>
              <w:rPr>
                <w:rFonts w:ascii="Times New Roman" w:cs="Times New Roman" w:eastAsia="Times New Roman" w:hAnsi="Times New Roman"/>
                <w:sz w:val="20"/>
                <w:szCs w:val="20"/>
                <w:color w:val="auto"/>
              </w:rPr>
              <w:t>United</w:t>
            </w:r>
          </w:p>
        </w:tc>
        <w:tc>
          <w:tcPr>
            <w:tcW w:w="760" w:type="dxa"/>
            <w:vAlign w:val="bottom"/>
          </w:tcPr>
          <w:p>
            <w:pPr>
              <w:ind w:left="100"/>
              <w:spacing w:after="0" w:line="197" w:lineRule="exact"/>
              <w:rPr>
                <w:sz w:val="20"/>
                <w:szCs w:val="20"/>
                <w:color w:val="auto"/>
              </w:rPr>
            </w:pPr>
            <w:r>
              <w:rPr>
                <w:rFonts w:ascii="Times New Roman" w:cs="Times New Roman" w:eastAsia="Times New Roman" w:hAnsi="Times New Roman"/>
                <w:sz w:val="20"/>
                <w:szCs w:val="20"/>
                <w:color w:val="auto"/>
              </w:rPr>
              <w:t>States</w:t>
            </w:r>
          </w:p>
        </w:tc>
        <w:tc>
          <w:tcPr>
            <w:tcW w:w="520" w:type="dxa"/>
            <w:vAlign w:val="bottom"/>
            <w:tcBorders>
              <w:right w:val="single" w:sz="8" w:color="auto"/>
            </w:tcBorders>
          </w:tcPr>
          <w:p>
            <w:pPr>
              <w:ind w:left="200"/>
              <w:spacing w:after="0" w:line="197" w:lineRule="exact"/>
              <w:rPr>
                <w:sz w:val="20"/>
                <w:szCs w:val="20"/>
                <w:color w:val="auto"/>
              </w:rPr>
            </w:pPr>
            <w:r>
              <w:rPr>
                <w:rFonts w:ascii="Times New Roman" w:cs="Times New Roman" w:eastAsia="Times New Roman" w:hAnsi="Times New Roman"/>
                <w:sz w:val="20"/>
                <w:szCs w:val="20"/>
                <w:color w:val="auto"/>
              </w:rPr>
              <w:t>of</w:t>
            </w:r>
          </w:p>
        </w:tc>
        <w:tc>
          <w:tcPr>
            <w:tcW w:w="2120" w:type="dxa"/>
            <w:vAlign w:val="bottom"/>
            <w:tcBorders>
              <w:right w:val="single" w:sz="8" w:color="auto"/>
            </w:tcBorders>
          </w:tcPr>
          <w:p>
            <w:pPr>
              <w:ind w:left="60"/>
              <w:spacing w:after="0" w:line="197" w:lineRule="exact"/>
              <w:rPr>
                <w:sz w:val="20"/>
                <w:szCs w:val="20"/>
                <w:color w:val="auto"/>
              </w:rPr>
            </w:pPr>
            <w:r>
              <w:rPr>
                <w:rFonts w:ascii="Times New Roman" w:cs="Times New Roman" w:eastAsia="Times New Roman" w:hAnsi="Times New Roman"/>
                <w:sz w:val="20"/>
                <w:szCs w:val="20"/>
                <w:color w:val="auto"/>
              </w:rPr>
              <w:t>17/578,161</w:t>
            </w:r>
          </w:p>
        </w:tc>
        <w:tc>
          <w:tcPr>
            <w:tcW w:w="216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0"/>
                <w:szCs w:val="20"/>
                <w:color w:val="auto"/>
              </w:rPr>
              <w:t>US 2022/0135543 A1</w:t>
            </w:r>
          </w:p>
        </w:tc>
        <w:tc>
          <w:tcPr>
            <w:tcW w:w="216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20"/>
                <w:szCs w:val="20"/>
                <w:color w:val="auto"/>
              </w:rPr>
              <w:t>US11,820,756B2</w:t>
            </w:r>
          </w:p>
        </w:tc>
        <w:tc>
          <w:tcPr>
            <w:tcW w:w="214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0"/>
                <w:szCs w:val="20"/>
                <w:color w:val="auto"/>
              </w:rPr>
              <w:t>11/21/2023</w:t>
            </w:r>
          </w:p>
        </w:tc>
        <w:tc>
          <w:tcPr>
            <w:tcW w:w="220" w:type="dxa"/>
            <w:vAlign w:val="bottom"/>
          </w:tcPr>
          <w:p>
            <w:pPr>
              <w:spacing w:after="0"/>
              <w:rPr>
                <w:sz w:val="17"/>
                <w:szCs w:val="17"/>
                <w:color w:val="auto"/>
              </w:rPr>
            </w:pPr>
          </w:p>
        </w:tc>
      </w:tr>
      <w:tr>
        <w:trPr>
          <w:trHeight w:val="258"/>
        </w:trPr>
        <w:tc>
          <w:tcPr>
            <w:tcW w:w="260" w:type="dxa"/>
            <w:vAlign w:val="bottom"/>
            <w:tcBorders>
              <w:right w:val="single" w:sz="8" w:color="auto"/>
            </w:tcBorders>
          </w:tcPr>
          <w:p>
            <w:pPr>
              <w:spacing w:after="0"/>
              <w:rPr>
                <w:sz w:val="22"/>
                <w:szCs w:val="22"/>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America</w:t>
            </w:r>
          </w:p>
        </w:tc>
        <w:tc>
          <w:tcPr>
            <w:tcW w:w="76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24"/>
        </w:trPr>
        <w:tc>
          <w:tcPr>
            <w:tcW w:w="260" w:type="dxa"/>
            <w:vAlign w:val="bottom"/>
            <w:tcBorders>
              <w:right w:val="single" w:sz="8" w:color="auto"/>
            </w:tcBorders>
          </w:tcPr>
          <w:p>
            <w:pPr>
              <w:spacing w:after="0"/>
              <w:rPr>
                <w:sz w:val="19"/>
                <w:szCs w:val="19"/>
                <w:color w:val="auto"/>
              </w:rPr>
            </w:pPr>
          </w:p>
        </w:tc>
        <w:tc>
          <w:tcPr>
            <w:tcW w:w="166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12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260" w:type="dxa"/>
            <w:vAlign w:val="bottom"/>
            <w:tcBorders>
              <w:right w:val="single" w:sz="8" w:color="auto"/>
            </w:tcBorders>
          </w:tcPr>
          <w:p>
            <w:pPr>
              <w:spacing w:after="0"/>
              <w:rPr>
                <w:sz w:val="21"/>
                <w:szCs w:val="21"/>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South Africa</w:t>
            </w:r>
          </w:p>
        </w:tc>
        <w:tc>
          <w:tcPr>
            <w:tcW w:w="5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2020/03039</w:t>
            </w: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ZA2020/03039</w:t>
            </w:r>
          </w:p>
        </w:tc>
        <w:tc>
          <w:tcPr>
            <w:tcW w:w="2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11/24/2021</w:t>
            </w:r>
          </w:p>
        </w:tc>
        <w:tc>
          <w:tcPr>
            <w:tcW w:w="220" w:type="dxa"/>
            <w:vAlign w:val="bottom"/>
          </w:tcPr>
          <w:p>
            <w:pPr>
              <w:spacing w:after="0"/>
              <w:rPr>
                <w:sz w:val="21"/>
                <w:szCs w:val="2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404"/>
        </w:trPr>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9"/>
    </w:lvl>
  </w:abstractNum>
  <w:abstractNum w:abstractNumId="1">
    <w:nsid w:val="625558EC"/>
    <w:multiLevelType w:val="hybridMultilevel"/>
    <w:lvl w:ilvl="0">
      <w:lvlJc w:val="left"/>
      <w:lvlText w:val="%1."/>
      <w:numFmt w:val="upperLetter"/>
      <w:start w:val="35"/>
    </w:lvl>
  </w:abstractNum>
  <w:abstractNum w:abstractNumId="2">
    <w:nsid w:val="238E1F29"/>
    <w:multiLevelType w:val="hybridMultilevel"/>
    <w:lvl w:ilvl="0">
      <w:lvlJc w:val="left"/>
      <w:lvlText w:val="%1."/>
      <w:numFmt w:val="upperLetter"/>
      <w:start w:val="61"/>
    </w:lvl>
  </w:abstractNum>
  <w:abstractNum w:abstractNumId="3">
    <w:nsid w:val="46E87CCD"/>
    <w:multiLevelType w:val="hybridMultilevel"/>
    <w:lvl w:ilvl="0">
      <w:lvlJc w:val="left"/>
      <w:lvlText w:val="%1."/>
      <w:numFmt w:val="upperLetter"/>
      <w:start w:val="22"/>
    </w:lvl>
  </w:abstractNum>
  <w:abstractNum w:abstractNumId="4">
    <w:nsid w:val="3D1B58BA"/>
    <w:multiLevelType w:val="hybridMultilevel"/>
    <w:lvl w:ilvl="0">
      <w:lvlJc w:val="left"/>
      <w:lvlText w:val="\ldblquote"/>
      <w:numFmt w:val="bullet"/>
      <w:start w:val="1"/>
    </w:lvl>
  </w:abstractNum>
  <w:abstractNum w:abstractNumId="5">
    <w:nsid w:val="507ED7AB"/>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2024-09-23T05:57:37Z</dcterms:created>
  <dcterms:modified xsi:type="dcterms:W3CDTF">2024-09-23T05:57:37Z</dcterms:modified>
</cp:coreProperties>
</file>