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141605</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173355</wp:posOffset>
            </wp:positionV>
            <wp:extent cx="332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April 2023</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156845</wp:posOffset>
            </wp:positionV>
            <wp:extent cx="332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163195</wp:posOffset>
            </wp:positionV>
            <wp:extent cx="332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ind w:left="5080"/>
        <w:spacing w:after="0"/>
        <w:rPr>
          <w:sz w:val="20"/>
          <w:szCs w:val="20"/>
          <w:color w:val="auto"/>
        </w:rPr>
      </w:pPr>
      <w:r>
        <w:rPr>
          <w:rFonts w:ascii="Arial" w:cs="Arial" w:eastAsia="Arial" w:hAnsi="Arial"/>
          <w:sz w:val="14"/>
          <w:szCs w:val="14"/>
          <w:b w:val="1"/>
          <w:bCs w:val="1"/>
          <w:color w:val="auto"/>
        </w:rPr>
        <w:t>2333 BK Leiden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The Netherlands</w:t>
      </w: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6" w:lineRule="exact"/>
        <w:rPr>
          <w:sz w:val="24"/>
          <w:szCs w:val="24"/>
          <w:color w:val="auto"/>
        </w:rPr>
      </w:pPr>
    </w:p>
    <w:p>
      <w:pPr>
        <w:ind w:right="520"/>
        <w:spacing w:after="0" w:line="246"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0"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April 5, 2023, Pharvaris N.V. reported its financial results for the fourth quarter and fiscal year ended December 31, 2022. A copy of the press release is attached hereto as Exhibit 99.1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April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74"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50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5, 2023</w:t>
            </w:r>
          </w:p>
        </w:tc>
        <w:tc>
          <w:tcPr>
            <w:tcW w:w="28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Berndt Modig</w:t>
            </w:r>
          </w:p>
        </w:tc>
      </w:tr>
      <w:tr>
        <w:trPr>
          <w:trHeight w:val="234"/>
        </w:trPr>
        <w:tc>
          <w:tcPr>
            <w:tcW w:w="3540" w:type="dxa"/>
            <w:vAlign w:val="bottom"/>
          </w:tcPr>
          <w:p>
            <w:pPr>
              <w:spacing w:after="0"/>
              <w:rPr>
                <w:sz w:val="20"/>
                <w:szCs w:val="20"/>
                <w:color w:val="auto"/>
              </w:rPr>
            </w:pPr>
          </w:p>
        </w:tc>
        <w:tc>
          <w:tcPr>
            <w:tcW w:w="28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Berndt Modig</w:t>
            </w:r>
          </w:p>
        </w:tc>
      </w:tr>
      <w:tr>
        <w:trPr>
          <w:trHeight w:val="238"/>
        </w:trPr>
        <w:tc>
          <w:tcPr>
            <w:tcW w:w="3540" w:type="dxa"/>
            <w:vAlign w:val="bottom"/>
          </w:tcPr>
          <w:p>
            <w:pPr>
              <w:spacing w:after="0"/>
              <w:rPr>
                <w:sz w:val="20"/>
                <w:szCs w:val="20"/>
                <w:color w:val="auto"/>
              </w:rPr>
            </w:pPr>
          </w:p>
        </w:tc>
        <w:tc>
          <w:tcPr>
            <w:tcW w:w="28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0"/>
        </w:trPr>
        <w:tc>
          <w:tcPr>
            <w:tcW w:w="35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4923155</wp:posOffset>
            </wp:positionH>
            <wp:positionV relativeFrom="page">
              <wp:posOffset>88900</wp:posOffset>
            </wp:positionV>
            <wp:extent cx="239141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391410" cy="351155"/>
                    </a:xfrm>
                    <a:prstGeom prst="rect">
                      <a:avLst/>
                    </a:prstGeom>
                    <a:noFill/>
                  </pic:spPr>
                </pic:pic>
              </a:graphicData>
            </a:graphic>
          </wp:anchor>
        </w:drawing>
        <w:t>Exhibit 99.1</w:t>
      </w:r>
    </w:p>
    <w:p>
      <w:pPr>
        <w:spacing w:after="0" w:line="4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5"/>
          <w:szCs w:val="25"/>
          <w:b w:val="1"/>
          <w:bCs w:val="1"/>
          <w:color w:val="auto"/>
        </w:rPr>
        <w:t>Pharvaris Reports Fourth Quarter and Full Year 2022 Financial Results and Provides Business Update</w:t>
      </w:r>
    </w:p>
    <w:p>
      <w:pPr>
        <w:spacing w:after="0" w:line="4" w:lineRule="exact"/>
        <w:rPr>
          <w:sz w:val="20"/>
          <w:szCs w:val="20"/>
          <w:color w:val="auto"/>
        </w:rPr>
      </w:pPr>
    </w:p>
    <w:p>
      <w:pPr>
        <w:ind w:left="760" w:right="60" w:hanging="378"/>
        <w:spacing w:after="0" w:line="23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from CHAPTER-1, a proof-of-concept Phase 2 study of PHVS416 for the prophylactic treatment of HAE, anticipated in 2H2023</w:t>
      </w:r>
    </w:p>
    <w:p>
      <w:pPr>
        <w:ind w:left="760" w:right="600" w:hanging="378"/>
        <w:spacing w:after="0" w:line="23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26-week non-clinical toxicology study intended to address the clinical holds in the U.S. initiated; submission of study results anticipated by YE2023</w:t>
      </w: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deucrictibant as the global nonproprietary name for PHA121</w:t>
      </w: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Executing from a strong financial position with cash and cash equivalents of €162 million as of December 31, 2022</w:t>
      </w:r>
    </w:p>
    <w:p>
      <w:pPr>
        <w:spacing w:after="0" w:line="20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Zug, Switzerland, April 5, 2023 </w:t>
      </w:r>
      <w:r>
        <w:rPr>
          <w:rFonts w:ascii="Times New Roman" w:cs="Times New Roman" w:eastAsia="Times New Roman" w:hAnsi="Times New Roman"/>
          <w:sz w:val="20"/>
          <w:szCs w:val="20"/>
          <w:color w:val="auto"/>
        </w:rPr>
        <w:t>– Pharvaris (Nasdaq: PHVS), a clinical-stage company developing novel, oral bradykinin-B2-receptor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antagonists to treat and prevent hereditary angioedema (HAE) attacks, today reported financial results for the fourth quarter and year ended December 31, 2022 and provided a business update.</w:t>
      </w:r>
    </w:p>
    <w:p>
      <w:pPr>
        <w:spacing w:after="0" w:line="18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9"/>
          <w:szCs w:val="19"/>
          <w:color w:val="auto"/>
        </w:rPr>
        <w:t>“Our first in-patient data readout of deucrictibant in people living with HAE was a significant milestone for the company. The positive outcome of the RAPIDe-1 clinical study, announced in December 2022, demonstrates the potential of PHVS416 to offer meaningful improvement over the standard of care for people living with HAE in their on-demand treatment of attacks. With the non-clinical study underway, we believe we have a path forward to address the remaining clinical holds in the U.S.,” said Berndt Modig, Chief Executive Officer of Pharvaris. “We anticipate important milestones this year, including the announcement of top-line Phase 2 CHAPTER-1 data, the activation of our first ex-U.S. clinical sites for a Phase 3 on-demand study, and the submission of our non-clinical toxicology data to the FDA. The unique clinical insights of the Pharvaris team and our strong financial position have enabled us to effectively execute toward our goals; we will continue to operate with a disciplined approach as we aspire to bring best-in-class oral therapies to the HAE community.”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Updates</w:t>
      </w:r>
    </w:p>
    <w:p>
      <w:pPr>
        <w:spacing w:after="0" w:line="26" w:lineRule="exact"/>
        <w:rPr>
          <w:sz w:val="20"/>
          <w:szCs w:val="20"/>
          <w:color w:val="auto"/>
        </w:rPr>
      </w:pPr>
    </w:p>
    <w:p>
      <w:pPr>
        <w:ind w:left="760" w:right="120" w:hanging="378"/>
        <w:spacing w:after="0" w:line="241"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Top-line data from CHAPTER-1, a global Phase 2 study of PHVS416 for the prophylactic treatment of HAE attacks, anticipated in 2H2023. </w:t>
      </w:r>
      <w:r>
        <w:rPr>
          <w:rFonts w:ascii="Times New Roman" w:cs="Times New Roman" w:eastAsia="Times New Roman" w:hAnsi="Times New Roman"/>
          <w:sz w:val="20"/>
          <w:szCs w:val="20"/>
          <w:color w:val="auto"/>
        </w:rPr>
        <w:t>CHAPTER-1 is currently on hold in the U.S. All CHAPTER-1 sites outside of the U.S. continue to recruit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in the study. Based on the Company’s current assessment of the ex-U.S. regulatory status and enrollment rates, Pharvaris anticipates announcing top-line data in the second half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5" w:name="page6"/>
    <w:bookmarkEnd w:id="5"/>
    <w:p>
      <w:pPr>
        <w:ind w:left="760" w:right="120" w:hanging="378"/>
        <w:spacing w:after="0" w:line="246"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Non-clinical toxicology study has been initiated with study results anticipated by YE2023. </w:t>
      </w:r>
      <w:r>
        <w:rPr>
          <w:rFonts w:ascii="Times New Roman" w:cs="Times New Roman" w:eastAsia="Times New Roman" w:hAnsi="Times New Roman"/>
          <w:sz w:val="20"/>
          <w:szCs w:val="20"/>
          <w:color w:val="auto"/>
        </w:rPr>
        <w:t>Pharvaris has aligned with the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Food and Drug Administration (FDA) regarding the design of the 26-week rodent toxicology study, which is intended to provide additional data to address the clinical holds in the U.S. Pharvaris has initiated the study and anticipates submitting the results from this study by the end of 2023.</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RAPIDe-1 has completed its last patient’s last visit. </w:t>
      </w:r>
      <w:r>
        <w:rPr>
          <w:rFonts w:ascii="Times New Roman" w:cs="Times New Roman" w:eastAsia="Times New Roman" w:hAnsi="Times New Roman"/>
          <w:sz w:val="20"/>
          <w:szCs w:val="20"/>
          <w:color w:val="auto"/>
        </w:rPr>
        <w:t>Pharvaris has completed the placebo-controlled evaluation of on-demand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attacks in RAPIDe-1. Positive top-line data from RAPIDe-1 were announced in December 2022. The final analysis included the two remaining U.S. participants who had rejoined the trial following agreement from the FDA to partially lift the hold of on-demand treatment. RAPIDe-2, a long-term extension study of PHVS416 for the on-demand treatment of HAE, is underway outside the U.S. for eligible participants.</w:t>
      </w:r>
    </w:p>
    <w:p>
      <w:pPr>
        <w:spacing w:after="0" w:line="2" w:lineRule="exact"/>
        <w:rPr>
          <w:rFonts w:ascii="Times New Roman" w:cs="Times New Roman" w:eastAsia="Times New Roman" w:hAnsi="Times New Roman"/>
          <w:sz w:val="20"/>
          <w:szCs w:val="20"/>
          <w:color w:val="auto"/>
        </w:rPr>
      </w:pPr>
    </w:p>
    <w:p>
      <w:pPr>
        <w:ind w:left="760" w:right="420" w:hanging="378"/>
        <w:spacing w:after="0" w:line="23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RAPIDe-3 study initiation readiness underway. </w:t>
      </w:r>
      <w:r>
        <w:rPr>
          <w:rFonts w:ascii="Times New Roman" w:cs="Times New Roman" w:eastAsia="Times New Roman" w:hAnsi="Times New Roman"/>
          <w:sz w:val="20"/>
          <w:szCs w:val="20"/>
          <w:color w:val="auto"/>
        </w:rPr>
        <w:t>Pharvaris has begun preparatory activities for RAPIDe-3, a Phase 3 study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PHVS416 for the on-demand treatment of people living with HAE.</w:t>
      </w:r>
    </w:p>
    <w:p>
      <w:pPr>
        <w:ind w:left="760" w:right="40" w:hanging="378"/>
        <w:spacing w:after="0" w:line="23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Presentations of data from the RAPIDe-1 clinical study highlighted at recent industry meetings. </w:t>
      </w:r>
      <w:r>
        <w:rPr>
          <w:rFonts w:ascii="Times New Roman" w:cs="Times New Roman" w:eastAsia="Times New Roman" w:hAnsi="Times New Roman"/>
          <w:sz w:val="20"/>
          <w:szCs w:val="20"/>
          <w:color w:val="auto"/>
        </w:rPr>
        <w:t>Data from the Phase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RAPIDe-1 study of PHVS416 for the on-demand treatment of HAE attacks were presented in February 2023 at the American Academy of Allergy Asthma &amp; Immunology (AAAAI) Annual Meeting and in March 2023 at the 2023 HAEi Regional Conference APAC. The presentations highlighted the consistent results across all endpoints and assessments in the RAPIDe-1 trial supporting the efficacy and tolerability profile of PHVS416 in treating HAE attacks. The data provide support for the further development of PHVS416 as a potential on-demand therapy to address the unmet need of people living with HAE.</w:t>
      </w:r>
    </w:p>
    <w:p>
      <w:pPr>
        <w:spacing w:after="0" w:line="2" w:lineRule="exact"/>
        <w:rPr>
          <w:rFonts w:ascii="Times New Roman" w:cs="Times New Roman" w:eastAsia="Times New Roman" w:hAnsi="Times New Roman"/>
          <w:sz w:val="20"/>
          <w:szCs w:val="20"/>
          <w:color w:val="auto"/>
        </w:rPr>
      </w:pPr>
    </w:p>
    <w:p>
      <w:pPr>
        <w:ind w:left="760" w:right="20" w:hanging="378"/>
        <w:spacing w:after="0" w:line="241"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Adoption of deucrictibant as the approved global nonproprietary name for PHA121. </w:t>
      </w:r>
      <w:r>
        <w:rPr>
          <w:rFonts w:ascii="Times New Roman" w:cs="Times New Roman" w:eastAsia="Times New Roman" w:hAnsi="Times New Roman"/>
          <w:sz w:val="20"/>
          <w:szCs w:val="20"/>
          <w:color w:val="auto"/>
        </w:rPr>
        <w:t>The World Health Organization’s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International Nonproprietary Names (INN) Expert Committee and the United States Adopted Names (USAN) Council of the American Medical Association (AMA) have adopted deucrictibant (doo-KRIK-ta-bant) as the nonproprietary name for PHA121, Pharvaris’ bradykinin B2 receptor antagonist. Based on naming guidelines, the name describes deucrictibant’s deuterium by using the prefix “deu-“ and its ability to antagonize the bradykinin B2 receptor by using the stem “-tibant.”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and Full Year 2022 Financial Results</w:t>
      </w:r>
    </w:p>
    <w:p>
      <w:pPr>
        <w:spacing w:after="0" w:line="26" w:lineRule="exact"/>
        <w:rPr>
          <w:sz w:val="20"/>
          <w:szCs w:val="20"/>
          <w:color w:val="auto"/>
        </w:rPr>
      </w:pPr>
    </w:p>
    <w:p>
      <w:pPr>
        <w:ind w:left="760" w:right="82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Liquidity Position. </w:t>
      </w:r>
      <w:r>
        <w:rPr>
          <w:rFonts w:ascii="Times New Roman" w:cs="Times New Roman" w:eastAsia="Times New Roman" w:hAnsi="Times New Roman"/>
          <w:sz w:val="20"/>
          <w:szCs w:val="20"/>
          <w:color w:val="auto"/>
        </w:rPr>
        <w:t>Cash and cash equivalents were €162 million as of December 31, 2022, compared to €209 million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p>
      <w:pPr>
        <w:ind w:left="760" w:right="100" w:hanging="378"/>
        <w:spacing w:after="0" w:line="253"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were €15.7 million for the fourth quarter and €57.4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year of 2022, compared to €10.7 million for the fourth quarter and €35.8 million for the full year of 2021.</w:t>
      </w:r>
    </w:p>
    <w:p>
      <w:pPr>
        <w:ind w:left="760" w:right="10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General and Administrative (G&amp;A) Expenses</w:t>
      </w:r>
      <w:r>
        <w:rPr>
          <w:rFonts w:ascii="Times New Roman" w:cs="Times New Roman" w:eastAsia="Times New Roman" w:hAnsi="Times New Roman"/>
          <w:sz w:val="20"/>
          <w:szCs w:val="20"/>
          <w:color w:val="auto"/>
        </w:rPr>
        <w:t>. G&amp;A expenses were €7.8 million for the fourth quarter and €29.3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year of 2022, compared to €5.5 million for the fourth quarter and €18.3 million for the full year of 2021.</w:t>
      </w:r>
    </w:p>
    <w:p>
      <w:pPr>
        <w:ind w:left="760" w:right="160" w:hanging="378"/>
        <w:spacing w:after="0" w:line="24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Loss for the year. </w:t>
      </w:r>
      <w:r>
        <w:rPr>
          <w:rFonts w:ascii="Times New Roman" w:cs="Times New Roman" w:eastAsia="Times New Roman" w:hAnsi="Times New Roman"/>
          <w:sz w:val="20"/>
          <w:szCs w:val="20"/>
          <w:color w:val="auto"/>
        </w:rPr>
        <w:t>Loss for the fourth quarter was €39.2 million, resulting in basic and diluted loss per share of €1.16. For the full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loss was €76.3 million, resulting in basic and diluted loss per share of €2.27 per share. This compares to €12.3 million, or basic and diluted loss per share of €0.37, for the fourth quarter and €42.7 million, or basic and diluted loss per share of €1.40, for the full year of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International Financial Reporting Standards (IFRS)</w:t>
      </w:r>
    </w:p>
    <w:p>
      <w:pPr>
        <w:spacing w:after="0" w:line="2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PHVS416</w:t>
      </w:r>
    </w:p>
    <w:p>
      <w:pPr>
        <w:spacing w:after="0" w:line="2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PHVS416 is an investigational softgel capsule formulation containing deucrictibant (PHA121), a highly potent, specific, and orally bioavailable competitive antagonist of the bradykinin B2 receptor. Pharvaris aims to develop this formulation to provide rapid and reliable symptom relief, through rapid exposure of attack-mitigating therapy in a convenient, small oral dosage form. PHVS416 is currently in Phase 2 clinical development outside the U.S. for the on-demand and proof-of-concept prophylactic treatment of HAE.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PHVS719</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PHVS719 is an investigational extended-release tablet formulation containing deucrictibant (PHA121), a highly potent, specific, and orally bioavailable competitive antagonist of the bradykinin B2 receptor. Pharvaris is developing this formulation to provide an easy way to prevent attacks with sustained exposure of attack-preventing medicine in a convenient, small oral dosage form. PHVS719 is currently in Phase 1 clinical development for the prophylactic treatment of HAE. In healthy volunteers, a single dose of PHVS719 was well tolerated with an extended-release profile supporting once-daily dosing.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Pharvaris is a clinical-stage company developing novel, oral bradykinin-B2-receptor antagonists to treat and prevent HAE attacks, building on its deep-seated roots in HAE. By directly targeting this clinically proven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7" w:name="page8"/>
    <w:bookmarkEnd w:id="7"/>
    <w:p>
      <w:pPr>
        <w:ind w:right="380"/>
        <w:spacing w:after="0" w:line="254" w:lineRule="auto"/>
        <w:rPr>
          <w:sz w:val="20"/>
          <w:szCs w:val="20"/>
          <w:color w:val="auto"/>
        </w:rPr>
      </w:pPr>
      <w:r>
        <w:rPr>
          <w:rFonts w:ascii="Times New Roman" w:cs="Times New Roman" w:eastAsia="Times New Roman" w:hAnsi="Times New Roman"/>
          <w:sz w:val="20"/>
          <w:szCs w:val="20"/>
          <w:color w:val="auto"/>
        </w:rPr>
        <w:t>therapeutic target with novel small molecules, the Pharvaris team aspires to offer people with all sub-types of HAE safe, effective, and convenient alternatives to treat attacks, both on-demand and prophylactically. The company brings together the best talent in the industry with deep expertise in rare diseases and HAE. For more information, visit https://pharvaris.com/.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with respect to the clinical holds on deucrictibant (PHA121) clinical trials in the U.S.; the expected timing, progress, or success of our clinical development programs, especially for PHVS416 and PHVS719, which are in mid-stage global clinical trials and are currently on hold in the U.S. as a result of the clinical holds; risks arising from epidemic diseases, such as the COVID-19 pandemic, which may adversely impact our business, nonclinical studies, and clinical trials; the expected timing and results of the rodent toxicology study;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other factors described under the headings “Cautionary Statement Regarding Forward-Looking Statements” and “Item 3. Key Information—D.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color w:val="auto"/>
        </w:rPr>
        <w:t>Risk Factors” in our Annual Report on Form 20-F and other periodic filings with the Securities and Exchange Commission.</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Head of Public Relations and Communications</w:t>
      </w:r>
    </w:p>
    <w:p>
      <w:pPr>
        <w:spacing w:after="0"/>
        <w:rPr>
          <w:sz w:val="20"/>
          <w:szCs w:val="20"/>
          <w:color w:val="auto"/>
        </w:rPr>
      </w:pPr>
      <w:r>
        <w:rPr>
          <w:rFonts w:ascii="Times New Roman" w:cs="Times New Roman" w:eastAsia="Times New Roman" w:hAnsi="Times New Roman"/>
          <w:sz w:val="20"/>
          <w:szCs w:val="20"/>
          <w:color w:val="auto"/>
        </w:rPr>
        <w:t>maggie.beller@pharvaris.com</w:t>
      </w:r>
    </w:p>
    <w:p>
      <w:pPr>
        <w:spacing w:after="0"/>
        <w:rPr>
          <w:sz w:val="20"/>
          <w:szCs w:val="20"/>
          <w:color w:val="auto"/>
        </w:rPr>
      </w:pPr>
      <w:r>
        <w:rPr>
          <w:rFonts w:ascii="Times New Roman" w:cs="Times New Roman" w:eastAsia="Times New Roman" w:hAnsi="Times New Roman"/>
          <w:sz w:val="20"/>
          <w:szCs w:val="20"/>
          <w:color w:val="auto"/>
        </w:rPr>
        <w:t>+1-914-960-2092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2023-04-05T05:57:48Z</dcterms:created>
  <dcterms:modified xsi:type="dcterms:W3CDTF">2023-04-05T05:57:48Z</dcterms:modified>
</cp:coreProperties>
</file>