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829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8294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Lu Peng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22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66,309</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70,000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03/12/2035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67,500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04/11/2034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65,000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04/06/2033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73,118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04/06/2033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49"/>
              <w:spacing w:after="0"/>
              <w:rPr>
                <w:sz w:val="20"/>
                <w:szCs w:val="20"/>
                <w:color w:val="auto"/>
              </w:rPr>
            </w:pPr>
            <w:r>
              <w:rPr>
                <w:rFonts w:ascii="Times New Roman" w:cs="Times New Roman" w:eastAsia="Times New Roman" w:hAnsi="Times New Roman"/>
                <w:sz w:val="20"/>
                <w:szCs w:val="20"/>
                <w:color w:val="0000FF"/>
                <w:w w:val="97"/>
              </w:rPr>
              <w:t>6,882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04/01/2032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57,669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04/01/2032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49"/>
              <w:spacing w:after="0"/>
              <w:rPr>
                <w:sz w:val="20"/>
                <w:szCs w:val="20"/>
                <w:color w:val="auto"/>
              </w:rPr>
            </w:pPr>
            <w:r>
              <w:rPr>
                <w:rFonts w:ascii="Times New Roman" w:cs="Times New Roman" w:eastAsia="Times New Roman" w:hAnsi="Times New Roman"/>
                <w:sz w:val="20"/>
                <w:szCs w:val="20"/>
                <w:color w:val="0000FF"/>
                <w:w w:val="97"/>
              </w:rPr>
              <w:t>7,301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02/05/2031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14,000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02/05/2031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65,000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02/03/2030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5"/>
              </w:rPr>
              <w:t>245,308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2.59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w:t>
      </w:r>
    </w:p>
    <w:p>
      <w:pPr>
        <w:spacing w:after="0" w:line="8" w:lineRule="exact"/>
        <w:rPr>
          <w:rFonts w:ascii="Times New Roman" w:cs="Times New Roman" w:eastAsia="Times New Roman" w:hAnsi="Times New Roman"/>
          <w:sz w:val="15"/>
          <w:szCs w:val="15"/>
          <w:color w:val="008000"/>
        </w:rPr>
      </w:pPr>
    </w:p>
    <w:p>
      <w:pPr>
        <w:ind w:left="40" w:right="100"/>
        <w:spacing w:after="0" w:line="235"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and are reported in Table I as non-derivative securities. Vesting occurs as follows: - 25,000 RSUs from an award granted March 3, 2026 of which 25% will vest March 3, 2027 with the remainder vesting monthly thereafter; -17,250 RSUs from an award granted March 12, 2025 of which 25% vested March 12, 2026 with the remainder vesting monthly thereafter; -11,120 RSUs from an award granted April 11, 2024 of which 25% vested April 11, 2025 with the remainder vesting monthly thereafter.</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January 6,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January 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5, 2022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3, 2021 with the remaining shares vesting in 1/48 monthly installments thereafter.</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/s/ Marnus Nel, Attorney-  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in-Fact for Peng Lu</w:t>
            </w: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4" w:name="page5"/>
    <w:bookmarkEnd w:id="4"/>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192405</wp:posOffset>
            </wp:positionV>
            <wp:extent cx="1381760"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1760"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972159"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2026-03-18T13:25:03Z</dcterms:created>
  <dcterms:modified xsi:type="dcterms:W3CDTF">2026-03-18T13:25:03Z</dcterms:modified>
</cp:coreProperties>
</file>