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2025</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8"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Annual General Meeting of Shareholders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June 27, 2025, Pharvaris N.V. (the “Company”) held its Annual General Meeting of Shareholders (the “Annual General Meeting”).</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final results of each of the agenda items submitted to a vote of the shareholders are as follows: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Agenda Item 3</w:t>
      </w:r>
    </w:p>
    <w:p>
      <w:pPr>
        <w:spacing w:after="0" w:line="198"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color w:val="auto"/>
        </w:rPr>
        <w:t>Adoption of Dutch statutory annual accounts for the fiscal year ended December 31, 2024. The Company’s shareholders adopted the Dutch statutory annual accounts for the fiscal year ended December 31, 2024.</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Agenda Item 4</w:t>
      </w:r>
    </w:p>
    <w:p>
      <w:pPr>
        <w:spacing w:after="0" w:line="198"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color w:val="auto"/>
        </w:rPr>
        <w:t>Appointment of PricewaterhouseCoopers Accountants N.V. as the Company’s external independent auditor for the fiscal year ending December 31, 2025. The Company’s shareholders appointed PricewaterhouseCoopers Accountants N.V. as the Company’s external independent auditor for the fiscal year ending December 31, 2025.</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Agenda Item 5</w:t>
      </w:r>
    </w:p>
    <w:p>
      <w:pPr>
        <w:spacing w:after="0" w:line="198"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color w:val="auto"/>
        </w:rPr>
        <w:t>Discharge from liability for the Company's directors with respect to the performance of their duties during the fiscal year ended December 31, 2024. The Company’s shareholders discharged the Company’s directors from liability with respect to the performance of their duties during the fiscal year ended December 31, 2024.</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Agenda Item 7</w:t>
      </w:r>
    </w:p>
    <w:p>
      <w:pPr>
        <w:spacing w:after="0" w:line="198"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color w:val="auto"/>
        </w:rPr>
        <w:t>Extension of authorization for the Company's board of directors to acquire shares and depository receipts for shares in the Company's capital. The Company’s shareholders extended the authorization to the Board to acquire shares and depository receipts for shares in the Company's capital.</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Agenda Item 8</w:t>
      </w:r>
    </w:p>
    <w:p>
      <w:pPr>
        <w:spacing w:after="0" w:line="198"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color w:val="auto"/>
        </w:rPr>
        <w:t>Re-appointment of Dr. Meeker as non-executive director of the Company. The Company’s shareholders re-appointed Dr. Meeker as non-executive director of the Company.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Agenda Item 9</w:t>
      </w:r>
    </w:p>
    <w:p>
      <w:pPr>
        <w:spacing w:after="0" w:line="198" w:lineRule="exact"/>
        <w:rPr>
          <w:sz w:val="20"/>
          <w:szCs w:val="20"/>
          <w:color w:val="auto"/>
        </w:rPr>
      </w:pPr>
    </w:p>
    <w:p>
      <w:pPr>
        <w:jc w:val="both"/>
        <w:ind w:left="520" w:right="20"/>
        <w:spacing w:after="0" w:line="271" w:lineRule="auto"/>
        <w:rPr>
          <w:sz w:val="20"/>
          <w:szCs w:val="20"/>
          <w:color w:val="auto"/>
        </w:rPr>
      </w:pPr>
      <w:r>
        <w:rPr>
          <w:rFonts w:ascii="Arial" w:cs="Arial" w:eastAsia="Arial" w:hAnsi="Arial"/>
          <w:sz w:val="18"/>
          <w:szCs w:val="18"/>
          <w:color w:val="auto"/>
        </w:rPr>
        <w:t>Re-appointment of Dr. Glassman as non-executive director of the Company. The Company’s shareholders re-appointed Dr. Glassman as non- executive director of the Company.</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Agenda Item 10</w:t>
      </w:r>
    </w:p>
    <w:p>
      <w:pPr>
        <w:spacing w:after="0" w:line="198" w:lineRule="exact"/>
        <w:rPr>
          <w:sz w:val="20"/>
          <w:szCs w:val="20"/>
          <w:color w:val="auto"/>
        </w:rPr>
      </w:pPr>
    </w:p>
    <w:p>
      <w:pPr>
        <w:jc w:val="both"/>
        <w:ind w:left="520" w:right="20"/>
        <w:spacing w:after="0" w:line="271" w:lineRule="auto"/>
        <w:rPr>
          <w:sz w:val="20"/>
          <w:szCs w:val="20"/>
          <w:color w:val="auto"/>
        </w:rPr>
      </w:pPr>
      <w:r>
        <w:rPr>
          <w:rFonts w:ascii="Arial" w:cs="Arial" w:eastAsia="Arial" w:hAnsi="Arial"/>
          <w:sz w:val="18"/>
          <w:szCs w:val="18"/>
          <w:color w:val="auto"/>
        </w:rPr>
        <w:t>Re-appointment of Ms. Monges as non-executive director of the Company. The Company’s shareholders re-appointed Ms. Monges as non- executive director of the Company.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40" w:type="dxa"/>
            <w:vAlign w:val="bottom"/>
          </w:tcPr>
          <w:p>
            <w:pPr>
              <w:spacing w:after="0"/>
              <w:rPr>
                <w:sz w:val="21"/>
                <w:szCs w:val="21"/>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PHARVARIS N.V.</w:t>
            </w:r>
          </w:p>
        </w:tc>
      </w:tr>
      <w:tr>
        <w:trPr>
          <w:trHeight w:val="414"/>
        </w:trPr>
        <w:tc>
          <w:tcPr>
            <w:tcW w:w="3640" w:type="dxa"/>
            <w:vAlign w:val="bottom"/>
          </w:tcPr>
          <w:p>
            <w:pPr>
              <w:spacing w:after="0"/>
              <w:rPr>
                <w:sz w:val="20"/>
                <w:szCs w:val="20"/>
                <w:color w:val="auto"/>
              </w:rPr>
            </w:pPr>
            <w:r>
              <w:rPr>
                <w:rFonts w:ascii="Arial" w:cs="Arial" w:eastAsia="Arial" w:hAnsi="Arial"/>
                <w:sz w:val="18"/>
                <w:szCs w:val="18"/>
                <w:color w:val="auto"/>
              </w:rPr>
              <w:t>Date: June 27, 2025</w:t>
            </w:r>
          </w:p>
        </w:tc>
        <w:tc>
          <w:tcPr>
            <w:tcW w:w="2920" w:type="dxa"/>
            <w:vAlign w:val="bottom"/>
          </w:tcPr>
          <w:p>
            <w:pPr>
              <w:ind w:left="20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197"/>
        </w:trPr>
        <w:tc>
          <w:tcPr>
            <w:tcW w:w="3640" w:type="dxa"/>
            <w:vAlign w:val="bottom"/>
          </w:tcPr>
          <w:p>
            <w:pPr>
              <w:spacing w:after="0"/>
              <w:rPr>
                <w:sz w:val="17"/>
                <w:szCs w:val="17"/>
                <w:color w:val="auto"/>
              </w:rPr>
            </w:pPr>
          </w:p>
        </w:tc>
        <w:tc>
          <w:tcPr>
            <w:tcW w:w="2920" w:type="dxa"/>
            <w:vAlign w:val="bottom"/>
          </w:tcPr>
          <w:p>
            <w:pPr>
              <w:ind w:left="2000"/>
              <w:spacing w:after="0" w:line="197"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197" w:lineRule="exact"/>
              <w:rPr>
                <w:sz w:val="20"/>
                <w:szCs w:val="20"/>
                <w:color w:val="auto"/>
              </w:rPr>
            </w:pPr>
            <w:r>
              <w:rPr>
                <w:rFonts w:ascii="Arial" w:cs="Arial" w:eastAsia="Arial" w:hAnsi="Arial"/>
                <w:sz w:val="18"/>
                <w:szCs w:val="18"/>
                <w:color w:val="auto"/>
              </w:rPr>
              <w:t>Berndt Modig</w:t>
            </w:r>
          </w:p>
        </w:tc>
      </w:tr>
      <w:tr>
        <w:trPr>
          <w:trHeight w:val="239"/>
        </w:trPr>
        <w:tc>
          <w:tcPr>
            <w:tcW w:w="3640" w:type="dxa"/>
            <w:vAlign w:val="bottom"/>
          </w:tcPr>
          <w:p>
            <w:pPr>
              <w:spacing w:after="0"/>
              <w:rPr>
                <w:sz w:val="20"/>
                <w:szCs w:val="20"/>
                <w:color w:val="auto"/>
              </w:rPr>
            </w:pPr>
          </w:p>
        </w:tc>
        <w:tc>
          <w:tcPr>
            <w:tcW w:w="2920" w:type="dxa"/>
            <w:vAlign w:val="bottom"/>
          </w:tcPr>
          <w:p>
            <w:pPr>
              <w:ind w:left="200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975"/>
        </w:trPr>
        <w:tc>
          <w:tcPr>
            <w:tcW w:w="36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2025-06-27T15:24:30Z</dcterms:created>
  <dcterms:modified xsi:type="dcterms:W3CDTF">2025-06-27T15:24:30Z</dcterms:modified>
</cp:coreProperties>
</file>