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126365</wp:posOffset>
            </wp:positionV>
            <wp:extent cx="33261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7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171450</wp:posOffset>
            </wp:positionV>
            <wp:extent cx="332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REPORT OF FOREIGN PRIVATE ISSUER</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PURSUANT TO RULE 13A-16 OR 15D-16 UNDER</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month of November 2025</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140970</wp:posOffset>
            </wp:positionV>
            <wp:extent cx="33261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8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Pharvaris N.V.</w:t>
      </w:r>
    </w:p>
    <w:p>
      <w:pPr>
        <w:spacing w:after="0" w:line="23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158115</wp:posOffset>
            </wp:positionV>
            <wp:extent cx="33261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Emmy Noetherweg 2</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2333 BK Leiden</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The Netherlands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w:t>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30" w:lineRule="exact"/>
        <w:rPr>
          <w:sz w:val="24"/>
          <w:szCs w:val="24"/>
          <w:color w:val="auto"/>
        </w:rPr>
      </w:pPr>
    </w:p>
    <w:p>
      <w:pPr>
        <w:ind w:right="100"/>
        <w:spacing w:after="0" w:line="286" w:lineRule="auto"/>
        <w:rPr>
          <w:sz w:val="20"/>
          <w:szCs w:val="20"/>
          <w:color w:val="auto"/>
        </w:rPr>
      </w:pPr>
      <w:r>
        <w:rPr>
          <w:rFonts w:ascii="Arial" w:cs="Arial" w:eastAsia="Arial" w:hAnsi="Arial"/>
          <w:sz w:val="16"/>
          <w:szCs w:val="16"/>
          <w:color w:val="auto"/>
        </w:rPr>
        <w:t>Note: Regulation S-T Rule 101(b)(1) only permits the submission in paper of a Form 6-K if submitted solely to provide an attached annual report to security holders</w:t>
      </w:r>
    </w:p>
    <w:p>
      <w:pPr>
        <w:spacing w:after="0" w:line="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line="256" w:lineRule="auto"/>
        <w:rPr>
          <w:sz w:val="20"/>
          <w:szCs w:val="20"/>
          <w:color w:val="auto"/>
        </w:rPr>
      </w:pPr>
      <w:r>
        <w:rPr>
          <w:rFonts w:ascii="Arial" w:cs="Arial" w:eastAsia="Arial" w:hAnsi="Arial"/>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t>PHARVARIS N.V.</w:t>
      </w:r>
    </w:p>
    <w:p>
      <w:pPr>
        <w:spacing w:after="0" w:line="200" w:lineRule="exact"/>
        <w:rPr>
          <w:sz w:val="20"/>
          <w:szCs w:val="20"/>
          <w:color w:val="auto"/>
        </w:rPr>
      </w:pP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November 12, 2025, Pharvaris N.V. issued a press release reporting financial results and other business updates for the three and nine months ended September 30, 2025. A copy of the press release is attached hereto as Exhibit 99.1 and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Exhibits 99.2 and 99.3 to this Report on Form 6-K shall be deemed to be incorporated by reference into the registration statements on Form F-3 (Registration Number 333-273757, 333-277705 and 333-278650) and Form S-8 (Registration Number 333-252897) of Pharvaris N.V.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1654175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sectPr>
      </w:pPr>
    </w:p>
    <w:bookmarkStart w:id="2" w:name="page3"/>
    <w:bookmarkEnd w:id="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520" w:type="dxa"/>
            <w:vAlign w:val="bottom"/>
            <w:gridSpan w:val="4"/>
          </w:tcPr>
          <w:p>
            <w:pPr>
              <w:ind w:left="12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8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1"/>
                <w:szCs w:val="21"/>
                <w:color w:val="auto"/>
              </w:rPr>
            </w:pPr>
          </w:p>
        </w:tc>
        <w:tc>
          <w:tcPr>
            <w:tcW w:w="101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2"/>
        </w:trPr>
        <w:tc>
          <w:tcPr>
            <w:tcW w:w="320" w:type="dxa"/>
            <w:vAlign w:val="bottom"/>
          </w:tcPr>
          <w:p>
            <w:pPr>
              <w:spacing w:after="0" w:line="142" w:lineRule="exact"/>
              <w:rPr>
                <w:sz w:val="20"/>
                <w:szCs w:val="20"/>
                <w:color w:val="auto"/>
              </w:rPr>
            </w:pPr>
            <w:r>
              <w:rPr>
                <w:rFonts w:ascii="Arial" w:cs="Arial" w:eastAsia="Arial" w:hAnsi="Arial"/>
                <w:sz w:val="16"/>
                <w:szCs w:val="16"/>
                <w:color w:val="0000FF"/>
                <w:w w:val="96"/>
              </w:rPr>
              <w:t>99.</w:t>
            </w:r>
            <w:r>
              <w:rPr>
                <w:rFonts w:ascii="Arial" w:cs="Arial" w:eastAsia="Arial" w:hAnsi="Arial"/>
                <w:sz w:val="16"/>
                <w:szCs w:val="16"/>
                <w:u w:val="single" w:color="auto"/>
                <w:color w:val="0000FF"/>
                <w:w w:val="96"/>
              </w:rPr>
              <w:t>1</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6"/>
          </w:tcPr>
          <w:p>
            <w:pPr>
              <w:spacing w:after="0" w:line="142" w:lineRule="exact"/>
              <w:rPr>
                <w:sz w:val="20"/>
                <w:szCs w:val="20"/>
                <w:color w:val="auto"/>
              </w:rPr>
            </w:pPr>
            <w:r>
              <w:rPr>
                <w:rFonts w:ascii="Arial" w:cs="Arial" w:eastAsia="Arial" w:hAnsi="Arial"/>
                <w:sz w:val="16"/>
                <w:szCs w:val="16"/>
                <w:color w:val="0000FF"/>
              </w:rPr>
              <w:t>Press Release, dated November 12, 2025, (Financial results).</w:t>
            </w:r>
          </w:p>
        </w:tc>
        <w:tc>
          <w:tcPr>
            <w:tcW w:w="0" w:type="dxa"/>
            <w:vAlign w:val="bottom"/>
          </w:tcPr>
          <w:p>
            <w:pPr>
              <w:spacing w:after="0"/>
              <w:rPr>
                <w:sz w:val="1"/>
                <w:szCs w:val="1"/>
                <w:color w:val="auto"/>
              </w:rPr>
            </w:pPr>
          </w:p>
        </w:tc>
      </w:tr>
      <w:tr>
        <w:trPr>
          <w:trHeight w:val="163"/>
        </w:trPr>
        <w:tc>
          <w:tcPr>
            <w:tcW w:w="320" w:type="dxa"/>
            <w:vAlign w:val="bottom"/>
            <w:tcBorders>
              <w:top w:val="single" w:sz="8" w:color="0000FF"/>
            </w:tcBorders>
          </w:tcPr>
          <w:p>
            <w:pPr>
              <w:spacing w:after="0" w:line="162" w:lineRule="exact"/>
              <w:rPr>
                <w:sz w:val="20"/>
                <w:szCs w:val="20"/>
                <w:color w:val="auto"/>
              </w:rPr>
            </w:pPr>
            <w:r>
              <w:rPr>
                <w:rFonts w:ascii="Arial" w:cs="Arial" w:eastAsia="Arial" w:hAnsi="Arial"/>
                <w:sz w:val="16"/>
                <w:szCs w:val="16"/>
                <w:color w:val="0000FF"/>
                <w:w w:val="96"/>
              </w:rPr>
              <w:t>99.</w:t>
            </w:r>
            <w:r>
              <w:rPr>
                <w:rFonts w:ascii="Arial" w:cs="Arial" w:eastAsia="Arial" w:hAnsi="Arial"/>
                <w:sz w:val="16"/>
                <w:szCs w:val="16"/>
                <w:u w:val="single" w:color="auto"/>
                <w:color w:val="0000FF"/>
                <w:w w:val="96"/>
              </w:rPr>
              <w:t>2</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40" w:type="dxa"/>
            <w:vAlign w:val="bottom"/>
            <w:tcBorders>
              <w:top w:val="single" w:sz="8" w:color="0000FF"/>
            </w:tcBorders>
            <w:gridSpan w:val="3"/>
          </w:tcPr>
          <w:p>
            <w:pPr>
              <w:spacing w:after="0" w:line="162" w:lineRule="exact"/>
              <w:rPr>
                <w:sz w:val="20"/>
                <w:szCs w:val="20"/>
                <w:color w:val="auto"/>
              </w:rPr>
            </w:pPr>
            <w:r>
              <w:rPr>
                <w:rFonts w:ascii="Arial" w:cs="Arial" w:eastAsia="Arial" w:hAnsi="Arial"/>
                <w:sz w:val="16"/>
                <w:szCs w:val="16"/>
                <w:color w:val="0000FF"/>
              </w:rPr>
              <w:t>Management’s Discussion and Analysis of Financial Condition</w:t>
            </w:r>
          </w:p>
        </w:tc>
        <w:tc>
          <w:tcPr>
            <w:tcW w:w="5660" w:type="dxa"/>
            <w:vAlign w:val="bottom"/>
            <w:gridSpan w:val="3"/>
          </w:tcPr>
          <w:p>
            <w:pPr>
              <w:ind w:left="60"/>
              <w:spacing w:after="0" w:line="162" w:lineRule="exact"/>
              <w:rPr>
                <w:sz w:val="20"/>
                <w:szCs w:val="20"/>
                <w:color w:val="auto"/>
              </w:rPr>
            </w:pPr>
            <w:r>
              <w:rPr>
                <w:rFonts w:ascii="Arial" w:cs="Arial" w:eastAsia="Arial" w:hAnsi="Arial"/>
                <w:sz w:val="16"/>
                <w:szCs w:val="16"/>
                <w:color w:val="0000FF"/>
              </w:rPr>
              <w:t>and Results of Operations as of and for the Three and Nine Months Ended</w:t>
            </w:r>
          </w:p>
        </w:tc>
        <w:tc>
          <w:tcPr>
            <w:tcW w:w="0" w:type="dxa"/>
            <w:vAlign w:val="bottom"/>
          </w:tcPr>
          <w:p>
            <w:pPr>
              <w:spacing w:after="0"/>
              <w:rPr>
                <w:sz w:val="1"/>
                <w:szCs w:val="1"/>
                <w:color w:val="auto"/>
              </w:rPr>
            </w:pPr>
          </w:p>
        </w:tc>
      </w:tr>
      <w:tr>
        <w:trPr>
          <w:trHeight w:val="169"/>
        </w:trPr>
        <w:tc>
          <w:tcPr>
            <w:tcW w:w="320" w:type="dxa"/>
            <w:vAlign w:val="bottom"/>
            <w:tcBorders>
              <w:top w:val="single" w:sz="8" w:color="0000FF"/>
              <w:bottom w:val="single" w:sz="8" w:color="0000FF"/>
            </w:tcBorders>
            <w:vMerge w:val="restart"/>
          </w:tcPr>
          <w:p>
            <w:pPr>
              <w:spacing w:after="0"/>
              <w:rPr>
                <w:sz w:val="20"/>
                <w:szCs w:val="20"/>
                <w:color w:val="auto"/>
              </w:rPr>
            </w:pPr>
            <w:r>
              <w:rPr>
                <w:rFonts w:ascii="Arial" w:cs="Arial" w:eastAsia="Arial" w:hAnsi="Arial"/>
                <w:sz w:val="16"/>
                <w:szCs w:val="16"/>
                <w:color w:val="0000FF"/>
                <w:w w:val="96"/>
              </w:rPr>
              <w:t>99.</w:t>
            </w:r>
            <w:r>
              <w:rPr>
                <w:rFonts w:ascii="Arial" w:cs="Arial" w:eastAsia="Arial" w:hAnsi="Arial"/>
                <w:sz w:val="16"/>
                <w:szCs w:val="16"/>
                <w:u w:val="single" w:color="auto"/>
                <w:color w:val="0000FF"/>
                <w:w w:val="96"/>
              </w:rPr>
              <w:t>3</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rPr>
              <w:t>September 30, 2025 and 2024.</w:t>
            </w:r>
          </w:p>
        </w:tc>
        <w:tc>
          <w:tcPr>
            <w:tcW w:w="7640" w:type="dxa"/>
            <w:vAlign w:val="bottom"/>
            <w:tcBorders>
              <w:top w:val="single" w:sz="8" w:color="0000FF"/>
            </w:tcBorders>
            <w:gridSpan w:val="3"/>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100" w:type="dxa"/>
            <w:vAlign w:val="bottom"/>
            <w:gridSpan w:val="6"/>
          </w:tcPr>
          <w:p>
            <w:pPr>
              <w:spacing w:after="0" w:line="169" w:lineRule="exact"/>
              <w:rPr>
                <w:sz w:val="20"/>
                <w:szCs w:val="20"/>
                <w:color w:val="auto"/>
              </w:rPr>
            </w:pPr>
            <w:r>
              <w:rPr>
                <w:rFonts w:ascii="Arial" w:cs="Arial" w:eastAsia="Arial" w:hAnsi="Arial"/>
                <w:sz w:val="16"/>
                <w:szCs w:val="16"/>
                <w:color w:val="0000FF"/>
              </w:rPr>
              <w:t>Unaudited Condensed Consolidated Interim Financial Statements as of and for the Three and Nine Months Ended September 30, 2025 and</w:t>
            </w:r>
          </w:p>
        </w:tc>
        <w:tc>
          <w:tcPr>
            <w:tcW w:w="0" w:type="dxa"/>
            <w:vAlign w:val="bottom"/>
          </w:tcPr>
          <w:p>
            <w:pPr>
              <w:spacing w:after="0"/>
              <w:rPr>
                <w:sz w:val="1"/>
                <w:szCs w:val="1"/>
                <w:color w:val="auto"/>
              </w:rPr>
            </w:pPr>
          </w:p>
        </w:tc>
      </w:tr>
      <w:tr>
        <w:trPr>
          <w:trHeight w:val="169"/>
        </w:trPr>
        <w:tc>
          <w:tcPr>
            <w:tcW w:w="320" w:type="dxa"/>
            <w:vAlign w:val="bottom"/>
            <w:tcBorders>
              <w:top w:val="single" w:sz="8" w:color="0000FF"/>
            </w:tcBorders>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6"/>
                <w:szCs w:val="16"/>
                <w:color w:val="0000FF"/>
              </w:rPr>
              <w:t>2024 and as of December 31, 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4"/>
        </w:trPr>
        <w:tc>
          <w:tcPr>
            <w:tcW w:w="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4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760" w:type="dxa"/>
            <w:vAlign w:val="bottom"/>
          </w:tcPr>
          <w:p>
            <w:pPr>
              <w:spacing w:after="0"/>
              <w:rPr>
                <w:sz w:val="21"/>
                <w:szCs w:val="21"/>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b w:val="1"/>
                <w:bCs w:val="1"/>
                <w:color w:val="auto"/>
              </w:rPr>
              <w:t>PHARVARIS N.V.</w:t>
            </w:r>
          </w:p>
        </w:tc>
      </w:tr>
      <w:tr>
        <w:trPr>
          <w:trHeight w:val="360"/>
        </w:trPr>
        <w:tc>
          <w:tcPr>
            <w:tcW w:w="3760" w:type="dxa"/>
            <w:vAlign w:val="bottom"/>
          </w:tcPr>
          <w:p>
            <w:pPr>
              <w:spacing w:after="0"/>
              <w:rPr>
                <w:sz w:val="20"/>
                <w:szCs w:val="20"/>
                <w:color w:val="auto"/>
              </w:rPr>
            </w:pPr>
            <w:r>
              <w:rPr>
                <w:rFonts w:ascii="Arial" w:cs="Arial" w:eastAsia="Arial" w:hAnsi="Arial"/>
                <w:sz w:val="16"/>
                <w:szCs w:val="16"/>
                <w:color w:val="auto"/>
              </w:rPr>
              <w:t>Date: November 12, 2025</w:t>
            </w:r>
          </w:p>
        </w:tc>
        <w:tc>
          <w:tcPr>
            <w:tcW w:w="2600" w:type="dxa"/>
            <w:vAlign w:val="bottom"/>
          </w:tcPr>
          <w:p>
            <w:pPr>
              <w:ind w:left="1880"/>
              <w:spacing w:after="0"/>
              <w:rPr>
                <w:sz w:val="20"/>
                <w:szCs w:val="20"/>
                <w:color w:val="auto"/>
              </w:rPr>
            </w:pPr>
            <w:r>
              <w:rPr>
                <w:rFonts w:ascii="Arial" w:cs="Arial" w:eastAsia="Arial" w:hAnsi="Arial"/>
                <w:sz w:val="16"/>
                <w:szCs w:val="16"/>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Berndt Modig</w:t>
            </w:r>
          </w:p>
        </w:tc>
      </w:tr>
      <w:tr>
        <w:trPr>
          <w:trHeight w:val="175"/>
        </w:trPr>
        <w:tc>
          <w:tcPr>
            <w:tcW w:w="3760" w:type="dxa"/>
            <w:vAlign w:val="bottom"/>
          </w:tcPr>
          <w:p>
            <w:pPr>
              <w:spacing w:after="0"/>
              <w:rPr>
                <w:sz w:val="15"/>
                <w:szCs w:val="15"/>
                <w:color w:val="auto"/>
              </w:rPr>
            </w:pPr>
          </w:p>
        </w:tc>
        <w:tc>
          <w:tcPr>
            <w:tcW w:w="2600" w:type="dxa"/>
            <w:vAlign w:val="bottom"/>
          </w:tcPr>
          <w:p>
            <w:pPr>
              <w:ind w:left="1880"/>
              <w:spacing w:after="0" w:line="175" w:lineRule="exact"/>
              <w:rPr>
                <w:sz w:val="20"/>
                <w:szCs w:val="20"/>
                <w:color w:val="auto"/>
              </w:rPr>
            </w:pPr>
            <w:r>
              <w:rPr>
                <w:rFonts w:ascii="Arial" w:cs="Arial" w:eastAsia="Arial" w:hAnsi="Arial"/>
                <w:sz w:val="16"/>
                <w:szCs w:val="16"/>
                <w:color w:val="auto"/>
              </w:rPr>
              <w:t>Name:</w:t>
            </w:r>
          </w:p>
        </w:tc>
        <w:tc>
          <w:tcPr>
            <w:tcW w:w="4880" w:type="dxa"/>
            <w:vAlign w:val="bottom"/>
          </w:tcPr>
          <w:p>
            <w:pPr>
              <w:spacing w:after="0" w:line="175" w:lineRule="exact"/>
              <w:rPr>
                <w:sz w:val="20"/>
                <w:szCs w:val="20"/>
                <w:color w:val="auto"/>
              </w:rPr>
            </w:pPr>
            <w:r>
              <w:rPr>
                <w:rFonts w:ascii="Arial" w:cs="Arial" w:eastAsia="Arial" w:hAnsi="Arial"/>
                <w:sz w:val="16"/>
                <w:szCs w:val="16"/>
                <w:color w:val="auto"/>
              </w:rPr>
              <w:t>Berndt Modig</w:t>
            </w:r>
          </w:p>
        </w:tc>
      </w:tr>
      <w:tr>
        <w:trPr>
          <w:trHeight w:val="215"/>
        </w:trPr>
        <w:tc>
          <w:tcPr>
            <w:tcW w:w="3760" w:type="dxa"/>
            <w:vAlign w:val="bottom"/>
          </w:tcPr>
          <w:p>
            <w:pPr>
              <w:spacing w:after="0"/>
              <w:rPr>
                <w:sz w:val="18"/>
                <w:szCs w:val="18"/>
                <w:color w:val="auto"/>
              </w:rPr>
            </w:pPr>
          </w:p>
        </w:tc>
        <w:tc>
          <w:tcPr>
            <w:tcW w:w="2600" w:type="dxa"/>
            <w:vAlign w:val="bottom"/>
          </w:tcPr>
          <w:p>
            <w:pPr>
              <w:ind w:left="1880"/>
              <w:spacing w:after="0"/>
              <w:rPr>
                <w:sz w:val="20"/>
                <w:szCs w:val="20"/>
                <w:color w:val="auto"/>
              </w:rPr>
            </w:pPr>
            <w:r>
              <w:rPr>
                <w:rFonts w:ascii="Arial" w:cs="Arial" w:eastAsia="Arial" w:hAnsi="Arial"/>
                <w:sz w:val="16"/>
                <w:szCs w:val="16"/>
                <w:color w:val="auto"/>
              </w:rPr>
              <w:t>Title:</w:t>
            </w:r>
          </w:p>
        </w:tc>
        <w:tc>
          <w:tcPr>
            <w:tcW w:w="488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1616"/>
        </w:trPr>
        <w:tc>
          <w:tcPr>
            <w:tcW w:w="37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4348480</wp:posOffset>
            </wp:positionH>
            <wp:positionV relativeFrom="page">
              <wp:posOffset>500380</wp:posOffset>
            </wp:positionV>
            <wp:extent cx="299148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991485" cy="44577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Pharvaris Reports Third Quarter 2025 Financial Results and Provides Business Update</w:t>
      </w:r>
    </w:p>
    <w:p>
      <w:pPr>
        <w:spacing w:after="0" w:line="9" w:lineRule="exact"/>
        <w:rPr>
          <w:sz w:val="20"/>
          <w:szCs w:val="20"/>
          <w:color w:val="auto"/>
        </w:rPr>
      </w:pPr>
    </w:p>
    <w:p>
      <w:pPr>
        <w:ind w:left="760" w:right="420" w:hanging="378"/>
        <w:spacing w:after="0" w:line="23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data for RAPIDe-3, a pivotal Phase 3 study of deucrictibant immediate-release capsule for the on-demand treatment of HAE attacks, expected in 4Q2025</w:t>
      </w:r>
    </w:p>
    <w:p>
      <w:pPr>
        <w:ind w:left="760" w:right="420" w:hanging="378"/>
        <w:spacing w:after="0" w:line="23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Enrollment in CHAPTER-3, a pivotal Phase 3 study of deucrictibant extended-release tablet for prophylaxis of HAE attacks, is progressing as planned; topline data anticipated in 2H2026</w:t>
      </w:r>
    </w:p>
    <w:p>
      <w:pPr>
        <w:ind w:left="760" w:hanging="378"/>
        <w:spacing w:after="0"/>
        <w:tabs>
          <w:tab w:leader="none" w:pos="76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Initiated CREAATE, a pivotal Phase 3 study of deucrictibant for the prophylactic and on-demand treatment of AAE-C1INH attacks</w:t>
      </w:r>
    </w:p>
    <w:p>
      <w:pPr>
        <w:spacing w:after="0" w:line="11" w:lineRule="exact"/>
        <w:rPr>
          <w:rFonts w:ascii="Times New Roman" w:cs="Times New Roman" w:eastAsia="Times New Roman" w:hAnsi="Times New Roman"/>
          <w:sz w:val="19"/>
          <w:szCs w:val="19"/>
          <w:color w:val="auto"/>
        </w:rPr>
      </w:pPr>
    </w:p>
    <w:p>
      <w:pPr>
        <w:ind w:left="760" w:right="120" w:hanging="378"/>
        <w:spacing w:after="0" w:line="23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presented at recent medical congresses, including final outcomes from the completed open-label extension phase of the Phase 2 CHAPTER-1 study, reinforce the potential of deucrictibant to differentiate through its efficacy and safety profile</w:t>
      </w: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Strong financial position with cash and cash equivalents of €329 million as of September 30, 2025</w:t>
      </w:r>
    </w:p>
    <w:p>
      <w:pPr>
        <w:spacing w:after="0" w:line="207" w:lineRule="exact"/>
        <w:rPr>
          <w:sz w:val="20"/>
          <w:szCs w:val="20"/>
          <w:color w:val="auto"/>
        </w:rPr>
      </w:pPr>
    </w:p>
    <w:p>
      <w:pPr>
        <w:ind w:right="400"/>
        <w:spacing w:after="0" w:line="249" w:lineRule="auto"/>
        <w:rPr>
          <w:sz w:val="20"/>
          <w:szCs w:val="20"/>
          <w:color w:val="auto"/>
        </w:rPr>
      </w:pPr>
      <w:r>
        <w:rPr>
          <w:rFonts w:ascii="Times New Roman" w:cs="Times New Roman" w:eastAsia="Times New Roman" w:hAnsi="Times New Roman"/>
          <w:sz w:val="20"/>
          <w:szCs w:val="20"/>
          <w:color w:val="auto"/>
        </w:rPr>
        <w:t>ZUG, Switzerland, November 12, 2025 – Pharvaris (Nasdaq: PHVS), a late-stage biopharmaceutical company developing novel, oral bradykinin B2 receptor antagonists to help address unmet needs of those living with bradykinin-mediated diseases such as hereditary angioedema (HAE) and acquired angioedema due to C1 inhibitor deficiency (AAE-C1INH), today reported financial results for the third quarter ended September 30, 2025, and provided a business update.</w:t>
      </w:r>
    </w:p>
    <w:p>
      <w:pPr>
        <w:spacing w:after="0" w:line="19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“We remain on track to report data from the pivotal Phase 3 trial, RAPIDe-3, in the fourth quarter of 2025,” said Berndt Modig, Chief Executive Officer of Pharvaris. “The achievement of this data readout, combined with the anticipated readout of CHAPTER-3 in the second half of next year, and the future outcome of the recently initiated CREAATE study, demonstrate our continued execution and commitment to develop new and innovative therapies for people with bradykinin-mediated disease. Pharvaris is also financed well into the first half of 2027, providing us with cash runway through these key inflection points.”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Business Updates and Highlights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Development Pipeline</w:t>
      </w:r>
    </w:p>
    <w:p>
      <w:pPr>
        <w:ind w:left="760" w:right="140" w:hanging="378"/>
        <w:spacing w:after="0" w:line="246"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Topline data from RAPIDe-3 (NCT06343779) expected in 4Q2025. </w:t>
      </w:r>
      <w:r>
        <w:rPr>
          <w:rFonts w:ascii="Times New Roman" w:cs="Times New Roman" w:eastAsia="Times New Roman" w:hAnsi="Times New Roman"/>
          <w:sz w:val="20"/>
          <w:szCs w:val="20"/>
          <w:color w:val="auto"/>
        </w:rPr>
        <w:t>RAPIDe-3, a pivotal global Phase 3 study evaluating orally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administered deucrictibant immediate-release capsule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left="378" w:right="580"/>
        <w:spacing w:after="0" w:line="264" w:lineRule="auto"/>
        <w:rPr>
          <w:sz w:val="20"/>
          <w:szCs w:val="20"/>
          <w:color w:val="auto"/>
        </w:rPr>
      </w:pPr>
      <w:r>
        <w:rPr>
          <w:rFonts w:ascii="Times New Roman" w:cs="Times New Roman" w:eastAsia="Times New Roman" w:hAnsi="Times New Roman"/>
          <w:sz w:val="19"/>
          <w:szCs w:val="19"/>
          <w:color w:val="auto"/>
        </w:rPr>
        <w:t>mg) for the on-demand treatment of HAE attacks in adults and adolescents (12 years and older), reached target enrollment of approximately 120 participants in March 2025. Pharvaris expects to announce top-line data in the fourth quarter of 2025.</w:t>
      </w:r>
    </w:p>
    <w:p>
      <w:pPr>
        <w:ind w:left="378" w:hanging="378"/>
        <w:spacing w:after="0" w:line="239" w:lineRule="auto"/>
        <w:tabs>
          <w:tab w:leader="none" w:pos="37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Enrollment in CHAPTER-3 (NCT06669754) progressing as planned. </w:t>
      </w:r>
      <w:r>
        <w:rPr>
          <w:rFonts w:ascii="Times New Roman" w:cs="Times New Roman" w:eastAsia="Times New Roman" w:hAnsi="Times New Roman"/>
          <w:sz w:val="20"/>
          <w:szCs w:val="20"/>
          <w:color w:val="auto"/>
        </w:rPr>
        <w:t>CHAPTER-3 is a randomized, double-blind, placebo-controlled Phase 3 study of orally administered deucrictibant extended-release tablet for the prophylaxis against angioedema attacks in adults and adolescents (12 years and older) with HAE. The study aims to enroll approximately 81 participants and randomize them in a 2:1 ratio to receive deucrictibant extended-release tablet (40 mg), which is the intended commercial dosage, or placebo, once daily for 24 weeks. Pharvaris anticipates announcing topline data of CHAPTER-3 in the second half of 2026.</w:t>
      </w:r>
    </w:p>
    <w:p>
      <w:pPr>
        <w:spacing w:after="0" w:line="2" w:lineRule="exact"/>
        <w:rPr>
          <w:rFonts w:ascii="Times New Roman" w:cs="Times New Roman" w:eastAsia="Times New Roman" w:hAnsi="Times New Roman"/>
          <w:sz w:val="20"/>
          <w:szCs w:val="20"/>
          <w:color w:val="auto"/>
        </w:rPr>
      </w:pPr>
    </w:p>
    <w:p>
      <w:pPr>
        <w:ind w:left="378" w:right="40" w:hanging="378"/>
        <w:spacing w:after="0" w:line="239" w:lineRule="auto"/>
        <w:tabs>
          <w:tab w:leader="none" w:pos="37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Initiated CREAATE, a global, pivotal Phase 3 study of deucrictibant for the prophylactic and on-demand treatment of AAE-C1INH attacks. </w:t>
      </w:r>
      <w:r>
        <w:rPr>
          <w:rFonts w:ascii="Times New Roman" w:cs="Times New Roman" w:eastAsia="Times New Roman" w:hAnsi="Times New Roman"/>
          <w:sz w:val="20"/>
          <w:szCs w:val="20"/>
          <w:color w:val="auto"/>
        </w:rPr>
        <w:t>CREAATE assesses the efficacy and safety of deucrictibant in people living with AAE-C1INH. In part 1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CREAATE, participants receive either deucrictibant extended-release tablet (40 mg) or placebo once daily for the prophylactic treatment of AAE-C1INH attacks. In part 2 of CREAATE, participants treat two attacks in a cross-over fashion, one attack with deucrictibant immediate-release capsule (20 mg) and one with placebo, for the on-demand treatment of AAE-C1INH attacks. Part 3 of CREAATE is the open-label extension portion of the study assessing the long-term safety and efficacy of deucrictibant immediate-release capsule (20 mg) for on-demand treatment.</w:t>
      </w:r>
    </w:p>
    <w:p>
      <w:pPr>
        <w:spacing w:after="0" w:line="3" w:lineRule="exact"/>
        <w:rPr>
          <w:rFonts w:ascii="Times New Roman" w:cs="Times New Roman" w:eastAsia="Times New Roman" w:hAnsi="Times New Roman"/>
          <w:sz w:val="20"/>
          <w:szCs w:val="20"/>
          <w:color w:val="auto"/>
        </w:rPr>
      </w:pPr>
    </w:p>
    <w:p>
      <w:pPr>
        <w:ind w:left="378" w:right="40" w:hanging="378"/>
        <w:spacing w:after="0" w:line="252" w:lineRule="auto"/>
        <w:tabs>
          <w:tab w:leader="none" w:pos="37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Final data from the completed Phase 2 CHAPTER-1 OLE study provide further evidence on the long-term safety and efficacy of deucrictibant for the prevention of HAE attacks. </w:t>
      </w:r>
      <w:r>
        <w:rPr>
          <w:rFonts w:ascii="Times New Roman" w:cs="Times New Roman" w:eastAsia="Times New Roman" w:hAnsi="Times New Roman"/>
          <w:sz w:val="19"/>
          <w:szCs w:val="19"/>
          <w:color w:val="auto"/>
        </w:rPr>
        <w:t>Recent data shared in an oral presentation by Dr. Marc A. Riedl 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American College of Allergy, Asthma, and Immunology (ACAAI) 2025 Annual Scientific Meeting reported the final outcomes of the CHAPTER-1 study (NCT05047185), in which deucrictibant was generally well tolerated. Results from the randomized portion and the open-label portion demonstrated that the mean rate of HAE attacks was reduced by deucrictibant within the first week of treatment and remained low for up to 34 months, with an overall on-treatment attack rate of 0.12 throughout the open-label</w:t>
      </w:r>
    </w:p>
    <w:p>
      <w:pPr>
        <w:spacing w:after="0" w:line="1" w:lineRule="exact"/>
        <w:rPr>
          <w:sz w:val="20"/>
          <w:szCs w:val="20"/>
          <w:color w:val="auto"/>
        </w:rPr>
      </w:pPr>
    </w:p>
    <w:p>
      <w:pPr>
        <w:ind w:left="378"/>
        <w:spacing w:after="0"/>
        <w:rPr>
          <w:sz w:val="20"/>
          <w:szCs w:val="20"/>
          <w:color w:val="auto"/>
        </w:rPr>
      </w:pPr>
      <w:r>
        <w:rPr>
          <w:rFonts w:ascii="Times New Roman" w:cs="Times New Roman" w:eastAsia="Times New Roman" w:hAnsi="Times New Roman"/>
          <w:sz w:val="20"/>
          <w:szCs w:val="20"/>
          <w:color w:val="auto"/>
        </w:rPr>
        <w:t>portion.</w:t>
      </w:r>
    </w:p>
    <w:p>
      <w:pPr>
        <w:spacing w:after="0" w:line="203" w:lineRule="exact"/>
        <w:rPr>
          <w:sz w:val="20"/>
          <w:szCs w:val="20"/>
          <w:color w:val="auto"/>
        </w:rPr>
      </w:pPr>
    </w:p>
    <w:p>
      <w:pPr>
        <w:ind w:left="378" w:right="140" w:hanging="378"/>
        <w:spacing w:after="0" w:line="273" w:lineRule="auto"/>
        <w:tabs>
          <w:tab w:leader="none" w:pos="3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Closed $201 million public offering. </w:t>
      </w:r>
      <w:r>
        <w:rPr>
          <w:rFonts w:ascii="Times New Roman" w:cs="Times New Roman" w:eastAsia="Times New Roman" w:hAnsi="Times New Roman"/>
          <w:sz w:val="20"/>
          <w:szCs w:val="20"/>
          <w:color w:val="auto"/>
        </w:rPr>
        <w:t>The proceeds from the public offering of with cash proceeds of approximately $201 million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extends the cash runway well into the first half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1283970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8"/>
          </w:cols>
          <w:pgMar w:left="702" w:top="1413" w:right="359" w:bottom="1440" w:gutter="0" w:footer="0" w:header="0"/>
        </w:sectPr>
      </w:pPr>
    </w:p>
    <w:bookmarkStart w:id="6" w:name="page7"/>
    <w:bookmarkEnd w:id="6"/>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2025 Financial Results</w:t>
      </w:r>
    </w:p>
    <w:p>
      <w:pPr>
        <w:ind w:left="760" w:right="40" w:hanging="378"/>
        <w:spacing w:after="0" w:line="239" w:lineRule="auto"/>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 xml:space="preserve">Liquidity Position. </w:t>
      </w:r>
      <w:r>
        <w:rPr>
          <w:rFonts w:ascii="Times New Roman" w:cs="Times New Roman" w:eastAsia="Times New Roman" w:hAnsi="Times New Roman"/>
          <w:sz w:val="19"/>
          <w:szCs w:val="19"/>
          <w:color w:val="auto"/>
        </w:rPr>
        <w:t>Cash and cash equivalents were €329 million as of September 30, 2025, compared to €281 million for December 31,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2024.</w:t>
      </w:r>
    </w:p>
    <w:p>
      <w:pPr>
        <w:spacing w:after="0" w:line="1" w:lineRule="exact"/>
        <w:rPr>
          <w:rFonts w:ascii="Times New Roman" w:cs="Times New Roman" w:eastAsia="Times New Roman" w:hAnsi="Times New Roman"/>
          <w:sz w:val="20"/>
          <w:szCs w:val="20"/>
          <w:color w:val="auto"/>
        </w:rPr>
      </w:pPr>
    </w:p>
    <w:p>
      <w:pPr>
        <w:ind w:left="760" w:right="60" w:hanging="378"/>
        <w:spacing w:after="0" w:line="233" w:lineRule="auto"/>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 xml:space="preserve">Research and Development (R&amp;D) Expenses. </w:t>
      </w:r>
      <w:r>
        <w:rPr>
          <w:rFonts w:ascii="Times New Roman" w:cs="Times New Roman" w:eastAsia="Times New Roman" w:hAnsi="Times New Roman"/>
          <w:sz w:val="19"/>
          <w:szCs w:val="19"/>
          <w:color w:val="auto"/>
        </w:rPr>
        <w:t>R&amp;D expenses were €29.8 million for the quarter ended September 30, 2025, compared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€25.8 million for the quarter ended September 30, 2024.</w:t>
      </w:r>
    </w:p>
    <w:p>
      <w:pPr>
        <w:spacing w:after="0" w:line="1" w:lineRule="exact"/>
        <w:rPr>
          <w:rFonts w:ascii="Times New Roman" w:cs="Times New Roman" w:eastAsia="Times New Roman" w:hAnsi="Times New Roman"/>
          <w:sz w:val="20"/>
          <w:szCs w:val="20"/>
          <w:color w:val="auto"/>
        </w:rPr>
      </w:pPr>
    </w:p>
    <w:p>
      <w:pPr>
        <w:ind w:left="760" w:right="60" w:hanging="378"/>
        <w:spacing w:after="0" w:line="241" w:lineRule="auto"/>
        <w:tabs>
          <w:tab w:leader="none" w:pos="76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General and Administrative (G&amp;A) Expenses. </w:t>
      </w:r>
      <w:r>
        <w:rPr>
          <w:rFonts w:ascii="Times New Roman" w:cs="Times New Roman" w:eastAsia="Times New Roman" w:hAnsi="Times New Roman"/>
          <w:sz w:val="19"/>
          <w:szCs w:val="19"/>
          <w:color w:val="auto"/>
        </w:rPr>
        <w:t>G&amp;A expenses were €9.8 million for the quarter ended September 30, 2025, compared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€12.1 million for the quarter ended September 30, 2024.</w:t>
      </w:r>
    </w:p>
    <w:p>
      <w:pPr>
        <w:spacing w:after="0" w:line="1" w:lineRule="exact"/>
        <w:rPr>
          <w:rFonts w:ascii="Times New Roman" w:cs="Times New Roman" w:eastAsia="Times New Roman" w:hAnsi="Times New Roman"/>
          <w:sz w:val="19"/>
          <w:szCs w:val="19"/>
          <w:color w:val="auto"/>
        </w:rPr>
      </w:pPr>
    </w:p>
    <w:p>
      <w:pPr>
        <w:ind w:left="760" w:hanging="378"/>
        <w:spacing w:after="0" w:line="263" w:lineRule="auto"/>
        <w:tabs>
          <w:tab w:leader="none" w:pos="76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b w:val="1"/>
          <w:bCs w:val="1"/>
          <w:color w:val="auto"/>
        </w:rPr>
        <w:t xml:space="preserve">Loss for the year. </w:t>
      </w:r>
      <w:r>
        <w:rPr>
          <w:rFonts w:ascii="Times New Roman" w:cs="Times New Roman" w:eastAsia="Times New Roman" w:hAnsi="Times New Roman"/>
          <w:sz w:val="18"/>
          <w:szCs w:val="18"/>
          <w:color w:val="auto"/>
        </w:rPr>
        <w:t>Loss for the third quarter was €37.1 million, resulting in basic and diluted loss per share of €0.60 for the quarter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2025, compared to €41.7 million, or basic and diluted loss per share of €0.77, for the quarter ended September 30,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on International Financial Reporting Standards (IFRS)</w:t>
      </w:r>
    </w:p>
    <w:p>
      <w:pPr>
        <w:spacing w:after="0" w:line="2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Deucrictibant</w:t>
      </w:r>
    </w:p>
    <w:p>
      <w:pPr>
        <w:spacing w:after="0" w:line="26"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color w:val="auto"/>
        </w:rPr>
        <w:t>Deucrictibant is a novel, potent, orally bioavailable small-molecule bradykinin B2 receptor antagonist currently in clinical development. Deucrictibant is being investigated for its potential to prevent the occurrence of bradykinin-mediated angioedema attacks and to treat the manifestations of attacks if/when they occur by inhibiting bradykinin signaling through the bradykinin B2 receptor. Pharvaris is developing two formulations of deucrictibant for oral administration: an extended-release tablet to enable sustained absorption and efficacy as prophylactic treatment, and an immediate-release capsule to enable rapid onset of activity for on-demand treatment. Deucrictibant has been granted orphan drug designation for the treatment of bradykinin-mediated angioedema by the U.S. Food and Drug Administration, Swissmedic, and the European Commission.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Pharvaris</w:t>
      </w:r>
    </w:p>
    <w:p>
      <w:pPr>
        <w:spacing w:after="0" w:line="26" w:lineRule="exact"/>
        <w:rPr>
          <w:sz w:val="20"/>
          <w:szCs w:val="20"/>
          <w:color w:val="auto"/>
        </w:rPr>
      </w:pPr>
    </w:p>
    <w:p>
      <w:pPr>
        <w:jc w:val="both"/>
        <w:ind w:right="360"/>
        <w:spacing w:after="0" w:line="242" w:lineRule="auto"/>
        <w:rPr>
          <w:sz w:val="20"/>
          <w:szCs w:val="20"/>
          <w:color w:val="auto"/>
        </w:rPr>
      </w:pPr>
      <w:r>
        <w:rPr>
          <w:rFonts w:ascii="Times New Roman" w:cs="Times New Roman" w:eastAsia="Times New Roman" w:hAnsi="Times New Roman"/>
          <w:sz w:val="20"/>
          <w:szCs w:val="20"/>
          <w:color w:val="auto"/>
        </w:rPr>
        <w:t>Pharvaris is a late-stage biopharmaceutical company developing novel, oral bradykinin B2 receptor antagonists to potentially address all types of bradykinin-mediated angioedema. Pharvaris intends to provide injectable-like efficacy™ and placebo-like tolerability with the convenience of oral therapies to prevent and treat bradykinin-mediated angioedema attacks. With positive data in both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 w:name="page8"/>
    <w:bookmarkEnd w:id="7"/>
    <w:p>
      <w:pPr>
        <w:ind w:right="180"/>
        <w:spacing w:after="0" w:line="254" w:lineRule="auto"/>
        <w:rPr>
          <w:sz w:val="20"/>
          <w:szCs w:val="20"/>
          <w:color w:val="auto"/>
        </w:rPr>
      </w:pPr>
      <w:r>
        <w:rPr>
          <w:rFonts w:ascii="Times New Roman" w:cs="Times New Roman" w:eastAsia="Times New Roman" w:hAnsi="Times New Roman"/>
          <w:sz w:val="20"/>
          <w:szCs w:val="20"/>
          <w:color w:val="auto"/>
        </w:rPr>
        <w:t>prophylaxis and on-demand studies in HAE, Pharvaris is currently evaluating the efficacy and safety of deucrictibant in a pivotal Phase 3 study for the prevention of HAE attacks (CHAPTER-3) and a pivotal Phase 3 study for the on-demand treatment of HAE attacks (RAPIDe-3). For more information, visit https://pharvaris.com/.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the expected timing, progress, or success of our clinical development programs, especially for deucrictibant immediate-release capsules and deucrictibant extended-release tablets, which are in late-stage global clinical trials; our ability to replicate the efficacy and safety demonstrated in the RAPIDe-1, RAPIDe-2, and CHAPTER-1 Phase 2 and Phase 3 studies in ongoing and future nonclinical studies and clinical trials, such as RAPIDe-3, CHAPTER-3, and CREAATE; risks arising from epidemic diseases, which may adversely impact our business, nonclinical studies, and clinical trials; our ability to potentially use deucrictibant for alternative purposes, for example to treat C1-INH deficiency (AAE-C1INH); the outcome and timing of regulatory approvals;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produce sufficient amounts of drug product candidates for commercialization;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885825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spacing w:after="0" w:line="256" w:lineRule="auto"/>
        <w:rPr>
          <w:sz w:val="20"/>
          <w:szCs w:val="20"/>
          <w:color w:val="auto"/>
        </w:rPr>
      </w:pPr>
      <w:r>
        <w:rPr>
          <w:rFonts w:ascii="Times New Roman" w:cs="Times New Roman" w:eastAsia="Times New Roman" w:hAnsi="Times New Roman"/>
          <w:sz w:val="19"/>
          <w:szCs w:val="19"/>
          <w:color w:val="auto"/>
        </w:rPr>
        <w:t>consequences from changes in applicable laws and regulations, including tax laws (including the Biosecure Act), our ability to maintain an effective system of internal control over financial reporting; changes and uncertainty in general market conditions; disruptions at the FDA and other agencies; changes and uncertainty in general market, political and economic conditions, including as a result of inflation and geopolitical conflicts; changes in regulations and customs, tariffs and trade barriers;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Maggie Beller</w:t>
      </w:r>
    </w:p>
    <w:p>
      <w:pPr>
        <w:spacing w:after="0"/>
        <w:rPr>
          <w:sz w:val="20"/>
          <w:szCs w:val="20"/>
          <w:color w:val="auto"/>
        </w:rPr>
      </w:pPr>
      <w:r>
        <w:rPr>
          <w:rFonts w:ascii="Times New Roman" w:cs="Times New Roman" w:eastAsia="Times New Roman" w:hAnsi="Times New Roman"/>
          <w:sz w:val="20"/>
          <w:szCs w:val="20"/>
          <w:color w:val="auto"/>
        </w:rPr>
        <w:t>Executive Director, Head of Corporate and Investor Communications</w:t>
      </w:r>
    </w:p>
    <w:p>
      <w:pPr>
        <w:spacing w:after="0"/>
        <w:rPr>
          <w:sz w:val="20"/>
          <w:szCs w:val="20"/>
          <w:color w:val="auto"/>
        </w:rPr>
      </w:pPr>
      <w:r>
        <w:rPr>
          <w:rFonts w:ascii="Times New Roman" w:cs="Times New Roman" w:eastAsia="Times New Roman" w:hAnsi="Times New Roman"/>
          <w:sz w:val="20"/>
          <w:szCs w:val="20"/>
          <w:color w:val="auto"/>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13"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This management’s discussion and analysis is designed to provide you with a narrative explanation of our financial condition and results of operations. We recommend that you read this discussion together with our unaudited condensed consolidated interim financial statements, including the notes thereto, for the three and nine months ended September 30, 2025 and 2024 included as Exhibit 99.3 to the Report on Form 6-K to which this discussion is attached as Exhibit 99.2. We also recommend that you read “Item 4. Information on the Company”, “Item 5. Operating and Financial Review and Prospects” and our audited consolidated financial statements for fiscal year 2024, and the notes thereto, which appear in our Annual Report on Form 20-F for the year ended December 31, 2024 (the “Annual Report”) filed with the U.S. Securities and Exchange Commission (the “SEC”). In addition, we recommend that you read any public announcements made from time to time by Pharvaris N.V.</w:t>
      </w:r>
    </w:p>
    <w:p>
      <w:pPr>
        <w:spacing w:after="0" w:line="73"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The following discussion is based on our financial information prepared in accordance with the IFRS Accounting Standards (“IFRS”) as issued by the International Accounting Standards Board (the “IASB”), which may differ in material respects from generally accepted accounting principles in the United States and other jurisdictions. We maintain our books and records in euros. Unless otherwise indicated, all references to currency amounts in this discussion are in euros.</w:t>
      </w:r>
    </w:p>
    <w:p>
      <w:pPr>
        <w:spacing w:after="0" w:line="70"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in the Annual Report and under “Risk factors” in any other periodic filings with the Securities and Exchange Commission.</w:t>
      </w:r>
    </w:p>
    <w:p>
      <w:pPr>
        <w:spacing w:after="0" w:line="63"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Unless otherwise indicated or the context otherwise requires, all references to “Pharvaris” or the “Company,” “we,” “our,” “ours,” “us”, or similar terms refer to Pharvaris N.V. and its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We are a late-stage biopharmaceutical company focused on the development and commercialization of innovative therapies for rare diseases with significant unmet need, initially focused on angioedema and other bradykinin-mediated diseases. Our first molecule, deucrictibant, is a novel, oral, small-molecule bradykinin B2 receptor antagonist under development for the prevention or treatment of attacks due to bradykinin-mediated angioedema, including hereditary angioedema (HAE) and acquired angioedema due to C1-inhibitor deficiency (AAE-C1INH). Deucrictibant has the potential to address unmet medical need by improving upon the therapeutic profile of existing medicines and providing patients with quality of life and ease-of-administration that could be superior to current standard-of-care. We believe deucrictibant has the potential to provide injectable-like efficacy™ and placebo-like tolerability with the convenience of an oral therapy for both the prophylactic and on-demand treatment of bradykinin-mediated angioedema attacks.</w:t>
      </w:r>
    </w:p>
    <w:p>
      <w:pPr>
        <w:spacing w:after="0" w:line="181"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Deucrictibant may address unmet medical needs of people living with bradykinin-mediated angioedema by both preventing attacks from occurring, using an extended-release (XR) tablet formulation of deucrictibant, as well as treat the manifestations of attacks, using an immediate-release (IR) capsule formulation of deucrictibant. The XR tablet formulation is designed to maintain therapeutic levels for at least 24 hours and to achieve a steady-state plasma concentration within 72 hours, supporting a once-daily dosing regimen. The IR capsule formulation is designed to rapidly reach therapeutic exposure in order to mitigate attacks symptoms quickly and completely with a single oral dose.</w:t>
      </w:r>
    </w:p>
    <w:p>
      <w:pPr>
        <w:spacing w:after="0" w:line="180" w:lineRule="exact"/>
        <w:rPr>
          <w:sz w:val="20"/>
          <w:szCs w:val="20"/>
          <w:color w:val="auto"/>
        </w:rPr>
      </w:pPr>
    </w:p>
    <w:p>
      <w:pPr>
        <w:ind w:right="160" w:firstLine="458"/>
        <w:spacing w:after="0" w:line="254" w:lineRule="auto"/>
        <w:rPr>
          <w:sz w:val="20"/>
          <w:szCs w:val="20"/>
          <w:color w:val="auto"/>
        </w:rPr>
      </w:pPr>
      <w:r>
        <w:rPr>
          <w:rFonts w:ascii="Arial" w:cs="Arial" w:eastAsia="Arial" w:hAnsi="Arial"/>
          <w:sz w:val="16"/>
          <w:szCs w:val="16"/>
          <w:color w:val="auto"/>
        </w:rPr>
        <w:t>In addition to the differentiation of our individual products, offering a single molecule formulated in two distinct ways allows us to address both treatment paradigms. For example, a patient experiencing a breakthrough attack while on deucrictibant XR can use deucrictibant IR on-demand, benefiting from the same mechanism of action and thereby optimizing therapeutic exposure. Additionally, if patients decide to change their treatment approach by moving from on-demand to prophylactic treatment, or vice-versa, they are able to utilize the same trusted mechanism with a different dosing regimen in either on-demand or prophylaxis. This flexibility may be especially valuable for children or adolescents, who often begin therapy with on-demand treatment and gradually shift to prophylaxis as the frequency of attacks increases, typically after puberty.</w:t>
      </w:r>
    </w:p>
    <w:p>
      <w:pPr>
        <w:spacing w:after="0" w:line="182"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In our Phase 1 clinical trials to-date, we have observed rapid exposure and predictable linear pharmacokinetics (PK) with and without food. In addition, we observed deucrictibant to be a potent antagonist of the bradykinin B2 receptor, in vitro and in vivo with healthy volunteers.</w:t>
      </w:r>
    </w:p>
    <w:p>
      <w:pPr>
        <w:spacing w:after="0" w:line="156" w:lineRule="exact"/>
        <w:rPr>
          <w:sz w:val="20"/>
          <w:szCs w:val="20"/>
          <w:color w:val="auto"/>
        </w:rPr>
      </w:pPr>
    </w:p>
    <w:p>
      <w:pPr>
        <w:ind w:right="100" w:firstLine="458"/>
        <w:spacing w:after="0" w:line="266" w:lineRule="auto"/>
        <w:rPr>
          <w:sz w:val="20"/>
          <w:szCs w:val="20"/>
          <w:color w:val="auto"/>
        </w:rPr>
      </w:pPr>
      <w:r>
        <w:rPr>
          <w:rFonts w:ascii="Arial" w:cs="Arial" w:eastAsia="Arial" w:hAnsi="Arial"/>
          <w:sz w:val="16"/>
          <w:szCs w:val="16"/>
          <w:color w:val="auto"/>
        </w:rPr>
        <w:t>A Phase 2 placebo-controlled trial evaluating the efficacy and tolerability of deucrictibant IR capsules for the on-demand treatment of attacks in patients with HAE type 1 and 2 (RAPIDe-1) commenced in February 2021 and reported positive topline Phase 2 data in December 2022, demonstrating the clinical efficacy and tolerability of</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deucrictibant. We believe these positive Phase 2 data support further development of deucrictibant as a potential oral on-demand therapy for HAE attacks. In March 2024, we initiated a global, pivotal, randomized, double-blind-placebo-controlled Phase 3 study, RAPIDe-3, of orally administered deucrictibant IR capsule (20 mg) for the on-demand treatment of HAE attacks in adults and adolescents (12 years and older), and have enrolled approximately 120 participants. Topline data from RAPIDe-3 is anticipated in the fourth quarter of 2025 and, pending positive data, we expect to submit a New Drug Application with the FDA in the first half of 2026.</w:t>
      </w:r>
    </w:p>
    <w:p>
      <w:pPr>
        <w:spacing w:after="0" w:line="180"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A Phase 2 placebo-controlled trial evaluating the efficacy and the safety and tolerability of deucrictibant for long-term prophylaxis against angioedema attacks in HAE type 1 and 2 (CHAPTER-1) commenced in 2021 using twice-daily dosing of deucrictibant IR capsules as a proof-of-concept for once-daily deucrictibant XR tablets, and announced positive topline data in December 2023, demonstrating the clinical efficacy and tolerability of deucrictibant. We believe these positive Phase 2 data support further development of deucrictibant as a potential oral prophylactic therapy for HAE attacks. In December 2024, we initiated a global, pivotal, randomized, double-blind, placebo-controlled Phase 3 study, CHAPTER-3, of orally administered deucrictibant extended-release tablet for the prophylaxis against angioedema attacks in adults and adolescents (12 years and older) with HAE. The study aims to enroll approximately 81 participants with HAE and randomize them in a 2:1 ratio to receive deucrictibant XR tablet (40 mg/day), which is the intended commercial dosage, or placebo, once daily for 24 weeks. Topline data from CHAPTER-3 is anticipated in the second half of 2026.</w:t>
      </w:r>
    </w:p>
    <w:p>
      <w:pPr>
        <w:spacing w:after="0" w:line="183"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In addition, we are also running open-label extension studies in both on-demand and prophylactic settings to collect long-term safety and efficacy data in HAE patients.</w:t>
      </w:r>
    </w:p>
    <w:p>
      <w:pPr>
        <w:spacing w:after="0" w:line="156" w:lineRule="exact"/>
        <w:rPr>
          <w:sz w:val="20"/>
          <w:szCs w:val="20"/>
          <w:color w:val="auto"/>
        </w:rPr>
      </w:pPr>
    </w:p>
    <w:p>
      <w:pPr>
        <w:ind w:right="40" w:firstLine="458"/>
        <w:spacing w:after="0" w:line="255" w:lineRule="auto"/>
        <w:rPr>
          <w:sz w:val="20"/>
          <w:szCs w:val="20"/>
          <w:color w:val="auto"/>
        </w:rPr>
      </w:pPr>
      <w:r>
        <w:rPr>
          <w:rFonts w:ascii="Arial" w:cs="Arial" w:eastAsia="Arial" w:hAnsi="Arial"/>
          <w:sz w:val="16"/>
          <w:szCs w:val="16"/>
          <w:color w:val="auto"/>
        </w:rPr>
        <w:t>In October 2025, we initiated a global, three-part, pivotal Phase 3 study, CREAATE, of deucrictibant for the prophylactic and on-demand treatment of adults (18 years and older) with AAE-C1INH. In part 1 of CREAATE, participants receive either deucrictibant extended-release tablet (40 mg) or placebo once daily for the prophylactic treatment of AAE-C1INH attacks. In part 2 of CREAATE, participants treat two attacks in a cross-over fashion, one attack with deucrictibant immediate-release capsule (20 mg) and one with placebo, for the on-demand treatment of AAE-C1INH attacks. Part 3 of CREAATE is the open-label extension portion of the study assessing the long-term safety and efficacy of deucrictibant immediate-release capsule (20 mg) for on-demand treatment.</w:t>
      </w:r>
    </w:p>
    <w:p>
      <w:pPr>
        <w:spacing w:after="0" w:line="373"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In August 2022, the FDA placed a hold on the clinical trials of deucrictibant in the U.S. based on its review of nonclinical data. The FDA requested that Pharvaris conduct an additional 26-week rodent toxicology study to address specific questions. The FDA lifted the clinical hold on the IND application for deucrictibant for the on-demand treatment of HAE in June 2023 and on the IND application for deucrictibant for the prophylactic treatment of HAE attacks in January 2024.</w:t>
      </w:r>
    </w:p>
    <w:p>
      <w:pPr>
        <w:spacing w:after="0" w:line="178"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Additionally, we are exposed to a variety of risks in the ordinary course of our business, including, but not limited to, foreign currency risk and interest rate risk and changes in regulations and customs, tariffs and trade barriers. We regularly assess each of these risks to minimize any adverse effects on our business as a result of those factors. For a detailed discussion, see Note 17 to our consolidated financial statements included elsewhere in the Annual Report.</w:t>
      </w:r>
    </w:p>
    <w:p>
      <w:pPr>
        <w:spacing w:after="0" w:line="183"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In addition, the retaliatory measures that have been taken, or could be taken in the future, by the United States, NATO, and other countries in response to escalating regional conflicts, such as the Russia/Ukraine War, that have created global security concerns and also could adversely affect our ability to conduct ongoing and future clinical trials of our product candidates. For example, our current studies have participants enrolled at sites in approximately 30 countries.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Any of the foregoing could impede the execution of our clinical development plans.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5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Financial Operations Overview</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Revenues</w:t>
      </w:r>
    </w:p>
    <w:p>
      <w:pPr>
        <w:spacing w:after="0" w:line="179"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We did not record any revenues during the period covered by the historical financial information included in this Report. We do not expect to recognize any product sales related revenues before we are able to commercialize our first product.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92" w:lineRule="exact"/>
        <w:rPr>
          <w:sz w:val="20"/>
          <w:szCs w:val="20"/>
          <w:color w:val="auto"/>
        </w:rPr>
      </w:pPr>
    </w:p>
    <w:p>
      <w:pPr>
        <w:ind w:right="80" w:firstLine="374"/>
        <w:spacing w:after="0" w:line="259" w:lineRule="auto"/>
        <w:rPr>
          <w:sz w:val="20"/>
          <w:szCs w:val="20"/>
          <w:color w:val="auto"/>
        </w:rPr>
      </w:pPr>
      <w:r>
        <w:rPr>
          <w:rFonts w:ascii="Arial" w:cs="Arial" w:eastAsia="Arial" w:hAnsi="Arial"/>
          <w:sz w:val="16"/>
          <w:szCs w:val="16"/>
          <w:color w:val="auto"/>
        </w:rPr>
        <w:t>We are focused on the clinical development of deucrictibant. Since our inception, we have devoted substantially all of our resources to research and development efforts relating to the development of deucrictibant and our product candidates IR and XR. We expect that we will continue to incur significant research and development expenses as we seek to complete the clinical development of, and achieve regulatory approval for, our product candidates IR and XR, and in connection with discovery and development of any additional product candidates.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expenses consist of the following:</w:t>
      </w:r>
    </w:p>
    <w:p>
      <w:pPr>
        <w:spacing w:after="0" w:line="113" w:lineRule="exact"/>
        <w:rPr>
          <w:sz w:val="20"/>
          <w:szCs w:val="20"/>
          <w:color w:val="auto"/>
        </w:rPr>
      </w:pPr>
    </w:p>
    <w:p>
      <w:pPr>
        <w:ind w:left="900" w:right="20" w:hanging="428"/>
        <w:spacing w:after="0" w:line="285" w:lineRule="auto"/>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expenses, which includes salaries, pensions, share-based compensation expenses, bonus plans and other related costs for research and development staff;</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nonclinical expenses, which include costs of our outsourced discovery and nonclinical development studies and associated travel;</w:t>
      </w:r>
    </w:p>
    <w:p>
      <w:pPr>
        <w:spacing w:after="0" w:line="125" w:lineRule="exact"/>
        <w:rPr>
          <w:rFonts w:ascii="Times New Roman" w:cs="Times New Roman" w:eastAsia="Times New Roman" w:hAnsi="Times New Roman"/>
          <w:sz w:val="16"/>
          <w:szCs w:val="16"/>
          <w:color w:val="auto"/>
        </w:rPr>
      </w:pPr>
    </w:p>
    <w:p>
      <w:pPr>
        <w:ind w:left="900" w:right="240" w:hanging="428"/>
        <w:spacing w:after="0" w:line="285" w:lineRule="auto"/>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clinical expenses, which includes costs of conducting and managing our sponsored clinical trials, including clinical investigator cost, costs of clinical sites, costs for CROs assisting with our clinical development programs and associated travel;</w:t>
      </w:r>
    </w:p>
    <w:p>
      <w:pPr>
        <w:spacing w:after="0" w:line="48" w:lineRule="exact"/>
        <w:rPr>
          <w:rFonts w:ascii="Times New Roman" w:cs="Times New Roman" w:eastAsia="Times New Roman" w:hAnsi="Times New Roman"/>
          <w:sz w:val="16"/>
          <w:szCs w:val="16"/>
          <w:color w:val="auto"/>
        </w:rPr>
      </w:pPr>
    </w:p>
    <w:p>
      <w:pPr>
        <w:ind w:left="900" w:right="60" w:hanging="428"/>
        <w:spacing w:after="0" w:line="285" w:lineRule="auto"/>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expenses, which include costs related to manufacturing of active pharmaceutical ingredients and manufacturing of the products used in our clinical trials and research and development activities and associated travel;</w:t>
      </w:r>
    </w:p>
    <w:p>
      <w:pPr>
        <w:spacing w:after="0" w:line="48" w:lineRule="exact"/>
        <w:rPr>
          <w:rFonts w:ascii="Times New Roman" w:cs="Times New Roman" w:eastAsia="Times New Roman" w:hAnsi="Times New Roman"/>
          <w:sz w:val="16"/>
          <w:szCs w:val="16"/>
          <w:color w:val="auto"/>
        </w:rPr>
      </w:pPr>
    </w:p>
    <w:p>
      <w:pPr>
        <w:ind w:left="900" w:right="180" w:hanging="428"/>
        <w:spacing w:after="0" w:line="285" w:lineRule="auto"/>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costs in connection with investigator-sponsored clinical trials and evaluations;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advisers’ fees, including discovery, nonclinical, clinical, chemistry, manufacturing, and controls-related and other consulting services;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intellectual property costs, which includes costs associated with obtaining and maintaining patents and other intellectual property; and</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license costs.</w:t>
      </w:r>
    </w:p>
    <w:p>
      <w:pPr>
        <w:spacing w:after="0" w:line="234" w:lineRule="exact"/>
        <w:rPr>
          <w:sz w:val="20"/>
          <w:szCs w:val="20"/>
          <w:color w:val="auto"/>
        </w:rPr>
      </w:pPr>
    </w:p>
    <w:p>
      <w:pPr>
        <w:jc w:val="both"/>
        <w:ind w:right="40" w:firstLine="458"/>
        <w:spacing w:after="0" w:line="286" w:lineRule="auto"/>
        <w:rPr>
          <w:sz w:val="20"/>
          <w:szCs w:val="20"/>
          <w:color w:val="auto"/>
        </w:rPr>
      </w:pPr>
      <w:r>
        <w:rPr>
          <w:rFonts w:ascii="Arial" w:cs="Arial" w:eastAsia="Arial" w:hAnsi="Arial"/>
          <w:sz w:val="16"/>
          <w:szCs w:val="16"/>
          <w:color w:val="auto"/>
        </w:rPr>
        <w:t>While we continue to advance the development of our two lead product candidates IR and XR, and evaluate potential expansion programs, spending is expected to increase over the next 12 months.</w:t>
      </w:r>
    </w:p>
    <w:p>
      <w:pPr>
        <w:spacing w:after="0" w:line="156" w:lineRule="exact"/>
        <w:rPr>
          <w:sz w:val="20"/>
          <w:szCs w:val="20"/>
          <w:color w:val="auto"/>
        </w:rPr>
      </w:pPr>
    </w:p>
    <w:p>
      <w:pPr>
        <w:jc w:val="both"/>
        <w:ind w:right="20" w:firstLine="458"/>
        <w:spacing w:after="0" w:line="266" w:lineRule="auto"/>
        <w:rPr>
          <w:sz w:val="20"/>
          <w:szCs w:val="20"/>
          <w:color w:val="auto"/>
        </w:rPr>
      </w:pPr>
      <w:r>
        <w:rPr>
          <w:rFonts w:ascii="Arial" w:cs="Arial" w:eastAsia="Arial" w:hAnsi="Arial"/>
          <w:sz w:val="16"/>
          <w:szCs w:val="16"/>
          <w:color w:val="auto"/>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spacing w:after="0" w:line="171"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Clinical development timelines and associated costs may vary significantly and the successful development of our product candidates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 Moreover, we cannot assure that we will be able to successfully develop or commercialize our product candidates, if approved for marketing. This is due to numerous risks and uncertainties associated with developing drugs. See “Item 3. Key Information—D. Risk factors” in our Annual Report and under “Risk factors” in any other periodic filings with the Securities and Exchange Commission for a discussion of these risks and uncertainties.</w:t>
      </w: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2" w:name="page13"/>
    <w:bookmarkEnd w:id="12"/>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Sales, Marketing, and Distribution expenses</w:t>
      </w:r>
    </w:p>
    <w:p>
      <w:pPr>
        <w:spacing w:after="0" w:line="192" w:lineRule="exact"/>
        <w:rPr>
          <w:sz w:val="20"/>
          <w:szCs w:val="20"/>
          <w:color w:val="auto"/>
        </w:rPr>
      </w:pPr>
    </w:p>
    <w:p>
      <w:pPr>
        <w:ind w:right="120" w:firstLine="458"/>
        <w:spacing w:after="0" w:line="286" w:lineRule="auto"/>
        <w:rPr>
          <w:sz w:val="20"/>
          <w:szCs w:val="20"/>
          <w:color w:val="auto"/>
        </w:rPr>
      </w:pPr>
      <w:r>
        <w:rPr>
          <w:rFonts w:ascii="Arial" w:cs="Arial" w:eastAsia="Arial" w:hAnsi="Arial"/>
          <w:sz w:val="16"/>
          <w:szCs w:val="16"/>
          <w:color w:val="auto"/>
        </w:rPr>
        <w:t>If our product candidates are approved for registration and marketing, we anticipate incurring substantial sales, marketing, and distribution expenses in future periods in support of our commercial infrastructure. We have begun to manufacture commercial quantities of our product candidates.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consist of the following:</w:t>
      </w:r>
    </w:p>
    <w:p>
      <w:pPr>
        <w:spacing w:after="0" w:line="97" w:lineRule="exact"/>
        <w:rPr>
          <w:sz w:val="20"/>
          <w:szCs w:val="20"/>
          <w:color w:val="auto"/>
        </w:rPr>
      </w:pPr>
    </w:p>
    <w:p>
      <w:pPr>
        <w:ind w:left="900" w:right="560" w:hanging="428"/>
        <w:spacing w:after="0" w:line="285" w:lineRule="auto"/>
        <w:tabs>
          <w:tab w:leader="none" w:pos="90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including salaries, pensions, share-based compensation expenses, bonus plans and other related costs for staff and independent contractors in executive and operational functions;</w:t>
      </w:r>
    </w:p>
    <w:p>
      <w:pPr>
        <w:spacing w:after="0" w:line="48"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independent auditors’ and advisers’ fees, including accounting, tax, legal and other consulting services;</w:t>
      </w:r>
    </w:p>
    <w:p>
      <w:pPr>
        <w:spacing w:after="0" w:line="125" w:lineRule="exact"/>
        <w:rPr>
          <w:rFonts w:ascii="Times New Roman" w:cs="Times New Roman" w:eastAsia="Times New Roman" w:hAnsi="Times New Roman"/>
          <w:sz w:val="16"/>
          <w:szCs w:val="16"/>
          <w:color w:val="auto"/>
        </w:rPr>
      </w:pPr>
    </w:p>
    <w:p>
      <w:pPr>
        <w:ind w:left="900" w:hanging="428"/>
        <w:spacing w:after="0"/>
        <w:tabs>
          <w:tab w:leader="none" w:pos="90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rental expenses, insurance, facilities and IT expenses and other general expenses relating to our operations; and</w:t>
      </w:r>
    </w:p>
    <w:p>
      <w:pPr>
        <w:spacing w:after="0" w:line="125" w:lineRule="exact"/>
        <w:rPr>
          <w:rFonts w:ascii="Times New Roman" w:cs="Times New Roman" w:eastAsia="Times New Roman" w:hAnsi="Times New Roman"/>
          <w:sz w:val="16"/>
          <w:szCs w:val="16"/>
          <w:color w:val="auto"/>
        </w:rPr>
      </w:pPr>
    </w:p>
    <w:p>
      <w:pPr>
        <w:ind w:left="900" w:right="260" w:hanging="428"/>
        <w:spacing w:after="0" w:line="285" w:lineRule="auto"/>
        <w:tabs>
          <w:tab w:leader="none" w:pos="90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expenses related to the build-out of our commercial organization, including assessments of the HAE market landscape, pricing research and congress attendance.</w:t>
      </w:r>
    </w:p>
    <w:p>
      <w:pPr>
        <w:spacing w:after="0" w:line="116"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We anticipate that general and administrative expenses will increase in future periods primarily due to estimated commercial and related scale up costs for the anticipated deucrictibant launch in future years.</w:t>
      </w:r>
    </w:p>
    <w:p>
      <w:pPr>
        <w:spacing w:after="0" w:line="129" w:lineRule="exact"/>
        <w:rPr>
          <w:sz w:val="20"/>
          <w:szCs w:val="20"/>
          <w:color w:val="auto"/>
        </w:rPr>
      </w:pPr>
    </w:p>
    <w:p>
      <w:pPr>
        <w:ind w:right="120" w:firstLine="374"/>
        <w:spacing w:after="0" w:line="259" w:lineRule="auto"/>
        <w:rPr>
          <w:sz w:val="20"/>
          <w:szCs w:val="20"/>
          <w:color w:val="auto"/>
        </w:rPr>
      </w:pPr>
      <w:r>
        <w:rPr>
          <w:rFonts w:ascii="Arial" w:cs="Arial" w:eastAsia="Arial" w:hAnsi="Arial"/>
          <w:sz w:val="16"/>
          <w:szCs w:val="16"/>
          <w:color w:val="auto"/>
        </w:rPr>
        <w:t>We undertook a review of our expense classification methodology within the General and Administrative section to better align with the nature of the underlying activities and industry practices. As a result of this review, certain pre-commercial costs previously reported under “Other expenses” were determined to be more appropriately classified as “Professional Fees.” We recorded approximately €0.2 million and €1.9 million in Professional fees for the three and nine months ending September 30, 2025, respectively. This reclassification had no impact on the total General and Administrative expenses.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Share-based compensation expenses</w:t>
      </w:r>
    </w:p>
    <w:p>
      <w:pPr>
        <w:spacing w:after="0" w:line="179" w:lineRule="exact"/>
        <w:rPr>
          <w:sz w:val="20"/>
          <w:szCs w:val="20"/>
          <w:color w:val="auto"/>
        </w:rPr>
      </w:pPr>
    </w:p>
    <w:p>
      <w:pPr>
        <w:ind w:firstLine="374"/>
        <w:spacing w:after="0" w:line="252" w:lineRule="auto"/>
        <w:rPr>
          <w:sz w:val="20"/>
          <w:szCs w:val="20"/>
          <w:color w:val="auto"/>
        </w:rPr>
      </w:pPr>
      <w:r>
        <w:rPr>
          <w:rFonts w:ascii="Arial" w:cs="Arial" w:eastAsia="Arial" w:hAnsi="Arial"/>
          <w:sz w:val="16"/>
          <w:szCs w:val="16"/>
          <w:color w:val="auto"/>
        </w:rPr>
        <w:t>In 2016, we implemented an Equity Incentive Plan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(the “2021 Plan”) for employees, consultants and directors prior to the completion of our initial public offering (“IPO”). The 2021 Plan became effective upon our conversion from Pharvaris B.V. into Pharvaris N.V., which occurred prior to the consummation of our IPO. The 2021 Plan provides for the grant of options, stock appreciation rights, restricted stock, RSUs, performance stock awards, other stock-based awards, performance cash awards and substitute awards. The fair values of these instruments are recognized as personnel expenses in either research and development expenses or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 w:name="page14"/>
    <w:bookmarkEnd w:id="13"/>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 of operations</w:t>
      </w:r>
    </w:p>
    <w:p>
      <w:pPr>
        <w:spacing w:after="0" w:line="194" w:lineRule="exact"/>
        <w:rPr>
          <w:sz w:val="20"/>
          <w:szCs w:val="20"/>
          <w:color w:val="auto"/>
        </w:rPr>
      </w:pPr>
    </w:p>
    <w:p>
      <w:pPr>
        <w:ind w:right="300" w:firstLine="374"/>
        <w:spacing w:after="0" w:line="266" w:lineRule="auto"/>
        <w:rPr>
          <w:sz w:val="20"/>
          <w:szCs w:val="20"/>
          <w:color w:val="auto"/>
        </w:rPr>
      </w:pPr>
      <w:r>
        <w:rPr>
          <w:rFonts w:ascii="Arial" w:cs="Arial" w:eastAsia="Arial" w:hAnsi="Arial"/>
          <w:sz w:val="16"/>
          <w:szCs w:val="16"/>
          <w:color w:val="auto"/>
        </w:rPr>
        <w:t>The financial information shown below was derived from our unaudited condensed consolidated interim financial statements for the three and nine months ended September 30, 2025 and 2024 included as Exhibit 99.3 to this Report on Form 6-K. The discussion below should be read along with these unaudited condensed consolidated interim financial statements, and it is qualified in its entirety by reference to them.</w:t>
      </w:r>
    </w:p>
    <w:p>
      <w:pPr>
        <w:spacing w:after="0" w:line="131" w:lineRule="exact"/>
        <w:rPr>
          <w:sz w:val="20"/>
          <w:szCs w:val="20"/>
          <w:color w:val="auto"/>
        </w:rPr>
      </w:pPr>
    </w:p>
    <w:p>
      <w:pPr>
        <w:ind w:right="220" w:firstLine="374"/>
        <w:spacing w:after="0" w:line="259" w:lineRule="auto"/>
        <w:rPr>
          <w:sz w:val="20"/>
          <w:szCs w:val="20"/>
          <w:color w:val="auto"/>
        </w:rPr>
      </w:pPr>
      <w:r>
        <w:rPr>
          <w:rFonts w:ascii="Arial" w:cs="Arial" w:eastAsia="Arial" w:hAnsi="Arial"/>
          <w:sz w:val="16"/>
          <w:szCs w:val="16"/>
          <w:color w:val="auto"/>
        </w:rPr>
        <w:t>Certain personnel, consulting, and facility related costs previously reported under General and Administrative expenses were determined to be more appropriately classified as Research and Development expenses. The Company reclassified approximately €0.8 million and €1.5 million from General and Administrative expenses to Research and Development expenses for the three and nine months ending, September 30, 2025, respectively. This reclassification had no impact on the total operating expenses, net loss, or loss per share.</w:t>
      </w:r>
    </w:p>
    <w:p>
      <w:pPr>
        <w:spacing w:after="0" w:line="328"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Comparison of the three months ended September 30, 2025 and September 30, 2024.</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gridSpan w:val="5"/>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5"/>
        </w:trPr>
        <w:tc>
          <w:tcPr>
            <w:tcW w:w="426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9"/>
        </w:trPr>
        <w:tc>
          <w:tcPr>
            <w:tcW w:w="4260" w:type="dxa"/>
            <w:vAlign w:val="bottom"/>
          </w:tcPr>
          <w:p>
            <w:pPr>
              <w:spacing w:after="0"/>
              <w:rPr>
                <w:sz w:val="17"/>
                <w:szCs w:val="17"/>
                <w:color w:val="auto"/>
              </w:rPr>
            </w:pPr>
          </w:p>
        </w:tc>
        <w:tc>
          <w:tcPr>
            <w:tcW w:w="16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6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r>
      <w:tr>
        <w:trPr>
          <w:trHeight w:val="196"/>
        </w:trPr>
        <w:tc>
          <w:tcPr>
            <w:tcW w:w="4260" w:type="dxa"/>
            <w:vAlign w:val="bottom"/>
          </w:tcPr>
          <w:p>
            <w:pPr>
              <w:spacing w:after="0"/>
              <w:rPr>
                <w:sz w:val="17"/>
                <w:szCs w:val="17"/>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(29,814,908)</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(25,782,650)</w:t>
            </w: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(4,032,258)</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(9,849,591)</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(12,119,623)</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2,270,032</w:t>
            </w:r>
          </w:p>
        </w:tc>
        <w:tc>
          <w:tcPr>
            <w:tcW w:w="22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42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(39,664,499)</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(37,902,273)</w:t>
            </w: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(1,762,226)</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426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(39,664,499)</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(37,902,273)</w:t>
            </w:r>
          </w:p>
        </w:tc>
        <w:tc>
          <w:tcPr>
            <w:tcW w:w="38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(1,762,226)</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42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income / (expense)</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2,345,995</w:t>
            </w:r>
          </w:p>
        </w:tc>
        <w:tc>
          <w:tcPr>
            <w:tcW w:w="22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(3,578,394)</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5,924,389</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(166)%</w:t>
            </w:r>
          </w:p>
        </w:tc>
      </w:tr>
      <w:tr>
        <w:trPr>
          <w:trHeight w:val="20"/>
        </w:trPr>
        <w:tc>
          <w:tcPr>
            <w:tcW w:w="426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before tax</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(37,318,504)</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(41,480,667)</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4,162,163</w:t>
            </w:r>
          </w:p>
        </w:tc>
        <w:tc>
          <w:tcPr>
            <w:tcW w:w="22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42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181,469</w:t>
            </w:r>
          </w:p>
        </w:tc>
        <w:tc>
          <w:tcPr>
            <w:tcW w:w="22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(230,091)</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411,560</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(179)%</w:t>
            </w:r>
          </w:p>
        </w:tc>
      </w:tr>
      <w:tr>
        <w:trPr>
          <w:trHeight w:val="20"/>
        </w:trPr>
        <w:tc>
          <w:tcPr>
            <w:tcW w:w="426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(37,137,035)</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(41,710,758)</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4,573,723</w:t>
            </w:r>
          </w:p>
        </w:tc>
        <w:tc>
          <w:tcPr>
            <w:tcW w:w="22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r>
      <w:tr>
        <w:trPr>
          <w:trHeight w:val="20"/>
        </w:trPr>
        <w:tc>
          <w:tcPr>
            <w:tcW w:w="42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-711200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-711200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-711200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-711200</wp:posOffset>
            </wp:positionV>
            <wp:extent cx="1289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-436245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-436245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-436245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-436245</wp:posOffset>
            </wp:positionV>
            <wp:extent cx="1289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-162560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-162560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-162560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-162560</wp:posOffset>
            </wp:positionV>
            <wp:extent cx="1289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373"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Revenues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did not generate any revenues for the three months ended September 30, 2025 and September 30, 2024.</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Research and development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4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5"/>
        </w:trPr>
        <w:tc>
          <w:tcPr>
            <w:tcW w:w="406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center"/>
              <w:ind w:left="11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9"/>
        </w:trPr>
        <w:tc>
          <w:tcPr>
            <w:tcW w:w="4060" w:type="dxa"/>
            <w:vAlign w:val="bottom"/>
          </w:tcPr>
          <w:p>
            <w:pPr>
              <w:spacing w:after="0"/>
              <w:rPr>
                <w:sz w:val="17"/>
                <w:szCs w:val="17"/>
                <w:color w:val="auto"/>
              </w:rPr>
            </w:pPr>
          </w:p>
        </w:tc>
        <w:tc>
          <w:tcPr>
            <w:tcW w:w="156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r>
      <w:tr>
        <w:trPr>
          <w:trHeight w:val="196"/>
        </w:trPr>
        <w:tc>
          <w:tcPr>
            <w:tcW w:w="406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Personnel expenses</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(9,019,095)</w:t>
            </w: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(7,357,286)</w:t>
            </w:r>
          </w:p>
        </w:tc>
        <w:tc>
          <w:tcPr>
            <w:tcW w:w="4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(1,661,809)</w:t>
            </w: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Clinical expenses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(16,501,843)</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(15,437,752)</w:t>
            </w:r>
          </w:p>
        </w:tc>
        <w:tc>
          <w:tcPr>
            <w:tcW w:w="4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(1,064,091)</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r>
      <w:tr>
        <w:trPr>
          <w:trHeight w:val="20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Nonclinical expenses</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(1,433,314)</w:t>
            </w: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(307,324)</w:t>
            </w:r>
          </w:p>
        </w:tc>
        <w:tc>
          <w:tcPr>
            <w:tcW w:w="4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(1,125,990)</w:t>
            </w: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366%</w:t>
            </w: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Manufacturing costs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(2,747,027)</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(2,535,747)</w:t>
            </w:r>
          </w:p>
        </w:tc>
        <w:tc>
          <w:tcPr>
            <w:tcW w:w="4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(211,280)</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Intellectual Property costs</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(113,629)</w:t>
            </w: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(144,541)</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30,912</w:t>
            </w:r>
          </w:p>
        </w:tc>
        <w:tc>
          <w:tcPr>
            <w:tcW w:w="22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r>
      <w:tr>
        <w:trPr>
          <w:trHeight w:val="20"/>
        </w:trPr>
        <w:tc>
          <w:tcPr>
            <w:tcW w:w="406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(29,814,908)</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(25,782,650)</w:t>
            </w:r>
          </w:p>
        </w:tc>
        <w:tc>
          <w:tcPr>
            <w:tcW w:w="4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(4,032,258)</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r>
      <w:tr>
        <w:trPr>
          <w:trHeight w:val="20"/>
        </w:trPr>
        <w:tc>
          <w:tcPr>
            <w:tcW w:w="40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-162560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-162560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-162560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-162560</wp:posOffset>
            </wp:positionV>
            <wp:extent cx="1289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55" w:lineRule="exact"/>
        <w:rPr>
          <w:sz w:val="20"/>
          <w:szCs w:val="20"/>
          <w:color w:val="auto"/>
        </w:rPr>
      </w:pPr>
    </w:p>
    <w:p>
      <w:pPr>
        <w:ind w:right="520" w:firstLine="374"/>
        <w:spacing w:after="0" w:line="266" w:lineRule="auto"/>
        <w:rPr>
          <w:sz w:val="20"/>
          <w:szCs w:val="20"/>
          <w:color w:val="auto"/>
        </w:rPr>
      </w:pPr>
      <w:r>
        <w:rPr>
          <w:rFonts w:ascii="Arial" w:cs="Arial" w:eastAsia="Arial" w:hAnsi="Arial"/>
          <w:sz w:val="16"/>
          <w:szCs w:val="16"/>
          <w:color w:val="auto"/>
        </w:rPr>
        <w:t>Research and development expenses increased from €25.8 million for the three months ended September 30, 2024 to €29.8 million for the three months ended September 30, 2025. The increase in research and development expenses is primarily due to the increase in clinical, non-clinical and personnel expenses.</w:t>
      </w:r>
    </w:p>
    <w:p>
      <w:pPr>
        <w:spacing w:after="0" w:line="144" w:lineRule="exact"/>
        <w:rPr>
          <w:sz w:val="20"/>
          <w:szCs w:val="20"/>
          <w:color w:val="auto"/>
        </w:rPr>
      </w:pPr>
    </w:p>
    <w:p>
      <w:pPr>
        <w:ind w:right="260" w:firstLine="374"/>
        <w:spacing w:after="0" w:line="266" w:lineRule="auto"/>
        <w:rPr>
          <w:sz w:val="20"/>
          <w:szCs w:val="20"/>
          <w:color w:val="auto"/>
        </w:rPr>
      </w:pPr>
      <w:r>
        <w:rPr>
          <w:rFonts w:ascii="Arial" w:cs="Arial" w:eastAsia="Arial" w:hAnsi="Arial"/>
          <w:sz w:val="16"/>
          <w:szCs w:val="16"/>
          <w:color w:val="auto"/>
        </w:rPr>
        <w:t>For the three months ended September 30, 2025 and 2024, personnel expenses were €9.0 million and €7.4 million, respectively. This represents an increase of €1.7 million. The increase in personnel expenses is driven by the hiring of additional employees to support the late-stage clinical programs. Personnel expenses include €2.5 million of share-based compensation versus €2.3 million in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ind w:right="320" w:firstLine="374"/>
        <w:spacing w:after="0" w:line="266" w:lineRule="auto"/>
        <w:rPr>
          <w:sz w:val="20"/>
          <w:szCs w:val="20"/>
          <w:color w:val="auto"/>
        </w:rPr>
      </w:pPr>
      <w:r>
        <w:rPr>
          <w:rFonts w:ascii="Arial" w:cs="Arial" w:eastAsia="Arial" w:hAnsi="Arial"/>
          <w:sz w:val="16"/>
          <w:szCs w:val="16"/>
          <w:color w:val="auto"/>
        </w:rPr>
        <w:t>For the three months ended September 30, 2025 and 2024, clinical expenses were €16.5 million and €15.4 million, respectively. This represents an increase of €1.1 million that is due to clinical expenses, outside of the three lead candidate programs, presented as “unallocated other expenses” in the project-specific table below.</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our research and development expenses by project for the three months ended September 30, 2025 and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40" w:type="dxa"/>
            <w:vAlign w:val="bottom"/>
          </w:tcPr>
          <w:p>
            <w:pPr>
              <w:spacing w:after="0"/>
              <w:rPr>
                <w:sz w:val="17"/>
                <w:szCs w:val="17"/>
                <w:color w:val="auto"/>
              </w:rPr>
            </w:pPr>
          </w:p>
        </w:tc>
        <w:tc>
          <w:tcPr>
            <w:tcW w:w="466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6"/>
                <w:szCs w:val="16"/>
                <w:b w:val="1"/>
                <w:bCs w:val="1"/>
                <w:color w:val="auto"/>
              </w:rPr>
              <w:t>Three months ended September 30,</w:t>
            </w:r>
          </w:p>
        </w:tc>
        <w:tc>
          <w:tcPr>
            <w:tcW w:w="10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340" w:type="dxa"/>
            <w:vAlign w:val="bottom"/>
            <w:vMerge w:val="restart"/>
          </w:tcPr>
          <w:p>
            <w:pPr>
              <w:spacing w:after="0"/>
              <w:rPr>
                <w:sz w:val="20"/>
                <w:szCs w:val="20"/>
                <w:color w:val="auto"/>
              </w:rPr>
            </w:pPr>
            <w:r>
              <w:rPr>
                <w:rFonts w:ascii="Arial" w:cs="Arial" w:eastAsia="Arial" w:hAnsi="Arial"/>
                <w:sz w:val="16"/>
                <w:szCs w:val="16"/>
                <w:b w:val="1"/>
                <w:bCs w:val="1"/>
                <w:color w:val="auto"/>
              </w:rPr>
              <w:t>Project-Specific Expenses</w:t>
            </w:r>
          </w:p>
        </w:tc>
        <w:tc>
          <w:tcPr>
            <w:tcW w:w="1540" w:type="dxa"/>
            <w:vAlign w:val="bottom"/>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1420" w:type="dxa"/>
            <w:vAlign w:val="bottom"/>
          </w:tcPr>
          <w:p>
            <w:pPr>
              <w:jc w:val="right"/>
              <w:ind w:right="45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1500" w:type="dxa"/>
            <w:vAlign w:val="bottom"/>
            <w:gridSpan w:val="2"/>
          </w:tcPr>
          <w:p>
            <w:pPr>
              <w:jc w:val="right"/>
              <w:ind w:right="520"/>
              <w:spacing w:after="0" w:line="183" w:lineRule="exact"/>
              <w:rPr>
                <w:sz w:val="20"/>
                <w:szCs w:val="20"/>
                <w:color w:val="auto"/>
              </w:rPr>
            </w:pPr>
            <w:r>
              <w:rPr>
                <w:rFonts w:ascii="Arial" w:cs="Arial" w:eastAsia="Arial" w:hAnsi="Arial"/>
                <w:sz w:val="16"/>
                <w:szCs w:val="16"/>
                <w:b w:val="1"/>
                <w:bCs w:val="1"/>
                <w:color w:val="auto"/>
              </w:rPr>
              <w:t>Change</w:t>
            </w:r>
          </w:p>
        </w:tc>
        <w:tc>
          <w:tcPr>
            <w:tcW w:w="1040" w:type="dxa"/>
            <w:vAlign w:val="bottom"/>
          </w:tcPr>
          <w:p>
            <w:pPr>
              <w:jc w:val="right"/>
              <w:ind w:right="379"/>
              <w:spacing w:after="0" w:line="183" w:lineRule="exact"/>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40" w:type="dxa"/>
            <w:vAlign w:val="bottom"/>
            <w:vMerge w:val="continue"/>
          </w:tcPr>
          <w:p>
            <w:pPr>
              <w:spacing w:after="0"/>
              <w:rPr>
                <w:sz w:val="15"/>
                <w:szCs w:val="15"/>
                <w:color w:val="auto"/>
              </w:rPr>
            </w:pPr>
          </w:p>
        </w:tc>
        <w:tc>
          <w:tcPr>
            <w:tcW w:w="154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5"/>
                <w:szCs w:val="15"/>
                <w:color w:val="auto"/>
              </w:rPr>
            </w:pPr>
          </w:p>
        </w:tc>
        <w:tc>
          <w:tcPr>
            <w:tcW w:w="14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5"/>
                <w:szCs w:val="15"/>
                <w:color w:val="auto"/>
              </w:rPr>
            </w:pPr>
          </w:p>
        </w:tc>
        <w:tc>
          <w:tcPr>
            <w:tcW w:w="1380" w:type="dxa"/>
            <w:vAlign w:val="bottom"/>
            <w:tcBorders>
              <w:top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On-Demand (IR) (HAE – Phase 3)</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(6,506,551)</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(4,278,175)</w:t>
            </w: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(2,228,377)</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rPr>
                <w:sz w:val="20"/>
                <w:szCs w:val="20"/>
                <w:color w:val="auto"/>
              </w:rPr>
            </w:pPr>
            <w:r>
              <w:rPr>
                <w:rFonts w:ascii="Arial" w:cs="Arial" w:eastAsia="Arial" w:hAnsi="Arial"/>
                <w:sz w:val="16"/>
                <w:szCs w:val="16"/>
                <w:color w:val="auto"/>
              </w:rPr>
              <w:t>Prophylaxis (XR) (HAE – Phase 3)</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(6,932,362)</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(11,680,059)</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4,747,697</w:t>
            </w:r>
          </w:p>
        </w:tc>
        <w:tc>
          <w:tcPr>
            <w:tcW w:w="12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3"/>
        </w:trPr>
        <w:tc>
          <w:tcPr>
            <w:tcW w:w="53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AAE (AAE – Phase 3)</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(3,005,282)</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(68,522)</w:t>
            </w: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(2,936,760)</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4286%</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6"/>
                <w:szCs w:val="16"/>
                <w:b w:val="1"/>
                <w:bCs w:val="1"/>
                <w:color w:val="auto"/>
              </w:rPr>
              <w:t>Unallocated Expenses</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Personnel</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(9,019,095)</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(7,357,286)</w:t>
            </w: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(1,661,809)</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3"/>
        </w:trPr>
        <w:tc>
          <w:tcPr>
            <w:tcW w:w="5340" w:type="dxa"/>
            <w:vAlign w:val="bottom"/>
          </w:tcPr>
          <w:p>
            <w:pPr>
              <w:ind w:left="100"/>
              <w:spacing w:after="0"/>
              <w:rPr>
                <w:sz w:val="20"/>
                <w:szCs w:val="20"/>
                <w:color w:val="auto"/>
              </w:rPr>
            </w:pPr>
            <w:r>
              <w:rPr>
                <w:rFonts w:ascii="Arial" w:cs="Arial" w:eastAsia="Arial" w:hAnsi="Arial"/>
                <w:sz w:val="16"/>
                <w:szCs w:val="16"/>
                <w:color w:val="auto"/>
              </w:rPr>
              <w:t>Other</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(4,351,618)</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(2,398,609)</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(1,953,009)</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Total research and development expenses</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(29,814,908)</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(25,782,650)</w:t>
            </w: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(4,032,258)</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-25400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-25400</wp:posOffset>
            </wp:positionV>
            <wp:extent cx="1289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1289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55" w:lineRule="exact"/>
        <w:rPr>
          <w:sz w:val="20"/>
          <w:szCs w:val="20"/>
          <w:color w:val="auto"/>
        </w:rPr>
      </w:pPr>
    </w:p>
    <w:p>
      <w:pPr>
        <w:ind w:right="120" w:firstLine="374"/>
        <w:spacing w:after="0" w:line="266" w:lineRule="auto"/>
        <w:rPr>
          <w:sz w:val="20"/>
          <w:szCs w:val="20"/>
          <w:color w:val="auto"/>
        </w:rPr>
      </w:pPr>
      <w:r>
        <w:rPr>
          <w:rFonts w:ascii="Arial" w:cs="Arial" w:eastAsia="Arial" w:hAnsi="Arial"/>
          <w:sz w:val="16"/>
          <w:szCs w:val="16"/>
          <w:color w:val="auto"/>
        </w:rPr>
        <w:t>On-Demand (IR) project-specific expense increased due to work accelerated into the quarter to complete the study. Prophylaxis (XR) project-specific expense was greater in the third quarter of 2024 due to the startup activities for the study. AAE project-specific expense increased during the current period due to the ramp-up of CREAATE, a global, pivotal Phase 3 study.</w:t>
      </w:r>
    </w:p>
    <w:p>
      <w:pPr>
        <w:spacing w:after="0" w:line="144" w:lineRule="exact"/>
        <w:rPr>
          <w:sz w:val="20"/>
          <w:szCs w:val="20"/>
          <w:color w:val="auto"/>
        </w:rPr>
      </w:pPr>
    </w:p>
    <w:p>
      <w:pPr>
        <w:ind w:right="220" w:firstLine="374"/>
        <w:spacing w:after="0" w:line="286" w:lineRule="auto"/>
        <w:rPr>
          <w:sz w:val="20"/>
          <w:szCs w:val="20"/>
          <w:color w:val="auto"/>
        </w:rPr>
      </w:pPr>
      <w:r>
        <w:rPr>
          <w:rFonts w:ascii="Arial" w:cs="Arial" w:eastAsia="Arial" w:hAnsi="Arial"/>
          <w:sz w:val="16"/>
          <w:szCs w:val="16"/>
          <w:color w:val="auto"/>
        </w:rPr>
        <w:t>For the three months ended September 30, 2025 and 2024, nonclinical expenses were €1.4 million and €0.3 million, respectively. This represents an increase of €1.1 million. The increase is primarily due to non-deucrictibant preclinical activities.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40" w:type="dxa"/>
            <w:vAlign w:val="bottom"/>
          </w:tcPr>
          <w:p>
            <w:pPr>
              <w:ind w:left="380"/>
              <w:spacing w:after="0"/>
              <w:rPr>
                <w:sz w:val="20"/>
                <w:szCs w:val="20"/>
                <w:color w:val="auto"/>
              </w:rPr>
            </w:pPr>
            <w:r>
              <w:rPr>
                <w:rFonts w:ascii="Arial" w:cs="Arial" w:eastAsia="Arial" w:hAnsi="Arial"/>
                <w:sz w:val="16"/>
                <w:szCs w:val="16"/>
                <w:i w:val="1"/>
                <w:iCs w:val="1"/>
                <w:color w:val="auto"/>
              </w:rPr>
              <w:t>General and administrative expenses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91"/>
        </w:trPr>
        <w:tc>
          <w:tcPr>
            <w:tcW w:w="524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8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99"/>
        </w:trPr>
        <w:tc>
          <w:tcPr>
            <w:tcW w:w="5240" w:type="dxa"/>
            <w:vAlign w:val="bottom"/>
          </w:tcPr>
          <w:p>
            <w:pPr>
              <w:spacing w:after="0"/>
              <w:rPr>
                <w:sz w:val="17"/>
                <w:szCs w:val="17"/>
                <w:color w:val="auto"/>
              </w:rPr>
            </w:pPr>
          </w:p>
        </w:tc>
        <w:tc>
          <w:tcPr>
            <w:tcW w:w="13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7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7"/>
                <w:szCs w:val="17"/>
                <w:color w:val="auto"/>
              </w:rPr>
            </w:pPr>
          </w:p>
        </w:tc>
        <w:tc>
          <w:tcPr>
            <w:tcW w:w="142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Personnel expenses</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(5,345,074)</w:t>
            </w:r>
          </w:p>
        </w:tc>
        <w:tc>
          <w:tcPr>
            <w:tcW w:w="19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(5,335,091)</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(9,983)</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(1,627,647)</w:t>
            </w:r>
          </w:p>
        </w:tc>
        <w:tc>
          <w:tcPr>
            <w:tcW w:w="1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(2,222,064)</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594,417</w:t>
            </w: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Facilities, communication and office expenses</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(1,276,944)</w:t>
            </w:r>
          </w:p>
        </w:tc>
        <w:tc>
          <w:tcPr>
            <w:tcW w:w="19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(1,632,564)</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355,620</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Accounting, tax and auditing fees</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(566,839)</w:t>
            </w:r>
          </w:p>
        </w:tc>
        <w:tc>
          <w:tcPr>
            <w:tcW w:w="1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(868,389)</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301,550</w:t>
            </w: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Travel expenses</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(252,162)</w:t>
            </w:r>
          </w:p>
        </w:tc>
        <w:tc>
          <w:tcPr>
            <w:tcW w:w="19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(656,615)</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404,453</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Consulting fees</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(13,999)</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13,999</w:t>
            </w: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(780,925)</w:t>
            </w:r>
          </w:p>
        </w:tc>
        <w:tc>
          <w:tcPr>
            <w:tcW w:w="19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(1,390,901)</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609,976</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
        </w:trPr>
        <w:tc>
          <w:tcPr>
            <w:tcW w:w="524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96"/>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(9,849,591)</w:t>
            </w:r>
          </w:p>
        </w:tc>
        <w:tc>
          <w:tcPr>
            <w:tcW w:w="1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(12,119,623)</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2,270,032</w:t>
            </w:r>
          </w:p>
        </w:tc>
        <w:tc>
          <w:tcPr>
            <w:tcW w:w="2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5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-161925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-161925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-161925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-161925</wp:posOffset>
            </wp:positionV>
            <wp:extent cx="120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44" w:lineRule="exact"/>
        <w:rPr>
          <w:sz w:val="20"/>
          <w:szCs w:val="20"/>
          <w:color w:val="auto"/>
        </w:rPr>
      </w:pPr>
    </w:p>
    <w:p>
      <w:pPr>
        <w:ind w:right="20" w:firstLine="374"/>
        <w:spacing w:after="0" w:line="266" w:lineRule="auto"/>
        <w:rPr>
          <w:sz w:val="20"/>
          <w:szCs w:val="20"/>
          <w:color w:val="auto"/>
        </w:rPr>
      </w:pPr>
      <w:r>
        <w:rPr>
          <w:rFonts w:ascii="Arial" w:cs="Arial" w:eastAsia="Arial" w:hAnsi="Arial"/>
          <w:sz w:val="16"/>
          <w:szCs w:val="16"/>
          <w:color w:val="auto"/>
        </w:rPr>
        <w:t>General and administrative expenses decreased from €12.1 million for the three months ended September 30, 2024 to €9.8 million for the three months ended September 30, 2025. During the current period, the decrease was attributable to decreases across all of the categories, except for personnel expenses which were flat.</w:t>
      </w:r>
    </w:p>
    <w:p>
      <w:pPr>
        <w:spacing w:after="0" w:line="144" w:lineRule="exact"/>
        <w:rPr>
          <w:sz w:val="20"/>
          <w:szCs w:val="20"/>
          <w:color w:val="auto"/>
        </w:rPr>
      </w:pPr>
    </w:p>
    <w:p>
      <w:pPr>
        <w:ind w:right="80" w:firstLine="374"/>
        <w:spacing w:after="0" w:line="266" w:lineRule="auto"/>
        <w:rPr>
          <w:sz w:val="20"/>
          <w:szCs w:val="20"/>
          <w:color w:val="auto"/>
        </w:rPr>
      </w:pPr>
      <w:r>
        <w:rPr>
          <w:rFonts w:ascii="Arial" w:cs="Arial" w:eastAsia="Arial" w:hAnsi="Arial"/>
          <w:sz w:val="16"/>
          <w:szCs w:val="16"/>
          <w:color w:val="auto"/>
        </w:rPr>
        <w:t>For the three months ended September 30, 2025 and 2024, the professional fees were €1.6 million and €2.2 million, respectively. The decrease is primarily related to a reduction in legal fees driven by ongoing efforts of moving from external consultants to employees for legal and accounting services. In addition, we did not reactivate the at-the-market financing facility put in place in 2024.</w:t>
      </w:r>
    </w:p>
    <w:p>
      <w:pPr>
        <w:spacing w:after="0" w:line="90" w:lineRule="exact"/>
        <w:rPr>
          <w:sz w:val="20"/>
          <w:szCs w:val="20"/>
          <w:color w:val="auto"/>
        </w:rPr>
      </w:pPr>
    </w:p>
    <w:p>
      <w:pPr>
        <w:ind w:right="800" w:firstLine="374"/>
        <w:spacing w:after="0" w:line="286" w:lineRule="auto"/>
        <w:rPr>
          <w:sz w:val="20"/>
          <w:szCs w:val="20"/>
          <w:color w:val="auto"/>
        </w:rPr>
      </w:pPr>
      <w:r>
        <w:rPr>
          <w:rFonts w:ascii="Arial" w:cs="Arial" w:eastAsia="Arial" w:hAnsi="Arial"/>
          <w:sz w:val="16"/>
          <w:szCs w:val="16"/>
          <w:color w:val="auto"/>
        </w:rPr>
        <w:t>For the three months ended September 30, 2025 and 2024, facilities, communication and office expenses were €1.3 million and €1.6 million, respectively. The change is primarily related to a decrease in IT related expenses and D&amp;O insurance premiums in the current year.</w:t>
      </w:r>
    </w:p>
    <w:p>
      <w:pPr>
        <w:spacing w:after="0" w:line="88" w:lineRule="exact"/>
        <w:rPr>
          <w:sz w:val="20"/>
          <w:szCs w:val="20"/>
          <w:color w:val="auto"/>
        </w:rPr>
      </w:pPr>
    </w:p>
    <w:p>
      <w:pPr>
        <w:ind w:right="420" w:firstLine="374"/>
        <w:spacing w:after="0" w:line="286" w:lineRule="auto"/>
        <w:rPr>
          <w:sz w:val="20"/>
          <w:szCs w:val="20"/>
          <w:color w:val="auto"/>
        </w:rPr>
      </w:pPr>
      <w:r>
        <w:rPr>
          <w:rFonts w:ascii="Arial" w:cs="Arial" w:eastAsia="Arial" w:hAnsi="Arial"/>
          <w:sz w:val="16"/>
          <w:szCs w:val="16"/>
          <w:color w:val="auto"/>
        </w:rPr>
        <w:t>For the three months ended September 30, 2025 and 2024, accounting, tax and auditing fees were €0.6 million and €0.9 million, respectively. The decrease is primarily related to our ongoing efforts of moving from external consultants to employees.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5" w:name="page16"/>
    <w:bookmarkEnd w:id="15"/>
    <w:p>
      <w:pPr>
        <w:spacing w:after="0" w:line="157" w:lineRule="exact"/>
        <w:rPr>
          <w:sz w:val="20"/>
          <w:szCs w:val="20"/>
          <w:color w:val="auto"/>
        </w:rPr>
      </w:pPr>
    </w:p>
    <w:p>
      <w:pPr>
        <w:ind w:right="100" w:firstLine="374"/>
        <w:spacing w:after="0" w:line="266" w:lineRule="auto"/>
        <w:rPr>
          <w:sz w:val="20"/>
          <w:szCs w:val="20"/>
          <w:color w:val="auto"/>
        </w:rPr>
      </w:pPr>
      <w:r>
        <w:rPr>
          <w:rFonts w:ascii="Arial" w:cs="Arial" w:eastAsia="Arial" w:hAnsi="Arial"/>
          <w:sz w:val="16"/>
          <w:szCs w:val="16"/>
          <w:color w:val="auto"/>
        </w:rPr>
        <w:t>For the three months ended September 30, 2025 and 2024, travel expenses were €0.3 million and €0.7 million respectively. The decrease primarily reflects the reclassification of €0.8 million in research and development travel costs from general and administrative expenses to research and development expenses for the three months ended September 30, 2025.</w:t>
      </w:r>
    </w:p>
    <w:p>
      <w:pPr>
        <w:spacing w:after="0" w:line="104" w:lineRule="exact"/>
        <w:rPr>
          <w:sz w:val="20"/>
          <w:szCs w:val="20"/>
          <w:color w:val="auto"/>
        </w:rPr>
      </w:pPr>
    </w:p>
    <w:p>
      <w:pPr>
        <w:jc w:val="both"/>
        <w:ind w:firstLine="374"/>
        <w:spacing w:after="0" w:line="266" w:lineRule="auto"/>
        <w:rPr>
          <w:sz w:val="20"/>
          <w:szCs w:val="20"/>
          <w:color w:val="auto"/>
        </w:rPr>
      </w:pPr>
      <w:r>
        <w:rPr>
          <w:rFonts w:ascii="Arial" w:cs="Arial" w:eastAsia="Arial" w:hAnsi="Arial"/>
          <w:sz w:val="16"/>
          <w:szCs w:val="16"/>
          <w:color w:val="auto"/>
        </w:rPr>
        <w:t>For the three months ended September 30, 2025 and 2024, other expenses were €0.8 million and €1.4 million, respectively, a decrease of €0.6 million. The decrease is primarily due to the general and administrative reclassification discussed above, whereby pre-commercial expenses are now being recorded in professional fees.</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Finance income / (expense) - net</w:t>
      </w:r>
    </w:p>
    <w:p>
      <w:pPr>
        <w:spacing w:after="0" w:line="179" w:lineRule="exact"/>
        <w:rPr>
          <w:sz w:val="20"/>
          <w:szCs w:val="20"/>
          <w:color w:val="auto"/>
        </w:rPr>
      </w:pPr>
    </w:p>
    <w:p>
      <w:pPr>
        <w:ind w:right="340" w:firstLine="374"/>
        <w:spacing w:after="0" w:line="266" w:lineRule="auto"/>
        <w:rPr>
          <w:sz w:val="20"/>
          <w:szCs w:val="20"/>
          <w:color w:val="auto"/>
        </w:rPr>
      </w:pPr>
      <w:r>
        <w:rPr>
          <w:rFonts w:ascii="Arial" w:cs="Arial" w:eastAsia="Arial" w:hAnsi="Arial"/>
          <w:sz w:val="16"/>
          <w:szCs w:val="16"/>
          <w:color w:val="auto"/>
        </w:rPr>
        <w:t>Finance income (expense) for the three months ended September 30, 2025 and 2024 were €2.3 million and (€3.6) million, respectively. The €5.9 million year-over-year variance was primarily attributable to foreign exchange losses recognized in the third quarter of 2024 due to the devaluation of the USD versus the Euro, our functional currency. Interest and other income were substantially unchanged from the prior year.</w:t>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Income taxes</w:t>
      </w:r>
    </w:p>
    <w:p>
      <w:pPr>
        <w:spacing w:after="0" w:line="192" w:lineRule="exact"/>
        <w:rPr>
          <w:sz w:val="20"/>
          <w:szCs w:val="20"/>
          <w:color w:val="auto"/>
        </w:rPr>
      </w:pPr>
    </w:p>
    <w:p>
      <w:pPr>
        <w:ind w:firstLine="374"/>
        <w:spacing w:after="0" w:line="256" w:lineRule="auto"/>
        <w:rPr>
          <w:sz w:val="20"/>
          <w:szCs w:val="20"/>
          <w:color w:val="auto"/>
        </w:rPr>
      </w:pPr>
      <w:r>
        <w:rPr>
          <w:rFonts w:ascii="Arial" w:cs="Arial" w:eastAsia="Arial" w:hAnsi="Arial"/>
          <w:sz w:val="16"/>
          <w:szCs w:val="16"/>
          <w:color w:val="auto"/>
        </w:rPr>
        <w:t>Income taxes are accounted for in accordance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and subsequently allocated using the expected full-year effective tax rate. The one-off items are recognized in full in the interim period in which they emerge. In the total interim tax charge, no distinction is made between current and deferred tax expenses/income.</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tax expense over the three months ended September 30, 2025 relates to the Company's U.S. and Dutch fiscal unity.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Comparison of the nine months ended September 30, 2025 and September 30,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gridSpan w:val="6"/>
          </w:tcPr>
          <w:p>
            <w:pPr>
              <w:jc w:val="right"/>
              <w:ind w:right="12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5"/>
        </w:trPr>
        <w:tc>
          <w:tcPr>
            <w:tcW w:w="426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ind w:left="10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9"/>
        </w:trPr>
        <w:tc>
          <w:tcPr>
            <w:tcW w:w="4260" w:type="dxa"/>
            <w:vAlign w:val="bottom"/>
          </w:tcPr>
          <w:p>
            <w:pPr>
              <w:spacing w:after="0"/>
              <w:rPr>
                <w:sz w:val="17"/>
                <w:szCs w:val="17"/>
                <w:color w:val="auto"/>
              </w:rPr>
            </w:pPr>
          </w:p>
        </w:tc>
        <w:tc>
          <w:tcPr>
            <w:tcW w:w="16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6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r>
      <w:tr>
        <w:trPr>
          <w:trHeight w:val="196"/>
        </w:trPr>
        <w:tc>
          <w:tcPr>
            <w:tcW w:w="4260" w:type="dxa"/>
            <w:vAlign w:val="bottom"/>
          </w:tcPr>
          <w:p>
            <w:pPr>
              <w:spacing w:after="0"/>
              <w:rPr>
                <w:sz w:val="17"/>
                <w:szCs w:val="17"/>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(90,337,209)</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(67,363,600)</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(22,973,609)</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w:t>
            </w:r>
          </w:p>
        </w:tc>
      </w:tr>
      <w:tr>
        <w:trPr>
          <w:trHeight w:val="202"/>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(31,886,698)</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(33,232,533)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1,345,835</w:t>
            </w:r>
          </w:p>
        </w:tc>
        <w:tc>
          <w:tcPr>
            <w:tcW w:w="22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42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(122,223,907)</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(100,596,133)</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(21,627,774)</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r>
      <w:tr>
        <w:trPr>
          <w:trHeight w:val="20"/>
        </w:trPr>
        <w:tc>
          <w:tcPr>
            <w:tcW w:w="426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(122,223,907)</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(100,596,133)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(21,627,774)</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r>
      <w:tr>
        <w:trPr>
          <w:trHeight w:val="20"/>
        </w:trPr>
        <w:tc>
          <w:tcPr>
            <w:tcW w:w="42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(expense)/income</w:t>
            </w: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(6,410,657)</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1,721,377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(8,132,034)</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(472)%</w:t>
            </w:r>
          </w:p>
        </w:tc>
      </w:tr>
      <w:tr>
        <w:trPr>
          <w:trHeight w:val="20"/>
        </w:trPr>
        <w:tc>
          <w:tcPr>
            <w:tcW w:w="426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before tax</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(128,634,564)</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(98,874,756)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(29,759,808)</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42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(323,980)</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(585,831)</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261,851</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r>
      <w:tr>
        <w:trPr>
          <w:trHeight w:val="20"/>
        </w:trPr>
        <w:tc>
          <w:tcPr>
            <w:tcW w:w="426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(128,958,544)</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(99,460,587)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(29,497,957)</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42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-710565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-710565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-710565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-710565</wp:posOffset>
            </wp:positionV>
            <wp:extent cx="1289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-436245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-436245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-436245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-436245</wp:posOffset>
            </wp:positionV>
            <wp:extent cx="1289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-162560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-162560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-162560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-162560</wp:posOffset>
            </wp:positionV>
            <wp:extent cx="1289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346"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Revenues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did not generate any revenues for the nine months ended September 30, 2025 and September 30,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60" w:type="dxa"/>
            <w:vAlign w:val="bottom"/>
          </w:tcPr>
          <w:p>
            <w:pPr>
              <w:ind w:left="380"/>
              <w:spacing w:after="0"/>
              <w:rPr>
                <w:sz w:val="20"/>
                <w:szCs w:val="20"/>
                <w:color w:val="auto"/>
              </w:rPr>
            </w:pPr>
            <w:r>
              <w:rPr>
                <w:rFonts w:ascii="Arial" w:cs="Arial" w:eastAsia="Arial" w:hAnsi="Arial"/>
                <w:sz w:val="16"/>
                <w:szCs w:val="16"/>
                <w:i w:val="1"/>
                <w:iCs w:val="1"/>
                <w:color w:val="auto"/>
              </w:rPr>
              <w:t>Research and development expenses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gridSpan w:val="5"/>
            <w:vMerge w:val="restart"/>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40" w:type="dxa"/>
            <w:vAlign w:val="bottom"/>
            <w:gridSpan w:val="5"/>
            <w:vMerge w:val="continue"/>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60" w:type="dxa"/>
            <w:vAlign w:val="bottom"/>
          </w:tcPr>
          <w:p>
            <w:pPr>
              <w:spacing w:after="0"/>
              <w:rPr>
                <w:sz w:val="17"/>
                <w:szCs w:val="17"/>
                <w:color w:val="auto"/>
              </w:rPr>
            </w:pPr>
          </w:p>
        </w:tc>
        <w:tc>
          <w:tcPr>
            <w:tcW w:w="156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Personnel expenses</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(26,796,193)</w:t>
            </w: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(18,988,262)</w:t>
            </w:r>
          </w:p>
        </w:tc>
        <w:tc>
          <w:tcPr>
            <w:tcW w:w="4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(7,807,931)</w:t>
            </w: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Clinical expenses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(48,551,185)</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(37,824,808)</w:t>
            </w:r>
          </w:p>
        </w:tc>
        <w:tc>
          <w:tcPr>
            <w:tcW w:w="4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(10,726,377)</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Manufacturing costs</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(8,546,654)</w:t>
            </w: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(6,671,718)</w:t>
            </w:r>
          </w:p>
        </w:tc>
        <w:tc>
          <w:tcPr>
            <w:tcW w:w="4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(1,874,936)</w:t>
            </w: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Nonclinical expenses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(6,141,579)</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(2,012,770)</w:t>
            </w:r>
          </w:p>
        </w:tc>
        <w:tc>
          <w:tcPr>
            <w:tcW w:w="4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(4,128,809)</w:t>
            </w: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3"/>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License costs</w:t>
            </w: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(1,500,000)</w:t>
            </w:r>
          </w:p>
        </w:tc>
        <w:tc>
          <w:tcPr>
            <w:tcW w:w="4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22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 costs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(301,598)</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(366,042)</w:t>
            </w:r>
          </w:p>
        </w:tc>
        <w:tc>
          <w:tcPr>
            <w:tcW w:w="4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64,444</w:t>
            </w:r>
          </w:p>
        </w:tc>
        <w:tc>
          <w:tcPr>
            <w:tcW w:w="220" w:type="dxa"/>
            <w:vAlign w:val="bottom"/>
          </w:tcPr>
          <w:p>
            <w:pPr>
              <w:spacing w:after="0"/>
              <w:rPr>
                <w:sz w:val="17"/>
                <w:szCs w:val="17"/>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(90,337,209)</w:t>
            </w: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(67,363,600)</w:t>
            </w:r>
          </w:p>
        </w:tc>
        <w:tc>
          <w:tcPr>
            <w:tcW w:w="4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(22,973,609)</w:t>
            </w: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-24765</wp:posOffset>
            </wp:positionV>
            <wp:extent cx="1289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-8255</wp:posOffset>
            </wp:positionV>
            <wp:extent cx="1289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71" w:lineRule="exact"/>
        <w:rPr>
          <w:sz w:val="20"/>
          <w:szCs w:val="20"/>
          <w:color w:val="auto"/>
        </w:rPr>
      </w:pPr>
    </w:p>
    <w:p>
      <w:pPr>
        <w:ind w:right="220" w:firstLine="374"/>
        <w:spacing w:after="0" w:line="286" w:lineRule="auto"/>
        <w:rPr>
          <w:sz w:val="20"/>
          <w:szCs w:val="20"/>
          <w:color w:val="auto"/>
        </w:rPr>
      </w:pPr>
      <w:r>
        <w:rPr>
          <w:rFonts w:ascii="Arial" w:cs="Arial" w:eastAsia="Arial" w:hAnsi="Arial"/>
          <w:sz w:val="16"/>
          <w:szCs w:val="16"/>
          <w:color w:val="auto"/>
        </w:rPr>
        <w:t>Research and development expenses increased from €67.4 million for the nine months ended September 30, 2024 compared to €90.3 million for the nine months ended September 30, 2025.</w:t>
      </w:r>
    </w:p>
    <w:p>
      <w:pPr>
        <w:spacing w:after="0" w:line="129" w:lineRule="exact"/>
        <w:rPr>
          <w:sz w:val="20"/>
          <w:szCs w:val="20"/>
          <w:color w:val="auto"/>
        </w:rPr>
      </w:pPr>
    </w:p>
    <w:p>
      <w:pPr>
        <w:ind w:right="120" w:firstLine="374"/>
        <w:spacing w:after="0" w:line="259" w:lineRule="auto"/>
        <w:rPr>
          <w:sz w:val="20"/>
          <w:szCs w:val="20"/>
          <w:color w:val="auto"/>
        </w:rPr>
      </w:pPr>
      <w:r>
        <w:rPr>
          <w:rFonts w:ascii="Arial" w:cs="Arial" w:eastAsia="Arial" w:hAnsi="Arial"/>
          <w:sz w:val="16"/>
          <w:szCs w:val="16"/>
          <w:color w:val="auto"/>
        </w:rPr>
        <w:t>For the nine months ended September 30, 2025 and 2024, personnel expenses were €26.8 million and €19.0 million, respectively, an increase of €7.8 million. The increase in personnel expenses is primarily driven by the hiring of additional employees to support the three Phase 3 studies. Personnel expenses include €7.5 million of share-based compensation versus €5.2 million in the prior-year period. The nine-month increase in share-based compensation is due to the net effect of the annual and new hire grants awarded through September 30, 2025.</w:t>
      </w:r>
    </w:p>
    <w:p>
      <w:pPr>
        <w:spacing w:after="0" w:line="151" w:lineRule="exact"/>
        <w:rPr>
          <w:sz w:val="20"/>
          <w:szCs w:val="20"/>
          <w:color w:val="auto"/>
        </w:rPr>
      </w:pPr>
    </w:p>
    <w:p>
      <w:pPr>
        <w:ind w:right="140" w:firstLine="374"/>
        <w:spacing w:after="0" w:line="266" w:lineRule="auto"/>
        <w:rPr>
          <w:sz w:val="20"/>
          <w:szCs w:val="20"/>
          <w:color w:val="auto"/>
        </w:rPr>
      </w:pPr>
      <w:r>
        <w:rPr>
          <w:rFonts w:ascii="Arial" w:cs="Arial" w:eastAsia="Arial" w:hAnsi="Arial"/>
          <w:sz w:val="16"/>
          <w:szCs w:val="16"/>
          <w:color w:val="auto"/>
        </w:rPr>
        <w:t>Clinical expenses were €48.6 million and €37.8 million, respectively. The increase in clinical expenses is primarily due to higher expenses in the deucrictibant Phase 3 studies (IR, XR and AAE), although expenses for the IR program are slowing as it nears its data readout while XR and AAE continue enrolling patients (see project-specific table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6"/>
                <w:szCs w:val="16"/>
                <w:b w:val="1"/>
                <w:bCs w:val="1"/>
                <w:color w:val="auto"/>
              </w:rPr>
              <w:t>Nine months ended September 30,</w:t>
            </w:r>
          </w:p>
        </w:tc>
        <w:tc>
          <w:tcPr>
            <w:tcW w:w="1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580" w:type="dxa"/>
            <w:vAlign w:val="bottom"/>
            <w:vMerge w:val="restart"/>
          </w:tcPr>
          <w:p>
            <w:pPr>
              <w:spacing w:after="0"/>
              <w:rPr>
                <w:sz w:val="20"/>
                <w:szCs w:val="20"/>
                <w:color w:val="auto"/>
              </w:rPr>
            </w:pPr>
            <w:r>
              <w:rPr>
                <w:rFonts w:ascii="Arial" w:cs="Arial" w:eastAsia="Arial" w:hAnsi="Arial"/>
                <w:sz w:val="16"/>
                <w:szCs w:val="16"/>
                <w:b w:val="1"/>
                <w:bCs w:val="1"/>
                <w:color w:val="auto"/>
              </w:rPr>
              <w:t>Project-Specific Expenses</w:t>
            </w:r>
          </w:p>
        </w:tc>
        <w:tc>
          <w:tcPr>
            <w:tcW w:w="1280" w:type="dxa"/>
            <w:vAlign w:val="bottom"/>
          </w:tcPr>
          <w:p>
            <w:pPr>
              <w:jc w:val="right"/>
              <w:ind w:right="37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1420" w:type="dxa"/>
            <w:vAlign w:val="bottom"/>
          </w:tcPr>
          <w:p>
            <w:pPr>
              <w:jc w:val="right"/>
              <w:ind w:right="45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1500" w:type="dxa"/>
            <w:vAlign w:val="bottom"/>
            <w:gridSpan w:val="2"/>
          </w:tcPr>
          <w:p>
            <w:pPr>
              <w:jc w:val="right"/>
              <w:ind w:right="500"/>
              <w:spacing w:after="0" w:line="183" w:lineRule="exact"/>
              <w:rPr>
                <w:sz w:val="20"/>
                <w:szCs w:val="20"/>
                <w:color w:val="auto"/>
              </w:rPr>
            </w:pPr>
            <w:r>
              <w:rPr>
                <w:rFonts w:ascii="Arial" w:cs="Arial" w:eastAsia="Arial" w:hAnsi="Arial"/>
                <w:sz w:val="16"/>
                <w:szCs w:val="16"/>
                <w:b w:val="1"/>
                <w:bCs w:val="1"/>
                <w:color w:val="auto"/>
              </w:rPr>
              <w:t>Change</w:t>
            </w:r>
          </w:p>
        </w:tc>
        <w:tc>
          <w:tcPr>
            <w:tcW w:w="1120" w:type="dxa"/>
            <w:vAlign w:val="bottom"/>
          </w:tcPr>
          <w:p>
            <w:pPr>
              <w:jc w:val="right"/>
              <w:ind w:right="419"/>
              <w:spacing w:after="0" w:line="183" w:lineRule="exact"/>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80" w:type="dxa"/>
            <w:vAlign w:val="bottom"/>
            <w:vMerge w:val="continue"/>
          </w:tcPr>
          <w:p>
            <w:pPr>
              <w:spacing w:after="0"/>
              <w:rPr>
                <w:sz w:val="15"/>
                <w:szCs w:val="15"/>
                <w:color w:val="auto"/>
              </w:rPr>
            </w:pPr>
          </w:p>
        </w:tc>
        <w:tc>
          <w:tcPr>
            <w:tcW w:w="12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4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5"/>
                <w:szCs w:val="15"/>
                <w:color w:val="auto"/>
              </w:rPr>
            </w:pPr>
          </w:p>
        </w:tc>
        <w:tc>
          <w:tcPr>
            <w:tcW w:w="1400" w:type="dxa"/>
            <w:vAlign w:val="bottom"/>
            <w:tcBorders>
              <w:top w:val="single" w:sz="8" w:color="auto"/>
            </w:tcBorders>
          </w:tcPr>
          <w:p>
            <w:pPr>
              <w:jc w:val="right"/>
              <w:ind w:right="579"/>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On-Demand (IR) (HAE – Phase 3)</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(20,690,919)</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(19,795,843)</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(895,076)</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3"/>
        </w:trPr>
        <w:tc>
          <w:tcPr>
            <w:tcW w:w="5580" w:type="dxa"/>
            <w:vAlign w:val="bottom"/>
          </w:tcPr>
          <w:p>
            <w:pPr>
              <w:ind w:left="100"/>
              <w:spacing w:after="0"/>
              <w:rPr>
                <w:sz w:val="20"/>
                <w:szCs w:val="20"/>
                <w:color w:val="auto"/>
              </w:rPr>
            </w:pPr>
            <w:r>
              <w:rPr>
                <w:rFonts w:ascii="Arial" w:cs="Arial" w:eastAsia="Arial" w:hAnsi="Arial"/>
                <w:sz w:val="16"/>
                <w:szCs w:val="16"/>
                <w:color w:val="auto"/>
              </w:rPr>
              <w:t>Prophylaxis (XR) (HAE – Phase 3)</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(23,017,480)</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(18,612,716)</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(4,404,764)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3"/>
        </w:trPr>
        <w:tc>
          <w:tcPr>
            <w:tcW w:w="55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AAE (AAE – Phase 3)</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(3,706,023)</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(101,006)</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(3,605,017)</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3569%</w:t>
            </w:r>
          </w:p>
        </w:tc>
        <w:tc>
          <w:tcPr>
            <w:tcW w:w="0" w:type="dxa"/>
            <w:vAlign w:val="bottom"/>
          </w:tcPr>
          <w:p>
            <w:pPr>
              <w:spacing w:after="0"/>
              <w:rPr>
                <w:sz w:val="1"/>
                <w:szCs w:val="1"/>
                <w:color w:val="auto"/>
              </w:rPr>
            </w:pPr>
          </w:p>
        </w:tc>
      </w:tr>
      <w:tr>
        <w:trPr>
          <w:trHeight w:val="202"/>
        </w:trPr>
        <w:tc>
          <w:tcPr>
            <w:tcW w:w="5580" w:type="dxa"/>
            <w:vAlign w:val="bottom"/>
          </w:tcPr>
          <w:p>
            <w:pPr>
              <w:spacing w:after="0"/>
              <w:rPr>
                <w:sz w:val="20"/>
                <w:szCs w:val="20"/>
                <w:color w:val="auto"/>
              </w:rPr>
            </w:pPr>
            <w:r>
              <w:rPr>
                <w:rFonts w:ascii="Arial" w:cs="Arial" w:eastAsia="Arial" w:hAnsi="Arial"/>
                <w:sz w:val="16"/>
                <w:szCs w:val="16"/>
                <w:b w:val="1"/>
                <w:bCs w:val="1"/>
                <w:color w:val="auto"/>
              </w:rPr>
              <w:t>Unallocated Expenses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Personnel</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(26,796,193)</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(18,988,262)</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(7,807,931)</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3"/>
        </w:trPr>
        <w:tc>
          <w:tcPr>
            <w:tcW w:w="5580" w:type="dxa"/>
            <w:vAlign w:val="bottom"/>
          </w:tcPr>
          <w:p>
            <w:pPr>
              <w:ind w:left="100"/>
              <w:spacing w:after="0"/>
              <w:rPr>
                <w:sz w:val="20"/>
                <w:szCs w:val="20"/>
                <w:color w:val="auto"/>
              </w:rPr>
            </w:pPr>
            <w:r>
              <w:rPr>
                <w:rFonts w:ascii="Arial" w:cs="Arial" w:eastAsia="Arial" w:hAnsi="Arial"/>
                <w:sz w:val="16"/>
                <w:szCs w:val="16"/>
                <w:color w:val="auto"/>
              </w:rPr>
              <w:t>Other</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(16,126,594)</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(9,865,773)</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(6,260,821)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Total research and development expenses</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(90,337,209)</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(67,363,600)</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(22,973,609)</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5" w:lineRule="exact"/>
        <w:rPr>
          <w:sz w:val="20"/>
          <w:szCs w:val="20"/>
          <w:color w:val="auto"/>
        </w:rPr>
      </w:pPr>
    </w:p>
    <w:p>
      <w:pPr>
        <w:ind w:right="180" w:firstLine="374"/>
        <w:spacing w:after="0" w:line="266" w:lineRule="auto"/>
        <w:rPr>
          <w:sz w:val="20"/>
          <w:szCs w:val="20"/>
          <w:color w:val="auto"/>
        </w:rPr>
      </w:pPr>
      <w:r>
        <w:rPr>
          <w:rFonts w:ascii="Arial" w:cs="Arial" w:eastAsia="Arial" w:hAnsi="Arial"/>
          <w:sz w:val="16"/>
          <w:szCs w:val="16"/>
          <w:color w:val="auto"/>
        </w:rPr>
        <w:t>On-Demand (IR) project-specific expense remained flat as the deucrictibant Phase 3 study is nearing completion. Prophylaxis (XR) project-specific expense increased due to enrollment in CHAPTER-3 progressing as planned. AAE project-specific expense increased due to the ramp-up of CREAATE, a global, pivotal Phase 3 study.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20" w:type="dxa"/>
            <w:vAlign w:val="bottom"/>
          </w:tcPr>
          <w:p>
            <w:pPr>
              <w:ind w:left="380"/>
              <w:spacing w:after="0"/>
              <w:rPr>
                <w:sz w:val="20"/>
                <w:szCs w:val="20"/>
                <w:color w:val="auto"/>
              </w:rPr>
            </w:pPr>
            <w:r>
              <w:rPr>
                <w:rFonts w:ascii="Arial" w:cs="Arial" w:eastAsia="Arial" w:hAnsi="Arial"/>
                <w:sz w:val="16"/>
                <w:szCs w:val="16"/>
                <w:i w:val="1"/>
                <w:iCs w:val="1"/>
                <w:color w:val="auto"/>
              </w:rPr>
              <w:t>General and administrative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64"/>
        </w:trPr>
        <w:tc>
          <w:tcPr>
            <w:tcW w:w="4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5"/>
        </w:trPr>
        <w:tc>
          <w:tcPr>
            <w:tcW w:w="452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10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9"/>
        </w:trPr>
        <w:tc>
          <w:tcPr>
            <w:tcW w:w="4520" w:type="dxa"/>
            <w:vAlign w:val="bottom"/>
          </w:tcPr>
          <w:p>
            <w:pPr>
              <w:spacing w:after="0"/>
              <w:rPr>
                <w:sz w:val="17"/>
                <w:szCs w:val="17"/>
                <w:color w:val="auto"/>
              </w:rPr>
            </w:pPr>
          </w:p>
        </w:tc>
        <w:tc>
          <w:tcPr>
            <w:tcW w:w="15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r>
      <w:tr>
        <w:trPr>
          <w:trHeight w:val="196"/>
        </w:trPr>
        <w:tc>
          <w:tcPr>
            <w:tcW w:w="4520" w:type="dxa"/>
            <w:vAlign w:val="bottom"/>
          </w:tcPr>
          <w:p>
            <w:pPr>
              <w:spacing w:after="0"/>
              <w:rPr>
                <w:sz w:val="17"/>
                <w:szCs w:val="17"/>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Personnel expenses</w:t>
            </w: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(16,149,932)</w:t>
            </w:r>
          </w:p>
        </w:tc>
        <w:tc>
          <w:tcPr>
            <w:tcW w:w="12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(13,013,284)</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(3,136,648)</w:t>
            </w: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(5,918,567)</w:t>
            </w:r>
          </w:p>
        </w:tc>
        <w:tc>
          <w:tcPr>
            <w:tcW w:w="120" w:type="dxa"/>
            <w:vAlign w:val="bottom"/>
          </w:tcPr>
          <w:p>
            <w:pPr>
              <w:spacing w:after="0"/>
              <w:rPr>
                <w:sz w:val="17"/>
                <w:szCs w:val="17"/>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(5,555,020)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(363,547)</w:t>
            </w:r>
          </w:p>
        </w:tc>
        <w:tc>
          <w:tcPr>
            <w:tcW w:w="12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r>
      <w:tr>
        <w:trPr>
          <w:trHeight w:val="20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Facilities, communication and office expenses</w:t>
            </w: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(4,017,027)</w:t>
            </w:r>
          </w:p>
        </w:tc>
        <w:tc>
          <w:tcPr>
            <w:tcW w:w="12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(4,779,786)</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762,759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Accounting, tax and auditing fees</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(1,928,068)</w:t>
            </w:r>
          </w:p>
        </w:tc>
        <w:tc>
          <w:tcPr>
            <w:tcW w:w="120" w:type="dxa"/>
            <w:vAlign w:val="bottom"/>
          </w:tcPr>
          <w:p>
            <w:pPr>
              <w:spacing w:after="0"/>
              <w:rPr>
                <w:sz w:val="17"/>
                <w:szCs w:val="17"/>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(2,973,074)</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1,045,006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w:t>
            </w:r>
          </w:p>
        </w:tc>
      </w:tr>
      <w:tr>
        <w:trPr>
          <w:trHeight w:val="20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Travel expenses</w:t>
            </w: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(851,363)</w:t>
            </w:r>
          </w:p>
        </w:tc>
        <w:tc>
          <w:tcPr>
            <w:tcW w:w="12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(1,679,755)</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828,392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Consulting fees</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(76,065)</w:t>
            </w:r>
          </w:p>
        </w:tc>
        <w:tc>
          <w:tcPr>
            <w:tcW w:w="120" w:type="dxa"/>
            <w:vAlign w:val="bottom"/>
          </w:tcPr>
          <w:p>
            <w:pPr>
              <w:spacing w:after="0"/>
              <w:rPr>
                <w:sz w:val="17"/>
                <w:szCs w:val="17"/>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(873,475)</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797,410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(91)%</w:t>
            </w:r>
          </w:p>
        </w:tc>
      </w:tr>
      <w:tr>
        <w:trPr>
          <w:trHeight w:val="20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(2,945,676)</w:t>
            </w:r>
          </w:p>
        </w:tc>
        <w:tc>
          <w:tcPr>
            <w:tcW w:w="12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(4,358,139)</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1,412,463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r>
      <w:tr>
        <w:trPr>
          <w:trHeight w:val="20"/>
        </w:trPr>
        <w:tc>
          <w:tcPr>
            <w:tcW w:w="45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(31,886,698)</w:t>
            </w:r>
          </w:p>
        </w:tc>
        <w:tc>
          <w:tcPr>
            <w:tcW w:w="120" w:type="dxa"/>
            <w:vAlign w:val="bottom"/>
          </w:tcPr>
          <w:p>
            <w:pPr>
              <w:spacing w:after="0"/>
              <w:rPr>
                <w:sz w:val="17"/>
                <w:szCs w:val="17"/>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(33,232,533)</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1,345,835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45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-161925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-161925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-161925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-161925</wp:posOffset>
            </wp:positionV>
            <wp:extent cx="1289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55" w:lineRule="exact"/>
        <w:rPr>
          <w:sz w:val="20"/>
          <w:szCs w:val="20"/>
          <w:color w:val="auto"/>
        </w:rPr>
      </w:pPr>
    </w:p>
    <w:p>
      <w:pPr>
        <w:ind w:firstLine="749"/>
        <w:spacing w:after="0" w:line="266" w:lineRule="auto"/>
        <w:rPr>
          <w:sz w:val="20"/>
          <w:szCs w:val="20"/>
          <w:color w:val="auto"/>
        </w:rPr>
      </w:pPr>
      <w:r>
        <w:rPr>
          <w:rFonts w:ascii="Arial" w:cs="Arial" w:eastAsia="Arial" w:hAnsi="Arial"/>
          <w:sz w:val="16"/>
          <w:szCs w:val="16"/>
          <w:color w:val="auto"/>
        </w:rPr>
        <w:t>General and administrative expenses decreased from €33.2 million for the nine months ended September 30, 2024, to €31.9 million for the nine months ended September 30, 2025. During the current period, the increase in personnel expenses was substantially offset by decreases in all other expense categories.</w:t>
      </w:r>
    </w:p>
    <w:p>
      <w:pPr>
        <w:spacing w:after="0" w:line="144" w:lineRule="exact"/>
        <w:rPr>
          <w:sz w:val="20"/>
          <w:szCs w:val="20"/>
          <w:color w:val="auto"/>
        </w:rPr>
      </w:pPr>
    </w:p>
    <w:p>
      <w:pPr>
        <w:ind w:right="100" w:firstLine="749"/>
        <w:spacing w:after="0" w:line="259" w:lineRule="auto"/>
        <w:rPr>
          <w:sz w:val="20"/>
          <w:szCs w:val="20"/>
          <w:color w:val="auto"/>
        </w:rPr>
      </w:pPr>
      <w:r>
        <w:rPr>
          <w:rFonts w:ascii="Arial" w:cs="Arial" w:eastAsia="Arial" w:hAnsi="Arial"/>
          <w:sz w:val="16"/>
          <w:szCs w:val="16"/>
          <w:color w:val="auto"/>
        </w:rPr>
        <w:t>For the nine months ended September 30, 2025 and 2024, personnel expenses were €16.1 million and €13.0 million, respectively, an increase of €3.1 million. This increase is due to the continued build out of the commercial and infrastructure functions while transitioning more external consulting expenses to salaried employees. Personnel expenses includes €7.0 million of share-based compensation versus €6.2 million in the prior-year period and is due to the net effect of the annual and new hire grants awarded through September 30, 2025.</w:t>
      </w:r>
    </w:p>
    <w:p>
      <w:pPr>
        <w:spacing w:after="0" w:line="151" w:lineRule="exact"/>
        <w:rPr>
          <w:sz w:val="20"/>
          <w:szCs w:val="20"/>
          <w:color w:val="auto"/>
        </w:rPr>
      </w:pPr>
    </w:p>
    <w:p>
      <w:pPr>
        <w:ind w:right="280" w:firstLine="749"/>
        <w:spacing w:after="0" w:line="286" w:lineRule="auto"/>
        <w:rPr>
          <w:sz w:val="20"/>
          <w:szCs w:val="20"/>
          <w:color w:val="auto"/>
        </w:rPr>
      </w:pPr>
      <w:r>
        <w:rPr>
          <w:rFonts w:ascii="Arial" w:cs="Arial" w:eastAsia="Arial" w:hAnsi="Arial"/>
          <w:sz w:val="16"/>
          <w:szCs w:val="16"/>
          <w:color w:val="auto"/>
        </w:rPr>
        <w:t>For the nine months ended September 30, 2025 and 2024, accounting, tax and auditing fees were €1.9 million and €3.0 million, respectively, a decrease of €1.0 million. The decrease reflects our ongoing efforts of moving from external consultants to employees.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57" w:lineRule="exact"/>
        <w:rPr>
          <w:sz w:val="20"/>
          <w:szCs w:val="20"/>
          <w:color w:val="auto"/>
        </w:rPr>
      </w:pPr>
    </w:p>
    <w:p>
      <w:pPr>
        <w:ind w:firstLine="374"/>
        <w:spacing w:after="0" w:line="266" w:lineRule="auto"/>
        <w:rPr>
          <w:sz w:val="20"/>
          <w:szCs w:val="20"/>
          <w:color w:val="auto"/>
        </w:rPr>
      </w:pPr>
      <w:r>
        <w:rPr>
          <w:rFonts w:ascii="Arial" w:cs="Arial" w:eastAsia="Arial" w:hAnsi="Arial"/>
          <w:sz w:val="16"/>
          <w:szCs w:val="16"/>
          <w:color w:val="auto"/>
        </w:rPr>
        <w:t>For the nine months ended September 30, 2025 and 2024, other expenses were €2.9 million and €4.4 million, respectively, a decrease of €1.4 million. The decrease is primarily due to the general and administrative reclassification discussed above, whereby pre-commercial expenses are now being recorded in professional fees.</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Finance (expense) / income - net</w:t>
      </w:r>
    </w:p>
    <w:p>
      <w:pPr>
        <w:spacing w:after="0" w:line="179" w:lineRule="exact"/>
        <w:rPr>
          <w:sz w:val="20"/>
          <w:szCs w:val="20"/>
          <w:color w:val="auto"/>
        </w:rPr>
      </w:pPr>
    </w:p>
    <w:p>
      <w:pPr>
        <w:ind w:right="120" w:firstLine="374"/>
        <w:spacing w:after="0" w:line="266" w:lineRule="auto"/>
        <w:rPr>
          <w:sz w:val="20"/>
          <w:szCs w:val="20"/>
          <w:color w:val="auto"/>
        </w:rPr>
      </w:pPr>
      <w:r>
        <w:rPr>
          <w:rFonts w:ascii="Arial" w:cs="Arial" w:eastAsia="Arial" w:hAnsi="Arial"/>
          <w:sz w:val="16"/>
          <w:szCs w:val="16"/>
          <w:color w:val="auto"/>
        </w:rPr>
        <w:t>Finance (expense) / income - net, for the nine months ended September 30, 2025 and 2024 was €(6.4) million and €1.7 million, respectively. The €8.1 million year-over-year variance was primarily attributable to foreign exchange losses driven by the devaluation of the USD during the first half of 2025. Interest and other income were substantially unchanged from the prior year.</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Income taxes</w:t>
      </w:r>
    </w:p>
    <w:p>
      <w:pPr>
        <w:spacing w:after="0" w:line="192" w:lineRule="exact"/>
        <w:rPr>
          <w:sz w:val="20"/>
          <w:szCs w:val="20"/>
          <w:color w:val="auto"/>
        </w:rPr>
      </w:pPr>
    </w:p>
    <w:p>
      <w:pPr>
        <w:ind w:firstLine="374"/>
        <w:spacing w:after="0" w:line="256" w:lineRule="auto"/>
        <w:rPr>
          <w:sz w:val="20"/>
          <w:szCs w:val="20"/>
          <w:color w:val="auto"/>
        </w:rPr>
      </w:pPr>
      <w:r>
        <w:rPr>
          <w:rFonts w:ascii="Arial" w:cs="Arial" w:eastAsia="Arial" w:hAnsi="Arial"/>
          <w:sz w:val="16"/>
          <w:szCs w:val="16"/>
          <w:color w:val="auto"/>
        </w:rPr>
        <w:t>Income taxes are accounted for in accordance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and subsequently allocated using the expected full-year effective tax rate. The one-off items are recognized in full in the interim period in which they emerge. In the total interim tax charge, no distinction is made between current and deferred tax expenses/income.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ind w:right="40" w:firstLine="374"/>
        <w:spacing w:after="0" w:line="259" w:lineRule="auto"/>
        <w:rPr>
          <w:sz w:val="20"/>
          <w:szCs w:val="20"/>
          <w:color w:val="auto"/>
        </w:rPr>
      </w:pPr>
      <w:r>
        <w:rPr>
          <w:rFonts w:ascii="Arial" w:cs="Arial" w:eastAsia="Arial" w:hAnsi="Arial"/>
          <w:sz w:val="16"/>
          <w:szCs w:val="16"/>
          <w:color w:val="auto"/>
        </w:rPr>
        <w:t>Since inception, we have incurred significant operating losses. For the nine months ended September 30, 2025 and 2024, we incurred losses of €129.0 million and €99.5 million, respectively. Since inception, we have not generated any revenues or net cash flows from sales. We will not receive any revenues or net cash flows from sales until we successfully develop a product candidate, obtain regulatory approval and successfully commercialize it. There is no assurance that we will be able to do so.</w:t>
      </w:r>
    </w:p>
    <w:p>
      <w:pPr>
        <w:spacing w:after="0" w:line="151" w:lineRule="exact"/>
        <w:rPr>
          <w:sz w:val="20"/>
          <w:szCs w:val="20"/>
          <w:color w:val="auto"/>
        </w:rPr>
      </w:pPr>
    </w:p>
    <w:p>
      <w:pPr>
        <w:ind w:right="20" w:firstLine="374"/>
        <w:spacing w:after="0" w:line="259" w:lineRule="auto"/>
        <w:rPr>
          <w:sz w:val="20"/>
          <w:szCs w:val="20"/>
          <w:color w:val="auto"/>
        </w:rPr>
      </w:pPr>
      <w:r>
        <w:rPr>
          <w:rFonts w:ascii="Arial" w:cs="Arial" w:eastAsia="Arial" w:hAnsi="Arial"/>
          <w:sz w:val="16"/>
          <w:szCs w:val="16"/>
          <w:color w:val="auto"/>
        </w:rPr>
        <w:t>To date, we have relied on the issuance of equity securities to finance our operations and internal growth. We have previously offered and sold ordinary shares and pre-funded warrants pursuant to underwritten offerings, private placements and at-the-market sales programs. In July 2025, we conducted an underwritten offering of ordinary shares and pre-funded warrants to purchase ordinary shares that generated net proceeds of approximately €160.9 million ($189 million).</w:t>
      </w:r>
    </w:p>
    <w:p>
      <w:pPr>
        <w:spacing w:after="0" w:line="147" w:lineRule="exact"/>
        <w:rPr>
          <w:sz w:val="20"/>
          <w:szCs w:val="20"/>
          <w:color w:val="auto"/>
        </w:rPr>
      </w:pPr>
    </w:p>
    <w:p>
      <w:pPr>
        <w:ind w:right="40" w:firstLine="374"/>
        <w:spacing w:after="0" w:line="259" w:lineRule="auto"/>
        <w:rPr>
          <w:sz w:val="20"/>
          <w:szCs w:val="20"/>
          <w:color w:val="auto"/>
        </w:rPr>
      </w:pPr>
      <w:r>
        <w:rPr>
          <w:rFonts w:ascii="Arial" w:cs="Arial" w:eastAsia="Arial" w:hAnsi="Arial"/>
          <w:sz w:val="16"/>
          <w:szCs w:val="16"/>
          <w:color w:val="auto"/>
        </w:rPr>
        <w:t>As of September 30, 2025 we held cash and cash equivalents of €329.3 million. Of the cash on hand, €0.1 million relates to guarantees</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We do not expect positive operating cash flows in the foreseeable future and remain dependent on additional financing to fund our research and development expenses, general and administrative expenses and financing costs. We believe that the available cash balances are sufficient to execute our operating plan and strategies and to meet the anticipated working capital requirements and settle all expected liabilities for at least twelve months from the issuance date of the consolidated statements of loss and comprehensive loss. Accordingly, the consolidated statements of loss and comprehensive loss have been prepared on a going concern basis.</w:t>
      </w:r>
    </w:p>
    <w:p>
      <w:pPr>
        <w:spacing w:after="0" w:line="150" w:lineRule="exact"/>
        <w:rPr>
          <w:sz w:val="20"/>
          <w:szCs w:val="20"/>
          <w:color w:val="auto"/>
        </w:rPr>
      </w:pPr>
    </w:p>
    <w:p>
      <w:pPr>
        <w:ind w:right="160" w:firstLine="374"/>
        <w:spacing w:after="0" w:line="254" w:lineRule="auto"/>
        <w:rPr>
          <w:sz w:val="20"/>
          <w:szCs w:val="20"/>
          <w:color w:val="auto"/>
        </w:rPr>
      </w:pPr>
      <w:r>
        <w:rPr>
          <w:rFonts w:ascii="Arial" w:cs="Arial" w:eastAsia="Arial" w:hAnsi="Arial"/>
          <w:sz w:val="16"/>
          <w:szCs w:val="16"/>
          <w:color w:val="auto"/>
        </w:rPr>
        <w:t>Our future viability is dependent on our ability to raise additional capital to finance operations. We will need to finance our operations through public or private securities offerings, debt financings or other sources, which may include licensing, collaborations or other strategic transactions or arrangements. Although we have been successful in raising capital in the past, there is no assurance that we will be successful in obtaining such additional financing on terms acceptable to us, if at all. If we are unable to obtain funding, we could be forced to delay, reduce, or eliminate some or all of our research and development programs for product candidates, product portfolio expansion or commercialization efforts, which could adversely affect our business prospects, or we may be unable to continue operations.</w:t>
      </w:r>
    </w:p>
    <w:p>
      <w:pPr>
        <w:spacing w:after="0" w:line="155" w:lineRule="exact"/>
        <w:rPr>
          <w:sz w:val="20"/>
          <w:szCs w:val="20"/>
          <w:color w:val="auto"/>
        </w:rPr>
      </w:pPr>
    </w:p>
    <w:p>
      <w:pPr>
        <w:ind w:right="500" w:firstLine="374"/>
        <w:spacing w:after="0" w:line="286" w:lineRule="auto"/>
        <w:rPr>
          <w:sz w:val="20"/>
          <w:szCs w:val="20"/>
          <w:color w:val="auto"/>
        </w:rPr>
      </w:pPr>
      <w:r>
        <w:rPr>
          <w:rFonts w:ascii="Arial" w:cs="Arial" w:eastAsia="Arial" w:hAnsi="Arial"/>
          <w:sz w:val="16"/>
          <w:szCs w:val="16"/>
          <w:color w:val="auto"/>
        </w:rPr>
        <w:t>Our contractual obligations and commitments as of September 30, 2025 amounted to €117 million primarily related to research and development contracts.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Cash Flows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Comparison for the three months ended September 30, 2025 and 2024.</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primary sources and uses of our cash and cash equivalents for each of the periods set forth below:</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5"/>
          </w:tcPr>
          <w:p>
            <w:pPr>
              <w:jc w:val="right"/>
              <w:ind w:right="11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5"/>
        </w:trPr>
        <w:tc>
          <w:tcPr>
            <w:tcW w:w="504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9"/>
        </w:trPr>
        <w:tc>
          <w:tcPr>
            <w:tcW w:w="5040" w:type="dxa"/>
            <w:vAlign w:val="bottom"/>
          </w:tcPr>
          <w:p>
            <w:pPr>
              <w:spacing w:after="0"/>
              <w:rPr>
                <w:sz w:val="17"/>
                <w:szCs w:val="17"/>
                <w:color w:val="auto"/>
              </w:rPr>
            </w:pPr>
          </w:p>
        </w:tc>
        <w:tc>
          <w:tcPr>
            <w:tcW w:w="15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5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54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flows used in operating activities</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(99,120,876)</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(85,176,509)</w:t>
            </w:r>
          </w:p>
        </w:tc>
        <w:tc>
          <w:tcPr>
            <w:tcW w:w="3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(13,944,367)</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(163,081)</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(377,169)</w:t>
            </w:r>
          </w:p>
        </w:tc>
        <w:tc>
          <w:tcPr>
            <w:tcW w:w="34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214,088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flows provided by financing activities</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160,335,728</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2,110,393</w:t>
            </w:r>
          </w:p>
        </w:tc>
        <w:tc>
          <w:tcPr>
            <w:tcW w:w="3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158,225,335</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7497%</w:t>
            </w: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61,051,771</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(83,443,285)</w:t>
            </w:r>
          </w:p>
        </w:tc>
        <w:tc>
          <w:tcPr>
            <w:tcW w:w="34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144,495,056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280,728,037</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391,231,637</w:t>
            </w:r>
          </w:p>
        </w:tc>
        <w:tc>
          <w:tcPr>
            <w:tcW w:w="3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(110,503,600)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(12,494,179)</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(2,595,237)</w:t>
            </w:r>
          </w:p>
        </w:tc>
        <w:tc>
          <w:tcPr>
            <w:tcW w:w="34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(9,898,942)</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381%</w:t>
            </w:r>
          </w:p>
        </w:tc>
      </w:tr>
      <w:tr>
        <w:trPr>
          <w:trHeight w:val="20"/>
        </w:trPr>
        <w:tc>
          <w:tcPr>
            <w:tcW w:w="50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the end of the period</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329,285,629</w:t>
            </w:r>
          </w:p>
        </w:tc>
        <w:tc>
          <w:tcPr>
            <w:tcW w:w="1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305,193,115</w:t>
            </w: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24,092,514</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504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1200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79" w:lineRule="exact"/>
        <w:rPr>
          <w:sz w:val="20"/>
          <w:szCs w:val="20"/>
          <w:color w:val="auto"/>
        </w:rPr>
      </w:pPr>
    </w:p>
    <w:p>
      <w:pPr>
        <w:ind w:right="280" w:firstLine="374"/>
        <w:spacing w:after="0" w:line="266" w:lineRule="auto"/>
        <w:rPr>
          <w:sz w:val="20"/>
          <w:szCs w:val="20"/>
          <w:color w:val="auto"/>
        </w:rPr>
      </w:pPr>
      <w:r>
        <w:rPr>
          <w:rFonts w:ascii="Arial" w:cs="Arial" w:eastAsia="Arial" w:hAnsi="Arial"/>
          <w:sz w:val="16"/>
          <w:szCs w:val="16"/>
          <w:color w:val="auto"/>
        </w:rPr>
        <w:t>Net cash used in operating activities was €99.1 million for the nine months ended September 30, 2025 and primarily consisted of a net loss before taxes of €128.63 million adjusted for share-based compensation of €14.5 million, net foreign exchange losses of €12.0 million and finance income of €0.4 million, an increase in other current assets of €1.5 million and increase in accrued liabilities of €5.1 million and other changes in net working capital.</w:t>
      </w:r>
    </w:p>
    <w:p>
      <w:pPr>
        <w:spacing w:after="0" w:line="144" w:lineRule="exact"/>
        <w:rPr>
          <w:sz w:val="20"/>
          <w:szCs w:val="20"/>
          <w:color w:val="auto"/>
        </w:rPr>
      </w:pPr>
    </w:p>
    <w:p>
      <w:pPr>
        <w:jc w:val="both"/>
        <w:ind w:right="160" w:firstLine="374"/>
        <w:spacing w:after="0" w:line="266" w:lineRule="auto"/>
        <w:rPr>
          <w:sz w:val="20"/>
          <w:szCs w:val="20"/>
          <w:color w:val="auto"/>
        </w:rPr>
      </w:pPr>
      <w:r>
        <w:rPr>
          <w:rFonts w:ascii="Arial" w:cs="Arial" w:eastAsia="Arial" w:hAnsi="Arial"/>
          <w:sz w:val="16"/>
          <w:szCs w:val="16"/>
          <w:color w:val="auto"/>
        </w:rPr>
        <w:t>Net cash used in operating activities was €85.2 million for the nine months September 30, 2024, and primarily consisted of a net loss of €98.9 million adjusted for share-based compensation of €11.4 million, an increase in other current assets of €1.3 million, an increase in trade and other payables of €1.3 million and a decrease of €0.4 million in accrued liabilities and other changes in net working capital.</w:t>
      </w:r>
    </w:p>
    <w:p>
      <w:pPr>
        <w:spacing w:after="0" w:line="322"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79" w:lineRule="exact"/>
        <w:rPr>
          <w:sz w:val="20"/>
          <w:szCs w:val="20"/>
          <w:color w:val="auto"/>
        </w:rPr>
      </w:pPr>
    </w:p>
    <w:p>
      <w:pPr>
        <w:ind w:right="160" w:firstLine="374"/>
        <w:spacing w:after="0" w:line="259" w:lineRule="auto"/>
        <w:rPr>
          <w:sz w:val="20"/>
          <w:szCs w:val="20"/>
          <w:color w:val="auto"/>
        </w:rPr>
      </w:pPr>
      <w:r>
        <w:rPr>
          <w:rFonts w:ascii="Arial" w:cs="Arial" w:eastAsia="Arial" w:hAnsi="Arial"/>
          <w:sz w:val="16"/>
          <w:szCs w:val="16"/>
          <w:color w:val="auto"/>
        </w:rPr>
        <w:t>During July 2025, we entered into an underwriting agreement with Morgan Stanley &amp; Co. LLC and Leerink Partners, LLC as representatives of the underwriters, pursuant to which we agreed to issue and sell (i) 9,562,500 ordinary shares, par value €0.12 per share and (ii) pre-funded warrants to purchase up to 500,000 ordinary shares in an underwritten offering. The offering closed on July 24, 2025, and we generated net proceeds of €160.3 million ($188.5 million), after deducting bank fees of €10.9 million ($12.8 million).</w:t>
      </w:r>
    </w:p>
    <w:p>
      <w:pPr>
        <w:spacing w:after="0" w:line="151" w:lineRule="exact"/>
        <w:rPr>
          <w:sz w:val="20"/>
          <w:szCs w:val="20"/>
          <w:color w:val="auto"/>
        </w:rPr>
      </w:pPr>
    </w:p>
    <w:p>
      <w:pPr>
        <w:ind w:right="340" w:firstLine="374"/>
        <w:spacing w:after="0" w:line="286" w:lineRule="auto"/>
        <w:rPr>
          <w:sz w:val="20"/>
          <w:szCs w:val="20"/>
          <w:color w:val="auto"/>
        </w:rPr>
      </w:pPr>
      <w:r>
        <w:rPr>
          <w:rFonts w:ascii="Arial" w:cs="Arial" w:eastAsia="Arial" w:hAnsi="Arial"/>
          <w:sz w:val="16"/>
          <w:szCs w:val="16"/>
          <w:color w:val="auto"/>
        </w:rPr>
        <w:t>The pre-funded warrants were exercised in September 2025 for gross exercise proceeds of €0.04 million ($0.05 million) and resulted in issuance of 500,000 ordinary shares.</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September 30, 2025, we did not have any off-balance sheet arrangements other than the disclosed commitments.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181" w:lineRule="exact"/>
        <w:rPr>
          <w:sz w:val="20"/>
          <w:szCs w:val="20"/>
          <w:color w:val="auto"/>
        </w:rPr>
      </w:pPr>
    </w:p>
    <w:p>
      <w:pPr>
        <w:ind w:right="100" w:firstLine="374"/>
        <w:spacing w:after="0" w:line="286" w:lineRule="auto"/>
        <w:rPr>
          <w:sz w:val="20"/>
          <w:szCs w:val="20"/>
          <w:color w:val="auto"/>
        </w:rPr>
      </w:pPr>
      <w:r>
        <w:rPr>
          <w:rFonts w:ascii="Arial" w:cs="Arial" w:eastAsia="Arial" w:hAnsi="Arial"/>
          <w:sz w:val="16"/>
          <w:szCs w:val="16"/>
          <w:color w:val="auto"/>
        </w:rPr>
        <w:t>During the nine months ended September 30, 2025, there were no significant changes to our quantitative and qualitative disclosures about market risk from those reported in “Item 11. Quantitative and Qualitative Disclosures About Market Risk” in the Annual Report.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 and Judgments</w:t>
      </w:r>
    </w:p>
    <w:p>
      <w:pPr>
        <w:spacing w:after="0" w:line="194" w:lineRule="exact"/>
        <w:rPr>
          <w:sz w:val="20"/>
          <w:szCs w:val="20"/>
          <w:color w:val="auto"/>
        </w:rPr>
      </w:pPr>
    </w:p>
    <w:p>
      <w:pPr>
        <w:ind w:right="720" w:firstLine="374"/>
        <w:spacing w:after="0" w:line="286"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in Note 2.19 to our consolidated financial statements in the Annual Report.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81" w:lineRule="exact"/>
        <w:rPr>
          <w:sz w:val="20"/>
          <w:szCs w:val="20"/>
          <w:color w:val="auto"/>
        </w:rPr>
      </w:pPr>
    </w:p>
    <w:p>
      <w:pPr>
        <w:ind w:right="100" w:firstLine="374"/>
        <w:spacing w:after="0" w:line="252" w:lineRule="auto"/>
        <w:rPr>
          <w:sz w:val="20"/>
          <w:szCs w:val="20"/>
          <w:color w:val="auto"/>
        </w:rPr>
      </w:pPr>
      <w:r>
        <w:rPr>
          <w:rFonts w:ascii="Arial" w:cs="Arial" w:eastAsia="Arial" w:hAnsi="Arial"/>
          <w:sz w:val="16"/>
          <w:szCs w:val="16"/>
          <w:color w:val="auto"/>
        </w:rPr>
        <w:t>Certain statements in this management’s discussion and analysis are or may be forward-looking statements with respect to us, our industry and our business that involve substantial risks and uncertainties. All statements other than statements of historical fact contained in this management’s discussion and analysis,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Factors that might cause such a difference include, but are not limited to:</w:t>
      </w:r>
    </w:p>
    <w:p>
      <w:pPr>
        <w:spacing w:after="0" w:line="302" w:lineRule="exact"/>
        <w:rPr>
          <w:sz w:val="20"/>
          <w:szCs w:val="20"/>
          <w:color w:val="auto"/>
        </w:rPr>
      </w:pPr>
    </w:p>
    <w:p>
      <w:pPr>
        <w:ind w:left="102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w:t>
      </w:r>
    </w:p>
    <w:p>
      <w:pPr>
        <w:spacing w:after="0" w:line="48" w:lineRule="exact"/>
        <w:rPr>
          <w:rFonts w:ascii="Times New Roman" w:cs="Times New Roman" w:eastAsia="Times New Roman" w:hAnsi="Times New Roman"/>
          <w:sz w:val="16"/>
          <w:szCs w:val="16"/>
          <w:color w:val="auto"/>
        </w:rPr>
      </w:pPr>
    </w:p>
    <w:p>
      <w:pPr>
        <w:ind w:left="1020" w:right="14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expected timing, progress, or success of our clinical development programs, especially for IR (immediate-release deucrictibant capsules) and XR (extended-release deucrictibant tablets), which are in late-stage global clinical trials;</w:t>
      </w:r>
    </w:p>
    <w:p>
      <w:pPr>
        <w:spacing w:after="0" w:line="48" w:lineRule="exact"/>
        <w:rPr>
          <w:rFonts w:ascii="Times New Roman" w:cs="Times New Roman" w:eastAsia="Times New Roman" w:hAnsi="Times New Roman"/>
          <w:sz w:val="16"/>
          <w:szCs w:val="16"/>
          <w:color w:val="auto"/>
        </w:rPr>
      </w:pPr>
    </w:p>
    <w:p>
      <w:pPr>
        <w:ind w:left="1020" w:right="4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replicate the efficacy and safety demonstrated in the RAPIDe-1 and CHAPTER-1 Phase 2 study in ongoing and future nonclinical studies and clinical trials; such as CREAATE, CHAPTER-3 and RAPIDe-3;</w:t>
      </w:r>
    </w:p>
    <w:p>
      <w:pPr>
        <w:spacing w:after="0" w:line="48" w:lineRule="exact"/>
        <w:rPr>
          <w:rFonts w:ascii="Times New Roman" w:cs="Times New Roman" w:eastAsia="Times New Roman" w:hAnsi="Times New Roman"/>
          <w:sz w:val="16"/>
          <w:szCs w:val="16"/>
          <w:color w:val="auto"/>
        </w:rPr>
      </w:pPr>
    </w:p>
    <w:p>
      <w:pPr>
        <w:ind w:left="1020" w:right="14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risks arising from epidemic diseases which may adversely impact our business, nonclinical studies and clinical trials, the outcome and timing of regulatory approvals and the value of our ordinary shares;</w:t>
      </w:r>
    </w:p>
    <w:p>
      <w:pPr>
        <w:spacing w:after="0" w:line="48" w:lineRule="exact"/>
        <w:rPr>
          <w:rFonts w:ascii="Times New Roman" w:cs="Times New Roman" w:eastAsia="Times New Roman" w:hAnsi="Times New Roman"/>
          <w:sz w:val="16"/>
          <w:szCs w:val="16"/>
          <w:color w:val="auto"/>
        </w:rPr>
      </w:pPr>
    </w:p>
    <w:p>
      <w:pPr>
        <w:ind w:left="1020" w:right="38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costs and other limitations involved in obtaining regulatory approval for our product candidates IR and XR or any other product candidate that we may develop in the future;</w:t>
      </w:r>
    </w:p>
    <w:p>
      <w:pPr>
        <w:spacing w:after="0" w:line="48" w:lineRule="exact"/>
        <w:rPr>
          <w:rFonts w:ascii="Times New Roman" w:cs="Times New Roman" w:eastAsia="Times New Roman" w:hAnsi="Times New Roman"/>
          <w:sz w:val="16"/>
          <w:szCs w:val="16"/>
          <w:color w:val="auto"/>
        </w:rPr>
      </w:pPr>
    </w:p>
    <w:p>
      <w:pPr>
        <w:ind w:left="1020" w:right="64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market, commercialize and achieve market acceptance for our product candidates IR and XR or any of our other product candidates that we may develop in the future, if approved;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dependence on third parties to perform critical activities related to the research, nonclinical safety and toxicology studies, development and manufacturing of our product candidates;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disruptions at the FDA and other government agencies;</w:t>
      </w:r>
    </w:p>
    <w:p>
      <w:pPr>
        <w:spacing w:after="0" w:line="125"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expense, time and uncertainty involved in the development and consistent manufacturing and supply of our product candidates, some or all of which may never reach the regulatory approval stage;</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raise capital when needed and on acceptable terms;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any new licensing agreements or to maintain any licensing agreements with respect to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reliance on collaboration partners and licensees, whose actions we cannot control;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private insurers and other payors to provide reimbursement for our products;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regulatory developments in the United States, the European Union and other jurisdictions;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outcome and timing of price negotiations with governmental authorities;</w:t>
      </w:r>
    </w:p>
    <w:p>
      <w:pPr>
        <w:spacing w:after="0" w:line="125" w:lineRule="exact"/>
        <w:rPr>
          <w:rFonts w:ascii="Times New Roman" w:cs="Times New Roman" w:eastAsia="Times New Roman" w:hAnsi="Times New Roman"/>
          <w:sz w:val="16"/>
          <w:szCs w:val="16"/>
          <w:color w:val="auto"/>
        </w:rPr>
      </w:pPr>
    </w:p>
    <w:p>
      <w:pPr>
        <w:ind w:left="1020" w:right="22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compete in the pharmaceutical industry, including with respect to existing therapies, emerging potentially competitive therapies and with competitive generic products;</w:t>
      </w:r>
    </w:p>
    <w:p>
      <w:pPr>
        <w:spacing w:after="0" w:line="48" w:lineRule="exact"/>
        <w:rPr>
          <w:rFonts w:ascii="Times New Roman" w:cs="Times New Roman" w:eastAsia="Times New Roman" w:hAnsi="Times New Roman"/>
          <w:sz w:val="16"/>
          <w:szCs w:val="16"/>
          <w:color w:val="auto"/>
        </w:rPr>
      </w:pPr>
    </w:p>
    <w:p>
      <w:pPr>
        <w:ind w:left="1020" w:right="480" w:hanging="503"/>
        <w:spacing w:after="0" w:line="285" w:lineRule="auto"/>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protect our intellectual property and know-how and operate our business without infringing the intellectual property rights or regulatory exclusivity of others;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side effects or adverse events associated with the use of our product candidates;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20" w:name="page21"/>
    <w:bookmarkEnd w:id="20"/>
    <w:p>
      <w:pPr>
        <w:spacing w:after="0" w:line="90" w:lineRule="exact"/>
        <w:rPr>
          <w:sz w:val="20"/>
          <w:szCs w:val="20"/>
          <w:color w:val="auto"/>
        </w:rPr>
      </w:pPr>
    </w:p>
    <w:p>
      <w:pPr>
        <w:ind w:left="1020" w:right="620" w:hanging="503"/>
        <w:spacing w:after="0" w:line="285" w:lineRule="auto"/>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defend against costly and damaging liability claims resulting from the testing of our product candidates in the clinic or, if, approved, any commercial sales;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any of our key personnel;</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market sizes and anticipated uses of our product candidates;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future performance;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comply with existing or future laws and regulations in a cost-efficient manner;</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negative consequences from changes in applicable laws and regulations, including tax laws;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maintain an effective system of internal control over financial reporting;</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expectations regarding the time during which we will be a foreign private issuer;</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changes and uncertainty in general market, political and economic conditions, including as a result of inflation and geopolitical conflicts;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regulations and customs, tariffs and trade barriers.</w:t>
      </w:r>
    </w:p>
    <w:p>
      <w:pPr>
        <w:spacing w:after="0" w:line="396" w:lineRule="exact"/>
        <w:rPr>
          <w:sz w:val="20"/>
          <w:szCs w:val="20"/>
          <w:color w:val="auto"/>
        </w:rPr>
      </w:pPr>
    </w:p>
    <w:p>
      <w:pPr>
        <w:ind w:firstLine="374"/>
        <w:spacing w:after="0" w:line="259" w:lineRule="auto"/>
        <w:rPr>
          <w:sz w:val="20"/>
          <w:szCs w:val="20"/>
          <w:color w:val="auto"/>
        </w:rPr>
      </w:pPr>
      <w:r>
        <w:rPr>
          <w:rFonts w:ascii="Arial" w:cs="Arial" w:eastAsia="Arial" w:hAnsi="Arial"/>
          <w:sz w:val="16"/>
          <w:szCs w:val="16"/>
          <w:color w:val="auto"/>
        </w:rPr>
        <w:t>You should refer to “ITEM 3. Key information—D. Risk factors.” section of our Annual Report and under “Risk factors” in any other periodic filings with the Securities and Exchange Commission for a discussion of important factors that may cause our actual results to differ materially from those expressed or implied by our forward-looking statements. As a result of these factors, we cannot assure you that the forward-looking statements in this management’s discussion and analysis will prove to be accurate. Furthermore, if our forward-looking statements prove to be inaccurate, the inaccuracy may be material.</w:t>
      </w:r>
    </w:p>
    <w:p>
      <w:pPr>
        <w:spacing w:after="0" w:line="137" w:lineRule="exact"/>
        <w:rPr>
          <w:sz w:val="20"/>
          <w:szCs w:val="20"/>
          <w:color w:val="auto"/>
        </w:rPr>
      </w:pPr>
    </w:p>
    <w:p>
      <w:pPr>
        <w:ind w:right="60" w:firstLine="374"/>
        <w:spacing w:after="0" w:line="286" w:lineRule="auto"/>
        <w:rPr>
          <w:sz w:val="20"/>
          <w:szCs w:val="20"/>
          <w:color w:val="auto"/>
        </w:rPr>
      </w:pPr>
      <w:r>
        <w:rPr>
          <w:rFonts w:ascii="Arial" w:cs="Arial" w:eastAsia="Arial" w:hAnsi="Arial"/>
          <w:sz w:val="16"/>
          <w:szCs w:val="16"/>
          <w:color w:val="auto"/>
        </w:rPr>
        <w:t>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29" w:lineRule="exact"/>
        <w:rPr>
          <w:sz w:val="20"/>
          <w:szCs w:val="20"/>
          <w:color w:val="auto"/>
        </w:rPr>
      </w:pPr>
    </w:p>
    <w:p>
      <w:pPr>
        <w:ind w:right="360" w:firstLine="374"/>
        <w:spacing w:after="0" w:line="286" w:lineRule="auto"/>
        <w:rPr>
          <w:sz w:val="20"/>
          <w:szCs w:val="20"/>
          <w:color w:val="auto"/>
        </w:rPr>
      </w:pPr>
      <w:r>
        <w:rPr>
          <w:rFonts w:ascii="Arial" w:cs="Arial" w:eastAsia="Arial" w:hAnsi="Arial"/>
          <w:sz w:val="16"/>
          <w:szCs w:val="16"/>
          <w:color w:val="auto"/>
        </w:rPr>
        <w:t>We undertake no obligation to publicly update any forward-looking statements, whether as a result of new information, future events or otherwise, except as required by law.</w:t>
      </w:r>
    </w:p>
    <w:p>
      <w:pPr>
        <w:spacing w:after="0" w:line="115" w:lineRule="exact"/>
        <w:rPr>
          <w:sz w:val="20"/>
          <w:szCs w:val="20"/>
          <w:color w:val="auto"/>
        </w:rPr>
      </w:pPr>
    </w:p>
    <w:p>
      <w:pPr>
        <w:ind w:firstLine="374"/>
        <w:spacing w:after="0" w:line="256" w:lineRule="auto"/>
        <w:rPr>
          <w:sz w:val="20"/>
          <w:szCs w:val="20"/>
          <w:color w:val="auto"/>
        </w:rPr>
      </w:pPr>
      <w:r>
        <w:rPr>
          <w:rFonts w:ascii="Arial" w:cs="Arial" w:eastAsia="Arial" w:hAnsi="Arial"/>
          <w:sz w:val="16"/>
          <w:szCs w:val="16"/>
          <w:color w:val="auto"/>
        </w:rPr>
        <w:t>In addition, statements that “we believe” and other similar statements reflect our belief and opinions on the relevant subject. These statements are based upon information available to us as of the date of this management’s discussion and analysis,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Pharvaris N.V.</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Condensed Consolidated Interim Financial Statements</w:t>
      </w:r>
    </w:p>
    <w:p>
      <w:pPr>
        <w:spacing w:after="0"/>
        <w:rPr>
          <w:sz w:val="20"/>
          <w:szCs w:val="20"/>
          <w:color w:val="auto"/>
        </w:rPr>
      </w:pPr>
      <w:r>
        <w:rPr>
          <w:rFonts w:ascii="Arial" w:cs="Arial" w:eastAsia="Arial" w:hAnsi="Arial"/>
          <w:sz w:val="22"/>
          <w:szCs w:val="22"/>
          <w:b w:val="1"/>
          <w:bCs w:val="1"/>
          <w:color w:val="auto"/>
        </w:rPr>
        <w:t>For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1228090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11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loss and other comprehensive loss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3</w:t>
            </w:r>
          </w:p>
        </w:tc>
      </w:tr>
      <w:tr>
        <w:trPr>
          <w:trHeight w:val="412"/>
        </w:trPr>
        <w:tc>
          <w:tcPr>
            <w:tcW w:w="111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financial position</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4</w:t>
            </w:r>
          </w:p>
        </w:tc>
      </w:tr>
      <w:tr>
        <w:trPr>
          <w:trHeight w:val="412"/>
        </w:trPr>
        <w:tc>
          <w:tcPr>
            <w:tcW w:w="111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changes in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5</w:t>
            </w:r>
          </w:p>
        </w:tc>
      </w:tr>
      <w:tr>
        <w:trPr>
          <w:trHeight w:val="412"/>
        </w:trPr>
        <w:tc>
          <w:tcPr>
            <w:tcW w:w="111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 of cash flows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6</w:t>
            </w:r>
          </w:p>
        </w:tc>
      </w:tr>
      <w:tr>
        <w:trPr>
          <w:trHeight w:val="412"/>
        </w:trPr>
        <w:tc>
          <w:tcPr>
            <w:tcW w:w="11160" w:type="dxa"/>
            <w:vAlign w:val="bottom"/>
          </w:tcPr>
          <w:p>
            <w:pPr>
              <w:spacing w:after="0"/>
              <w:rPr>
                <w:sz w:val="20"/>
                <w:szCs w:val="20"/>
                <w:color w:val="auto"/>
              </w:rPr>
            </w:pPr>
            <w:r>
              <w:rPr>
                <w:rFonts w:ascii="Arial" w:cs="Arial" w:eastAsia="Arial" w:hAnsi="Arial"/>
                <w:sz w:val="16"/>
                <w:szCs w:val="16"/>
                <w:b w:val="1"/>
                <w:bCs w:val="1"/>
                <w:color w:val="auto"/>
              </w:rPr>
              <w:t>Notes to the unaudited condensed consolidated interim financial statements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 of loss and other comprehensive loss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6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4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2"/>
        </w:trPr>
        <w:tc>
          <w:tcPr>
            <w:tcW w:w="4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02"/>
        </w:trPr>
        <w:tc>
          <w:tcPr>
            <w:tcW w:w="4820" w:type="dxa"/>
            <w:vAlign w:val="bottom"/>
          </w:tcPr>
          <w:p>
            <w:pPr>
              <w:spacing w:after="0"/>
              <w:rPr>
                <w:sz w:val="17"/>
                <w:szCs w:val="17"/>
                <w:color w:val="auto"/>
              </w:rPr>
            </w:pPr>
          </w:p>
        </w:tc>
        <w:tc>
          <w:tcPr>
            <w:tcW w:w="5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Notes</w:t>
            </w:r>
          </w:p>
        </w:tc>
        <w:tc>
          <w:tcPr>
            <w:tcW w:w="2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3</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(29,814,908)</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(25,782,650)</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(90,337,209)</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(67,363,600)</w:t>
            </w: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5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4</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(9,849,591)</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(12,119,623)</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(31,886,698)</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(33,232,533)</w:t>
            </w:r>
          </w:p>
        </w:tc>
      </w:tr>
      <w:tr>
        <w:trPr>
          <w:trHeight w:val="20"/>
        </w:trPr>
        <w:tc>
          <w:tcPr>
            <w:tcW w:w="4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(39,664,499)</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(37,902,273)</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(122,223,907)</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(100,596,133)</w:t>
            </w:r>
          </w:p>
        </w:tc>
      </w:tr>
      <w:tr>
        <w:trPr>
          <w:trHeight w:val="20"/>
        </w:trPr>
        <w:tc>
          <w:tcPr>
            <w:tcW w:w="48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Finance (expense)/income</w:t>
            </w:r>
          </w:p>
        </w:tc>
        <w:tc>
          <w:tcPr>
            <w:tcW w:w="5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2,345,995</w:t>
            </w:r>
          </w:p>
        </w:tc>
        <w:tc>
          <w:tcPr>
            <w:tcW w:w="12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(3,578,394)</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(6,410,657)</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1,721,377</w:t>
            </w:r>
          </w:p>
        </w:tc>
        <w:tc>
          <w:tcPr>
            <w:tcW w:w="100" w:type="dxa"/>
            <w:vAlign w:val="bottom"/>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(37,318,504)</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(41,480,667)</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(128,634,564)</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(98,874,756)</w:t>
            </w:r>
          </w:p>
        </w:tc>
      </w:tr>
      <w:tr>
        <w:trPr>
          <w:trHeight w:val="20"/>
        </w:trPr>
        <w:tc>
          <w:tcPr>
            <w:tcW w:w="48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5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7</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181,469</w:t>
            </w:r>
          </w:p>
        </w:tc>
        <w:tc>
          <w:tcPr>
            <w:tcW w:w="12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(230,091)</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(323,980)</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(585,831)</w:t>
            </w:r>
          </w:p>
        </w:tc>
      </w:tr>
      <w:tr>
        <w:trPr>
          <w:trHeight w:val="20"/>
        </w:trPr>
        <w:tc>
          <w:tcPr>
            <w:tcW w:w="4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(37,137,035)</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(41,710,758)</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(128,958,544)</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(99,460,587)</w:t>
            </w:r>
          </w:p>
        </w:tc>
      </w:tr>
      <w:tr>
        <w:trPr>
          <w:trHeight w:val="183"/>
        </w:trPr>
        <w:tc>
          <w:tcPr>
            <w:tcW w:w="4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58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Items that may be reclassified to profit or loss:</w:t>
            </w: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Exchange (losses) gains arising on translation of foreign operations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(10,062)</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(100,070)</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(399,979)</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(43,331)</w:t>
            </w:r>
          </w:p>
        </w:tc>
      </w:tr>
      <w:tr>
        <w:trPr>
          <w:trHeight w:val="20"/>
        </w:trPr>
        <w:tc>
          <w:tcPr>
            <w:tcW w:w="4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comprehensive loss attributable to:</w:t>
            </w: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Equity holders of the Company</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(37,147,097)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(41,810,828)</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(129,358,523)</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(99,503,918)</w:t>
            </w:r>
          </w:p>
        </w:tc>
      </w:tr>
      <w:tr>
        <w:trPr>
          <w:trHeight w:val="20"/>
        </w:trPr>
        <w:tc>
          <w:tcPr>
            <w:tcW w:w="4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8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rPr>
              <w:t>Loss per share attributable to the equity holders of the Company during</w:t>
            </w: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the periods</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(0.60)</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(0.77)</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(2.26)</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-1659890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-1659890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-1659890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-1659890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-1385570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-1385570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-1385570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-1385570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-1111250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-1094105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-1111250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-1094105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-1111250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-1094105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-1111250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-1094105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Unaudited condensed consolidated statement of financial position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02"/>
        </w:trPr>
        <w:tc>
          <w:tcPr>
            <w:tcW w:w="7580" w:type="dxa"/>
            <w:vAlign w:val="bottom"/>
          </w:tcPr>
          <w:p>
            <w:pPr>
              <w:ind w:left="7140"/>
              <w:spacing w:after="0"/>
              <w:rPr>
                <w:sz w:val="20"/>
                <w:szCs w:val="20"/>
                <w:color w:val="auto"/>
              </w:rPr>
            </w:pPr>
            <w:r>
              <w:rPr>
                <w:rFonts w:ascii="Times New Roman" w:cs="Times New Roman" w:eastAsia="Times New Roman" w:hAnsi="Times New Roman"/>
                <w:sz w:val="16"/>
                <w:szCs w:val="16"/>
                <w:color w:val="auto"/>
              </w:rPr>
              <w:t>Notes</w:t>
            </w:r>
          </w:p>
        </w:tc>
        <w:tc>
          <w:tcPr>
            <w:tcW w:w="4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4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8</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690,166</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667,000</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Right of use assets</w:t>
            </w:r>
          </w:p>
        </w:tc>
        <w:tc>
          <w:tcPr>
            <w:tcW w:w="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561,254</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813,842</w:t>
            </w:r>
          </w:p>
        </w:tc>
        <w:tc>
          <w:tcPr>
            <w:tcW w:w="10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4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7</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457,857</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474,347</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VAT receivables</w:t>
            </w:r>
          </w:p>
        </w:tc>
        <w:tc>
          <w:tcPr>
            <w:tcW w:w="4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10</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400,012</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457,834</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4,964,146</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5,747,025</w:t>
            </w:r>
          </w:p>
        </w:tc>
        <w:tc>
          <w:tcPr>
            <w:tcW w:w="10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12</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329,285,629</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280,728,037</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Current tax receivable</w:t>
            </w:r>
          </w:p>
        </w:tc>
        <w:tc>
          <w:tcPr>
            <w:tcW w:w="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2,537,137</w:t>
            </w:r>
          </w:p>
        </w:tc>
        <w:tc>
          <w:tcPr>
            <w:tcW w:w="22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2,486,680</w:t>
            </w:r>
          </w:p>
        </w:tc>
        <w:tc>
          <w:tcPr>
            <w:tcW w:w="100" w:type="dxa"/>
            <w:vAlign w:val="bottom"/>
          </w:tcPr>
          <w:p>
            <w:pPr>
              <w:spacing w:after="0"/>
              <w:rPr>
                <w:sz w:val="17"/>
                <w:szCs w:val="17"/>
                <w:color w:val="auto"/>
              </w:rPr>
            </w:pPr>
          </w:p>
        </w:tc>
      </w:tr>
      <w:tr>
        <w:trPr>
          <w:trHeight w:val="236"/>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6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338,896,201</w:t>
            </w:r>
          </w:p>
        </w:tc>
        <w:tc>
          <w:tcPr>
            <w:tcW w:w="2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291,374,765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Equity and liabilities</w:t>
            </w: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4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13</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7,795,134</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6,525,539</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Share premium</w:t>
            </w: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789,514,213</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623,641,380</w:t>
            </w:r>
          </w:p>
        </w:tc>
        <w:tc>
          <w:tcPr>
            <w:tcW w:w="10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reserves</w:t>
            </w: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47,569,667</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39,711,103</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Currency translation reserve</w:t>
            </w:r>
          </w:p>
        </w:tc>
        <w:tc>
          <w:tcPr>
            <w:tcW w:w="460" w:type="dxa"/>
            <w:vAlign w:val="bottom"/>
          </w:tcPr>
          <w:p>
            <w:pPr>
              <w:spacing w:after="0"/>
              <w:rPr>
                <w:sz w:val="17"/>
                <w:szCs w:val="17"/>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(262,253)</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137,726</w:t>
            </w:r>
          </w:p>
        </w:tc>
        <w:tc>
          <w:tcPr>
            <w:tcW w:w="10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loss</w:t>
            </w:r>
          </w:p>
        </w:tc>
        <w:tc>
          <w:tcPr>
            <w:tcW w:w="46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(532,376,121)</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(402,255,007)</w:t>
            </w:r>
          </w:p>
        </w:tc>
      </w:tr>
      <w:tr>
        <w:trPr>
          <w:trHeight w:val="196"/>
        </w:trPr>
        <w:tc>
          <w:tcPr>
            <w:tcW w:w="7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460" w:type="dxa"/>
            <w:vAlign w:val="bottom"/>
            <w:tcBorders>
              <w:top w:val="single" w:sz="8" w:color="CFF0FC"/>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312,240,640</w:t>
            </w:r>
          </w:p>
        </w:tc>
        <w:tc>
          <w:tcPr>
            <w:tcW w:w="220" w:type="dxa"/>
            <w:vAlign w:val="bottom"/>
            <w:tcBorders>
              <w:top w:val="single" w:sz="8" w:color="CFF0FC"/>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267,760,741</w:t>
            </w:r>
          </w:p>
        </w:tc>
        <w:tc>
          <w:tcPr>
            <w:tcW w:w="100" w:type="dxa"/>
            <w:vAlign w:val="bottom"/>
            <w:tcBorders>
              <w:top w:val="single" w:sz="8" w:color="CFF0FC"/>
            </w:tcBorders>
          </w:tcPr>
          <w:p>
            <w:pPr>
              <w:spacing w:after="0"/>
              <w:rPr>
                <w:sz w:val="17"/>
                <w:szCs w:val="17"/>
                <w:color w:val="auto"/>
              </w:rPr>
            </w:pPr>
          </w:p>
        </w:tc>
      </w:tr>
      <w:tr>
        <w:trPr>
          <w:trHeight w:val="20"/>
        </w:trPr>
        <w:tc>
          <w:tcPr>
            <w:tcW w:w="7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Long term liabilities</w:t>
            </w: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lease liability</w:t>
            </w:r>
          </w:p>
        </w:tc>
        <w:tc>
          <w:tcPr>
            <w:tcW w:w="4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9</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441,040</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639,043</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 and other payables</w:t>
            </w:r>
          </w:p>
        </w:tc>
        <w:tc>
          <w:tcPr>
            <w:tcW w:w="4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14</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2,548,047</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4,562,900</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22,679,349</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17,588,407</w:t>
            </w:r>
          </w:p>
        </w:tc>
        <w:tc>
          <w:tcPr>
            <w:tcW w:w="10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lease liability</w:t>
            </w:r>
          </w:p>
        </w:tc>
        <w:tc>
          <w:tcPr>
            <w:tcW w:w="4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9</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137,617</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222,427</w:t>
            </w: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Current tax payable</w:t>
            </w:r>
          </w:p>
        </w:tc>
        <w:tc>
          <w:tcPr>
            <w:tcW w:w="46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849,508</w:t>
            </w:r>
          </w:p>
        </w:tc>
        <w:tc>
          <w:tcPr>
            <w:tcW w:w="22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601,247</w:t>
            </w:r>
          </w:p>
        </w:tc>
        <w:tc>
          <w:tcPr>
            <w:tcW w:w="100" w:type="dxa"/>
            <w:vAlign w:val="bottom"/>
          </w:tcPr>
          <w:p>
            <w:pPr>
              <w:spacing w:after="0"/>
              <w:rPr>
                <w:sz w:val="17"/>
                <w:szCs w:val="17"/>
                <w:color w:val="auto"/>
              </w:rPr>
            </w:pPr>
          </w:p>
        </w:tc>
      </w:tr>
      <w:tr>
        <w:trPr>
          <w:trHeight w:val="196"/>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6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26,655,561</w:t>
            </w:r>
          </w:p>
        </w:tc>
        <w:tc>
          <w:tcPr>
            <w:tcW w:w="22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23,614,024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46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338,896,201</w:t>
            </w:r>
          </w:p>
        </w:tc>
        <w:tc>
          <w:tcPr>
            <w:tcW w:w="22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291,374,765</w:t>
            </w:r>
          </w:p>
        </w:tc>
        <w:tc>
          <w:tcPr>
            <w:tcW w:w="100" w:type="dxa"/>
            <w:vAlign w:val="bottom"/>
          </w:tcPr>
          <w:p>
            <w:pPr>
              <w:spacing w:after="0"/>
              <w:rPr>
                <w:sz w:val="17"/>
                <w:szCs w:val="17"/>
                <w:color w:val="auto"/>
              </w:rPr>
            </w:pPr>
          </w:p>
        </w:tc>
      </w:tr>
      <w:tr>
        <w:trPr>
          <w:trHeight w:val="20"/>
        </w:trPr>
        <w:tc>
          <w:tcPr>
            <w:tcW w:w="7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-2545080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-2527935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-1490980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-161925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Unaudited condensed consolidated statement of changes in equity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2025 and September 30, 2024</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2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premium</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reserves</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reserve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202"/>
        </w:trPr>
        <w:tc>
          <w:tcPr>
            <w:tcW w:w="2740" w:type="dxa"/>
            <w:vAlign w:val="bottom"/>
          </w:tcPr>
          <w:p>
            <w:pPr>
              <w:spacing w:after="0"/>
              <w:rPr>
                <w:sz w:val="17"/>
                <w:szCs w:val="17"/>
                <w:color w:val="auto"/>
              </w:rPr>
            </w:pPr>
          </w:p>
        </w:tc>
        <w:tc>
          <w:tcPr>
            <w:tcW w:w="11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Notes</w:t>
            </w: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1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6,274,833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615,811,986</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27,894,796</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(14,584)</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(265,918,628)</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384,048,403</w:t>
            </w:r>
          </w:p>
        </w:tc>
        <w:tc>
          <w:tcPr>
            <w:tcW w:w="100" w:type="dxa"/>
            <w:vAlign w:val="bottom"/>
            <w:shd w:val="clear" w:color="auto" w:fill="CFF0FC"/>
          </w:tcPr>
          <w:p>
            <w:pPr>
              <w:spacing w:after="0"/>
              <w:rPr>
                <w:sz w:val="17"/>
                <w:szCs w:val="17"/>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(99,460,587)</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(99,460,587)</w:t>
            </w: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Issue of share capital</w:t>
            </w:r>
          </w:p>
        </w:tc>
        <w:tc>
          <w:tcPr>
            <w:tcW w:w="1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1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(165,000)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12,609</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12,609</w:t>
            </w:r>
          </w:p>
        </w:tc>
        <w:tc>
          <w:tcPr>
            <w:tcW w:w="100" w:type="dxa"/>
            <w:vAlign w:val="bottom"/>
            <w:shd w:val="clear" w:color="auto" w:fill="CFF0FC"/>
          </w:tcPr>
          <w:p>
            <w:pPr>
              <w:spacing w:after="0"/>
              <w:rPr>
                <w:sz w:val="17"/>
                <w:szCs w:val="17"/>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Transaction costs on issue of shares</w:t>
            </w:r>
          </w:p>
        </w:tc>
        <w:tc>
          <w:tcPr>
            <w:tcW w:w="1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592,000</w:t>
            </w:r>
          </w:p>
        </w:tc>
        <w:tc>
          <w:tcPr>
            <w:tcW w:w="20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592,000</w:t>
            </w:r>
          </w:p>
        </w:tc>
        <w:tc>
          <w:tcPr>
            <w:tcW w:w="100" w:type="dxa"/>
            <w:vAlign w:val="bottom"/>
          </w:tcPr>
          <w:p>
            <w:pPr>
              <w:spacing w:after="0"/>
              <w:rPr>
                <w:sz w:val="17"/>
                <w:szCs w:val="17"/>
                <w:color w:val="auto"/>
              </w:rPr>
            </w:pP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Currency translation reserve</w:t>
            </w:r>
          </w:p>
        </w:tc>
        <w:tc>
          <w:tcPr>
            <w:tcW w:w="1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(43,331)</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(43,331)</w:t>
            </w: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11,369,994</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11,369,994</w:t>
            </w:r>
          </w:p>
        </w:tc>
        <w:tc>
          <w:tcPr>
            <w:tcW w:w="100" w:type="dxa"/>
            <w:vAlign w:val="bottom"/>
          </w:tcPr>
          <w:p>
            <w:pPr>
              <w:spacing w:after="0"/>
              <w:rPr>
                <w:sz w:val="17"/>
                <w:szCs w:val="17"/>
                <w:color w:val="auto"/>
              </w:rPr>
            </w:pP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Settlement of share-based payments</w:t>
            </w:r>
          </w:p>
        </w:tc>
        <w:tc>
          <w:tcPr>
            <w:tcW w:w="1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68,140</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4,681,202</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(3,110,480)</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(1,370,923)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267,939</w:t>
            </w:r>
          </w:p>
        </w:tc>
        <w:tc>
          <w:tcPr>
            <w:tcW w:w="100" w:type="dxa"/>
            <w:vAlign w:val="bottom"/>
            <w:shd w:val="clear" w:color="auto" w:fill="CFF0FC"/>
          </w:tcPr>
          <w:p>
            <w:pPr>
              <w:spacing w:after="0"/>
              <w:rPr>
                <w:sz w:val="17"/>
                <w:szCs w:val="17"/>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6,507,973</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620,920,188</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36,166,919</w:t>
            </w:r>
          </w:p>
        </w:tc>
        <w:tc>
          <w:tcPr>
            <w:tcW w:w="2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(57,915)</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(366,750,138)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296,787,027</w:t>
            </w:r>
          </w:p>
        </w:tc>
        <w:tc>
          <w:tcPr>
            <w:tcW w:w="100" w:type="dxa"/>
            <w:vAlign w:val="bottom"/>
          </w:tcPr>
          <w:p>
            <w:pPr>
              <w:spacing w:after="0"/>
              <w:rPr>
                <w:sz w:val="17"/>
                <w:szCs w:val="17"/>
                <w:color w:val="auto"/>
              </w:rPr>
            </w:pPr>
          </w:p>
        </w:tc>
      </w:tr>
      <w:tr>
        <w:trPr>
          <w:trHeight w:val="20"/>
        </w:trPr>
        <w:tc>
          <w:tcPr>
            <w:tcW w:w="2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2025</w:t>
            </w:r>
          </w:p>
        </w:tc>
        <w:tc>
          <w:tcPr>
            <w:tcW w:w="1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6,525,539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623,641,380</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39,711,103</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137,726</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(402,255,007)</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267,760,741</w:t>
            </w:r>
          </w:p>
        </w:tc>
        <w:tc>
          <w:tcPr>
            <w:tcW w:w="100" w:type="dxa"/>
            <w:vAlign w:val="bottom"/>
            <w:shd w:val="clear" w:color="auto" w:fill="CFF0FC"/>
          </w:tcPr>
          <w:p>
            <w:pPr>
              <w:spacing w:after="0"/>
              <w:rPr>
                <w:sz w:val="15"/>
                <w:szCs w:val="15"/>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(128,958,544)</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(128,958,544)</w:t>
            </w: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Issue of share capital</w:t>
            </w:r>
          </w:p>
        </w:tc>
        <w:tc>
          <w:tcPr>
            <w:tcW w:w="116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1,207,500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170,029,468</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171,236,968</w:t>
            </w:r>
          </w:p>
        </w:tc>
        <w:tc>
          <w:tcPr>
            <w:tcW w:w="100" w:type="dxa"/>
            <w:vAlign w:val="bottom"/>
            <w:shd w:val="clear" w:color="auto" w:fill="CFF0FC"/>
          </w:tcPr>
          <w:p>
            <w:pPr>
              <w:spacing w:after="0"/>
              <w:rPr>
                <w:sz w:val="17"/>
                <w:szCs w:val="17"/>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Transaction costs on issue of shares</w:t>
            </w:r>
          </w:p>
        </w:tc>
        <w:tc>
          <w:tcPr>
            <w:tcW w:w="1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(10,888,679)</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(10,888,679)</w:t>
            </w:r>
          </w:p>
        </w:tc>
      </w:tr>
      <w:tr>
        <w:trPr>
          <w:trHeight w:val="203"/>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Currency translation reserve</w:t>
            </w:r>
          </w:p>
        </w:tc>
        <w:tc>
          <w:tcPr>
            <w:tcW w:w="1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(399,979)</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(399,979)</w:t>
            </w: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Settlement of share-based payments</w:t>
            </w:r>
          </w:p>
        </w:tc>
        <w:tc>
          <w:tcPr>
            <w:tcW w:w="1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62,095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6,732,044</w:t>
            </w:r>
          </w:p>
        </w:tc>
        <w:tc>
          <w:tcPr>
            <w:tcW w:w="2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(6,654,004)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(1,162,570)</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(1,022,435)</w:t>
            </w:r>
          </w:p>
        </w:tc>
      </w:tr>
      <w:tr>
        <w:trPr>
          <w:trHeight w:val="203"/>
        </w:trPr>
        <w:tc>
          <w:tcPr>
            <w:tcW w:w="2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116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14,512,568</w:t>
            </w: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14,512,568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1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7,795,134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789,514,213</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47,569,667</w:t>
            </w:r>
          </w:p>
        </w:tc>
        <w:tc>
          <w:tcPr>
            <w:tcW w:w="2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(262,253)</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(532,376,121)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312,240,640</w:t>
            </w:r>
          </w:p>
        </w:tc>
        <w:tc>
          <w:tcPr>
            <w:tcW w:w="100" w:type="dxa"/>
            <w:vAlign w:val="bottom"/>
          </w:tcPr>
          <w:p>
            <w:pPr>
              <w:spacing w:after="0"/>
              <w:rPr>
                <w:sz w:val="17"/>
                <w:szCs w:val="17"/>
                <w:color w:val="auto"/>
              </w:rPr>
            </w:pPr>
          </w:p>
        </w:tc>
      </w:tr>
      <w:tr>
        <w:trPr>
          <w:trHeight w:val="20"/>
        </w:trPr>
        <w:tc>
          <w:tcPr>
            <w:tcW w:w="2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-1224915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-1224915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-1224915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-1224915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-1224915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-161925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-161925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-161925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-161925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-161925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Unaudited condensed consolidated statement of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2025 and 2024</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02"/>
        </w:trPr>
        <w:tc>
          <w:tcPr>
            <w:tcW w:w="6360" w:type="dxa"/>
            <w:vAlign w:val="bottom"/>
          </w:tcPr>
          <w:p>
            <w:pPr>
              <w:spacing w:after="0"/>
              <w:rPr>
                <w:sz w:val="17"/>
                <w:szCs w:val="17"/>
                <w:color w:val="auto"/>
              </w:rPr>
            </w:pPr>
          </w:p>
        </w:tc>
        <w:tc>
          <w:tcPr>
            <w:tcW w:w="17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Notes</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54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7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Loss before tax</w:t>
            </w:r>
          </w:p>
        </w:tc>
        <w:tc>
          <w:tcPr>
            <w:tcW w:w="170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(128,634,564)</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(98,874,756)</w:t>
            </w: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Non-cash adjustments to reconcile loss before tax to net cash flows from operations:</w:t>
            </w:r>
          </w:p>
        </w:tc>
        <w:tc>
          <w:tcPr>
            <w:tcW w:w="17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Share-based payment expense</w:t>
            </w:r>
          </w:p>
        </w:tc>
        <w:tc>
          <w:tcPr>
            <w:tcW w:w="170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18</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14,512,568</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11,369,994</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expense</w:t>
            </w:r>
          </w:p>
        </w:tc>
        <w:tc>
          <w:tcPr>
            <w:tcW w:w="1700" w:type="dxa"/>
            <w:vAlign w:val="bottom"/>
            <w:shd w:val="clear" w:color="auto" w:fill="CFF0FC"/>
          </w:tcPr>
          <w:p>
            <w:pPr>
              <w:jc w:val="center"/>
              <w:ind w:left="299"/>
              <w:spacing w:after="0"/>
              <w:rPr>
                <w:sz w:val="20"/>
                <w:szCs w:val="20"/>
                <w:color w:val="auto"/>
              </w:rPr>
            </w:pPr>
            <w:r>
              <w:rPr>
                <w:rFonts w:ascii="Times New Roman" w:cs="Times New Roman" w:eastAsia="Times New Roman" w:hAnsi="Times New Roman"/>
                <w:sz w:val="16"/>
                <w:szCs w:val="16"/>
                <w:color w:val="auto"/>
                <w:w w:val="99"/>
              </w:rPr>
              <w:t>4</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313,485</w:t>
            </w: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178,604</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Net foreign exchange loss</w:t>
            </w:r>
          </w:p>
        </w:tc>
        <w:tc>
          <w:tcPr>
            <w:tcW w:w="170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6</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11,981,990</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2,561,497</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income</w:t>
            </w:r>
          </w:p>
        </w:tc>
        <w:tc>
          <w:tcPr>
            <w:tcW w:w="1700" w:type="dxa"/>
            <w:vAlign w:val="bottom"/>
            <w:shd w:val="clear" w:color="auto" w:fill="CFF0FC"/>
          </w:tcPr>
          <w:p>
            <w:pPr>
              <w:jc w:val="center"/>
              <w:ind w:left="299"/>
              <w:spacing w:after="0"/>
              <w:rPr>
                <w:sz w:val="20"/>
                <w:szCs w:val="20"/>
                <w:color w:val="auto"/>
              </w:rPr>
            </w:pPr>
            <w:r>
              <w:rPr>
                <w:rFonts w:ascii="Times New Roman" w:cs="Times New Roman" w:eastAsia="Times New Roman" w:hAnsi="Times New Roman"/>
                <w:sz w:val="16"/>
                <w:szCs w:val="16"/>
                <w:color w:val="auto"/>
                <w:w w:val="99"/>
              </w:rPr>
              <w:t>6</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(410,470)</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(4,127,865)</w:t>
            </w:r>
          </w:p>
        </w:tc>
      </w:tr>
      <w:tr>
        <w:trPr>
          <w:trHeight w:val="203"/>
        </w:trPr>
        <w:tc>
          <w:tcPr>
            <w:tcW w:w="6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Changes in working capital:</w:t>
            </w:r>
          </w:p>
        </w:tc>
        <w:tc>
          <w:tcPr>
            <w:tcW w:w="17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Decrease (increase) in receivables</w:t>
            </w:r>
          </w:p>
        </w:tc>
        <w:tc>
          <w:tcPr>
            <w:tcW w:w="17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57,822</w:t>
            </w:r>
          </w:p>
        </w:tc>
        <w:tc>
          <w:tcPr>
            <w:tcW w:w="100" w:type="dxa"/>
            <w:vAlign w:val="bottom"/>
          </w:tcPr>
          <w:p>
            <w:pPr>
              <w:spacing w:after="0"/>
              <w:rPr>
                <w:sz w:val="17"/>
                <w:szCs w:val="17"/>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(221,874)</w:t>
            </w: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Increase in other current assets</w:t>
            </w:r>
          </w:p>
        </w:tc>
        <w:tc>
          <w:tcPr>
            <w:tcW w:w="17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1,543,852</w:t>
            </w: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1,271,056</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(Decrease) Increase trade and other payables</w:t>
            </w:r>
          </w:p>
        </w:tc>
        <w:tc>
          <w:tcPr>
            <w:tcW w:w="170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(3,938,399)</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1,284,669</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Increase (decrease) in accrued liabilities</w:t>
            </w:r>
          </w:p>
        </w:tc>
        <w:tc>
          <w:tcPr>
            <w:tcW w:w="17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5,089,500</w:t>
            </w: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(361,382)</w:t>
            </w:r>
          </w:p>
        </w:tc>
      </w:tr>
      <w:tr>
        <w:trPr>
          <w:trHeight w:val="203"/>
        </w:trPr>
        <w:tc>
          <w:tcPr>
            <w:tcW w:w="6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 (paid)</w:t>
            </w:r>
          </w:p>
        </w:tc>
        <w:tc>
          <w:tcPr>
            <w:tcW w:w="17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(80,522)</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(2,350,535)</w:t>
            </w: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Received interest</w:t>
            </w:r>
          </w:p>
        </w:tc>
        <w:tc>
          <w:tcPr>
            <w:tcW w:w="170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443,862</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4,094,083</w:t>
            </w:r>
          </w:p>
        </w:tc>
        <w:tc>
          <w:tcPr>
            <w:tcW w:w="100" w:type="dxa"/>
            <w:vAlign w:val="bottom"/>
          </w:tcPr>
          <w:p>
            <w:pPr>
              <w:spacing w:after="0"/>
              <w:rPr>
                <w:sz w:val="17"/>
                <w:szCs w:val="17"/>
                <w:color w:val="auto"/>
              </w:rPr>
            </w:pPr>
          </w:p>
        </w:tc>
      </w:tr>
      <w:tr>
        <w:trPr>
          <w:trHeight w:val="23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flows used in operating activities</w:t>
            </w:r>
          </w:p>
        </w:tc>
        <w:tc>
          <w:tcPr>
            <w:tcW w:w="17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(99,120,876)</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(85,176,509)</w:t>
            </w:r>
          </w:p>
        </w:tc>
      </w:tr>
      <w:tr>
        <w:trPr>
          <w:trHeight w:val="183"/>
        </w:trPr>
        <w:tc>
          <w:tcPr>
            <w:tcW w:w="6360" w:type="dxa"/>
            <w:vAlign w:val="bottom"/>
            <w:tcBorders>
              <w:top w:val="single" w:sz="8" w:color="CFF0FC"/>
            </w:tcBorders>
          </w:tcPr>
          <w:p>
            <w:pPr>
              <w:spacing w:after="0"/>
              <w:rPr>
                <w:sz w:val="15"/>
                <w:szCs w:val="15"/>
                <w:color w:val="auto"/>
              </w:rPr>
            </w:pPr>
          </w:p>
        </w:tc>
        <w:tc>
          <w:tcPr>
            <w:tcW w:w="1700" w:type="dxa"/>
            <w:vAlign w:val="bottom"/>
            <w:tcBorders>
              <w:top w:val="single" w:sz="8" w:color="CFF0FC"/>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2"/>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7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170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8</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(163,081)</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(377,169)</w:t>
            </w:r>
          </w:p>
        </w:tc>
      </w:tr>
      <w:tr>
        <w:trPr>
          <w:trHeight w:val="20"/>
        </w:trPr>
        <w:tc>
          <w:tcPr>
            <w:tcW w:w="6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flows used in investing activities</w:t>
            </w:r>
          </w:p>
        </w:tc>
        <w:tc>
          <w:tcPr>
            <w:tcW w:w="17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(163,081)</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(377,169)</w:t>
            </w:r>
          </w:p>
        </w:tc>
      </w:tr>
      <w:tr>
        <w:trPr>
          <w:trHeight w:val="183"/>
        </w:trPr>
        <w:tc>
          <w:tcPr>
            <w:tcW w:w="6360" w:type="dxa"/>
            <w:vAlign w:val="bottom"/>
            <w:tcBorders>
              <w:top w:val="single" w:sz="8" w:color="CFF0FC"/>
            </w:tcBorders>
          </w:tcPr>
          <w:p>
            <w:pPr>
              <w:spacing w:after="0"/>
              <w:rPr>
                <w:sz w:val="15"/>
                <w:szCs w:val="15"/>
                <w:color w:val="auto"/>
              </w:rPr>
            </w:pPr>
          </w:p>
        </w:tc>
        <w:tc>
          <w:tcPr>
            <w:tcW w:w="1700" w:type="dxa"/>
            <w:vAlign w:val="bottom"/>
            <w:tcBorders>
              <w:top w:val="single" w:sz="8" w:color="CFF0FC"/>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7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issue of shares</w:t>
            </w:r>
          </w:p>
        </w:tc>
        <w:tc>
          <w:tcPr>
            <w:tcW w:w="170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13</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171,400,309</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1,651,470</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Transaction costs on issue of shares</w:t>
            </w:r>
          </w:p>
        </w:tc>
        <w:tc>
          <w:tcPr>
            <w:tcW w:w="17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(10,911,884)</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592,000</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Payment of principal portion of lease liabilities</w:t>
            </w:r>
          </w:p>
        </w:tc>
        <w:tc>
          <w:tcPr>
            <w:tcW w:w="170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9</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(152,697)</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(133,077)</w:t>
            </w:r>
          </w:p>
        </w:tc>
      </w:tr>
      <w:tr>
        <w:trPr>
          <w:trHeight w:val="236"/>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flows provided by financing activities</w:t>
            </w:r>
          </w:p>
        </w:tc>
        <w:tc>
          <w:tcPr>
            <w:tcW w:w="170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160,335,728</w:t>
            </w:r>
          </w:p>
        </w:tc>
        <w:tc>
          <w:tcPr>
            <w:tcW w:w="10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2,110,393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7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61,051,771</w:t>
            </w: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(83,443,285)</w:t>
            </w:r>
          </w:p>
        </w:tc>
      </w:tr>
      <w:tr>
        <w:trPr>
          <w:trHeight w:val="20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17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280,728,037</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391,231,637</w:t>
            </w:r>
          </w:p>
        </w:tc>
        <w:tc>
          <w:tcPr>
            <w:tcW w:w="10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w:t>
            </w:r>
          </w:p>
        </w:tc>
        <w:tc>
          <w:tcPr>
            <w:tcW w:w="17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(12,494,179)</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(2,595,237)</w:t>
            </w:r>
          </w:p>
        </w:tc>
      </w:tr>
      <w:tr>
        <w:trPr>
          <w:trHeight w:val="196"/>
        </w:trPr>
        <w:tc>
          <w:tcPr>
            <w:tcW w:w="6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the end of the period</w:t>
            </w:r>
          </w:p>
        </w:tc>
        <w:tc>
          <w:tcPr>
            <w:tcW w:w="1700" w:type="dxa"/>
            <w:vAlign w:val="bottom"/>
            <w:tcBorders>
              <w:top w:val="single" w:sz="8" w:color="CFF0FC"/>
            </w:tcBorders>
          </w:tcPr>
          <w:p>
            <w:pPr>
              <w:jc w:val="center"/>
              <w:ind w:left="299"/>
              <w:spacing w:after="0"/>
              <w:rPr>
                <w:sz w:val="20"/>
                <w:szCs w:val="20"/>
                <w:color w:val="auto"/>
              </w:rPr>
            </w:pPr>
            <w:r>
              <w:rPr>
                <w:rFonts w:ascii="Times New Roman" w:cs="Times New Roman" w:eastAsia="Times New Roman" w:hAnsi="Times New Roman"/>
                <w:sz w:val="16"/>
                <w:szCs w:val="16"/>
                <w:color w:val="auto"/>
                <w:w w:val="99"/>
              </w:rPr>
              <w:t>12</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329,285,629</w:t>
            </w:r>
          </w:p>
        </w:tc>
        <w:tc>
          <w:tcPr>
            <w:tcW w:w="100" w:type="dxa"/>
            <w:vAlign w:val="bottom"/>
            <w:tcBorders>
              <w:top w:val="single" w:sz="8" w:color="CFF0FC"/>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305,193,115</w:t>
            </w:r>
          </w:p>
        </w:tc>
        <w:tc>
          <w:tcPr>
            <w:tcW w:w="100" w:type="dxa"/>
            <w:vAlign w:val="bottom"/>
            <w:tcBorders>
              <w:top w:val="single" w:sz="8" w:color="CFF0FC"/>
            </w:tcBorders>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-2056765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-2039620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-1508125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-1490980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-702310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-685165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-161925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7" w:name="page28"/>
    <w:bookmarkEnd w:id="27"/>
    <w:p>
      <w:pPr>
        <w:ind w:right="3320"/>
        <w:spacing w:after="0" w:line="371" w:lineRule="auto"/>
        <w:rPr>
          <w:sz w:val="20"/>
          <w:szCs w:val="20"/>
          <w:color w:val="auto"/>
        </w:rPr>
      </w:pPr>
      <w:r>
        <w:rPr>
          <w:rFonts w:ascii="Arial" w:cs="Arial" w:eastAsia="Arial" w:hAnsi="Arial"/>
          <w:sz w:val="22"/>
          <w:szCs w:val="22"/>
          <w:b w:val="1"/>
          <w:bCs w:val="1"/>
          <w:color w:val="auto"/>
        </w:rPr>
        <w:t xml:space="preserve">Notes to the unaudited condensed consolidated interim financial statements </w:t>
      </w:r>
      <w:r>
        <w:rPr>
          <w:rFonts w:ascii="Times New Roman" w:cs="Times New Roman" w:eastAsia="Times New Roman" w:hAnsi="Times New Roman"/>
          <w:sz w:val="25"/>
          <w:szCs w:val="25"/>
          <w:b w:val="1"/>
          <w:bCs w:val="1"/>
          <w:color w:val="auto"/>
        </w:rPr>
        <w:t>1</w:t>
      </w:r>
      <w:r>
        <w:rPr>
          <w:rFonts w:ascii="Times New Roman" w:cs="Times New Roman" w:eastAsia="Times New Roman" w:hAnsi="Times New Roman"/>
          <w:sz w:val="21"/>
          <w:szCs w:val="21"/>
          <w:b w:val="1"/>
          <w:bCs w:val="1"/>
          <w:color w:val="auto"/>
        </w:rPr>
        <w:t>. Corporate and Group information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general corporate and group information about Pharvaris N.V. and its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Corporate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Pharvaris N.V. was incorporated on September 30, 2015 and is based in Leiden, the Netherlands.</w:t>
      </w:r>
    </w:p>
    <w:p>
      <w:pPr>
        <w:spacing w:after="0" w:line="11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Company’s registered office is located at Emmy Noetherweg 2, Leiden. The Company is registered at the Chamber of Commerce under file number 64239411.</w:t>
      </w:r>
    </w:p>
    <w:p>
      <w:pPr>
        <w:spacing w:after="0" w:line="4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Pharvaris is a late-stage biopharmaceutical company focused on the development and commercialization of innovative therapies for rare diseases with significant unmet need, initially focused on angioedema and other bradykinin-mediated diseases.</w:t>
      </w:r>
    </w:p>
    <w:p>
      <w:pPr>
        <w:spacing w:after="0" w:line="4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unaudited condensed consolidated interim financial statements of Pharvaris N.V. (the “Company” or “Pharvaris”) and its subsidiaries (collectively, “The Group”) as of September 30, 2025, and December 31, 2024, and for the three and nine months ended September 30, 2025 and 2024 were authorized for issue in accordance with a resolution of the directors on November 12, 2025.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Group information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unaudited condensed consolidated interim financial statements of the Group include: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80" w:type="dxa"/>
            <w:vAlign w:val="bottom"/>
            <w:gridSpan w:val="3"/>
          </w:tcPr>
          <w:p>
            <w:pPr>
              <w:jc w:val="center"/>
              <w:ind w:right="939"/>
              <w:spacing w:after="0"/>
              <w:rPr>
                <w:sz w:val="20"/>
                <w:szCs w:val="20"/>
                <w:color w:val="auto"/>
              </w:rPr>
            </w:pPr>
            <w:r>
              <w:rPr>
                <w:rFonts w:ascii="Times New Roman" w:cs="Times New Roman" w:eastAsia="Times New Roman" w:hAnsi="Times New Roman"/>
                <w:sz w:val="16"/>
                <w:szCs w:val="16"/>
                <w:color w:val="auto"/>
              </w:rPr>
              <w:t>% of equity interest as</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7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Country of</w:t>
            </w:r>
          </w:p>
        </w:tc>
        <w:tc>
          <w:tcPr>
            <w:tcW w:w="10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center"/>
              <w:ind w:right="939"/>
              <w:spacing w:after="0"/>
              <w:rPr>
                <w:sz w:val="20"/>
                <w:szCs w:val="20"/>
                <w:color w:val="auto"/>
              </w:rPr>
            </w:pPr>
            <w:r>
              <w:rPr>
                <w:rFonts w:ascii="Times New Roman" w:cs="Times New Roman" w:eastAsia="Times New Roman" w:hAnsi="Times New Roman"/>
                <w:sz w:val="16"/>
                <w:szCs w:val="16"/>
                <w:color w:val="auto"/>
              </w:rPr>
              <w:t>September 30,</w:t>
            </w:r>
          </w:p>
        </w:tc>
        <w:tc>
          <w:tcPr>
            <w:tcW w:w="0" w:type="dxa"/>
            <w:vAlign w:val="bottom"/>
          </w:tcPr>
          <w:p>
            <w:pPr>
              <w:spacing w:after="0"/>
              <w:rPr>
                <w:sz w:val="1"/>
                <w:szCs w:val="1"/>
                <w:color w:val="auto"/>
              </w:rPr>
            </w:pPr>
          </w:p>
        </w:tc>
      </w:tr>
      <w:tr>
        <w:trPr>
          <w:trHeight w:val="196"/>
        </w:trPr>
        <w:tc>
          <w:tcPr>
            <w:tcW w:w="32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Name</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Legal seat</w:t>
            </w:r>
          </w:p>
        </w:tc>
        <w:tc>
          <w:tcPr>
            <w:tcW w:w="27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incorporation</w:t>
            </w:r>
          </w:p>
        </w:tc>
        <w:tc>
          <w:tcPr>
            <w:tcW w:w="100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w w:val="99"/>
              </w:rPr>
              <w:t>2025</w:t>
            </w:r>
          </w:p>
        </w:tc>
        <w:tc>
          <w:tcPr>
            <w:tcW w:w="2480" w:type="dxa"/>
            <w:vAlign w:val="bottom"/>
            <w:gridSpan w:val="3"/>
          </w:tcPr>
          <w:p>
            <w:pPr>
              <w:jc w:val="center"/>
              <w:ind w:left="73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vMerge w:val="continue"/>
          </w:tcPr>
          <w:p>
            <w:pPr>
              <w:spacing w:after="0"/>
              <w:rPr>
                <w:sz w:val="17"/>
                <w:szCs w:val="17"/>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Pharvaris Holdings B.V.</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Leiden</w:t>
            </w:r>
          </w:p>
        </w:tc>
        <w:tc>
          <w:tcPr>
            <w:tcW w:w="276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The Netherlands</w:t>
            </w:r>
          </w:p>
        </w:tc>
        <w:tc>
          <w:tcPr>
            <w:tcW w:w="1000" w:type="dxa"/>
            <w:vAlign w:val="bottom"/>
            <w:shd w:val="clear" w:color="auto" w:fill="CFF0FC"/>
          </w:tcPr>
          <w:p>
            <w:pPr>
              <w:jc w:val="center"/>
              <w:ind w:left="539"/>
              <w:spacing w:after="0"/>
              <w:rPr>
                <w:sz w:val="20"/>
                <w:szCs w:val="20"/>
                <w:color w:val="auto"/>
              </w:rPr>
            </w:pPr>
            <w:r>
              <w:rPr>
                <w:rFonts w:ascii="Times New Roman" w:cs="Times New Roman" w:eastAsia="Times New Roman" w:hAnsi="Times New Roman"/>
                <w:sz w:val="16"/>
                <w:szCs w:val="16"/>
                <w:color w:val="auto"/>
              </w:rPr>
              <w:t>100%</w:t>
            </w:r>
          </w:p>
        </w:tc>
        <w:tc>
          <w:tcPr>
            <w:tcW w:w="2480" w:type="dxa"/>
            <w:vAlign w:val="bottom"/>
            <w:gridSpan w:val="3"/>
            <w:shd w:val="clear" w:color="auto" w:fill="CFF0FC"/>
          </w:tcPr>
          <w:p>
            <w:pPr>
              <w:jc w:val="center"/>
              <w:ind w:left="73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Pharvaris Netherlands B.V.</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Leiden</w:t>
            </w:r>
          </w:p>
        </w:tc>
        <w:tc>
          <w:tcPr>
            <w:tcW w:w="27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The Netherlands</w:t>
            </w:r>
          </w:p>
        </w:tc>
        <w:tc>
          <w:tcPr>
            <w:tcW w:w="100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rPr>
              <w:t>100%</w:t>
            </w:r>
          </w:p>
        </w:tc>
        <w:tc>
          <w:tcPr>
            <w:tcW w:w="2480" w:type="dxa"/>
            <w:vAlign w:val="bottom"/>
            <w:gridSpan w:val="3"/>
          </w:tcPr>
          <w:p>
            <w:pPr>
              <w:jc w:val="center"/>
              <w:ind w:left="73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Pharvaris GmbH</w:t>
            </w:r>
          </w:p>
        </w:tc>
        <w:tc>
          <w:tcPr>
            <w:tcW w:w="17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Zug</w:t>
            </w:r>
          </w:p>
        </w:tc>
        <w:tc>
          <w:tcPr>
            <w:tcW w:w="276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Switzerland</w:t>
            </w:r>
          </w:p>
        </w:tc>
        <w:tc>
          <w:tcPr>
            <w:tcW w:w="1000" w:type="dxa"/>
            <w:vAlign w:val="bottom"/>
            <w:shd w:val="clear" w:color="auto" w:fill="CFF0FC"/>
          </w:tcPr>
          <w:p>
            <w:pPr>
              <w:jc w:val="center"/>
              <w:ind w:left="539"/>
              <w:spacing w:after="0"/>
              <w:rPr>
                <w:sz w:val="20"/>
                <w:szCs w:val="20"/>
                <w:color w:val="auto"/>
              </w:rPr>
            </w:pPr>
            <w:r>
              <w:rPr>
                <w:rFonts w:ascii="Times New Roman" w:cs="Times New Roman" w:eastAsia="Times New Roman" w:hAnsi="Times New Roman"/>
                <w:sz w:val="16"/>
                <w:szCs w:val="16"/>
                <w:color w:val="auto"/>
              </w:rPr>
              <w:t>100%</w:t>
            </w:r>
          </w:p>
        </w:tc>
        <w:tc>
          <w:tcPr>
            <w:tcW w:w="2480" w:type="dxa"/>
            <w:vAlign w:val="bottom"/>
            <w:gridSpan w:val="3"/>
            <w:shd w:val="clear" w:color="auto" w:fill="CFF0FC"/>
          </w:tcPr>
          <w:p>
            <w:pPr>
              <w:jc w:val="center"/>
              <w:ind w:left="73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Pharvaris, Inc.</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Delaware</w:t>
            </w:r>
          </w:p>
        </w:tc>
        <w:tc>
          <w:tcPr>
            <w:tcW w:w="27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00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rPr>
              <w:t>100%</w:t>
            </w:r>
          </w:p>
        </w:tc>
        <w:tc>
          <w:tcPr>
            <w:tcW w:w="2480" w:type="dxa"/>
            <w:vAlign w:val="bottom"/>
            <w:gridSpan w:val="3"/>
          </w:tcPr>
          <w:p>
            <w:pPr>
              <w:jc w:val="center"/>
              <w:ind w:left="73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i w:val="1"/>
                <w:iCs w:val="1"/>
                <w:color w:val="auto"/>
                <w:w w:val="91"/>
              </w:rPr>
              <w:t>*</w:t>
            </w:r>
          </w:p>
        </w:tc>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Pharvaris Pharmaceuticals, Inc.*</w:t>
            </w:r>
          </w:p>
        </w:tc>
        <w:tc>
          <w:tcPr>
            <w:tcW w:w="17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Delaware</w:t>
            </w:r>
          </w:p>
        </w:tc>
        <w:tc>
          <w:tcPr>
            <w:tcW w:w="276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United States of America</w:t>
            </w:r>
          </w:p>
        </w:tc>
        <w:tc>
          <w:tcPr>
            <w:tcW w:w="1000" w:type="dxa"/>
            <w:vAlign w:val="bottom"/>
            <w:shd w:val="clear" w:color="auto" w:fill="CFF0FC"/>
          </w:tcPr>
          <w:p>
            <w:pPr>
              <w:jc w:val="center"/>
              <w:ind w:left="539"/>
              <w:spacing w:after="0"/>
              <w:rPr>
                <w:sz w:val="20"/>
                <w:szCs w:val="20"/>
                <w:color w:val="auto"/>
              </w:rPr>
            </w:pPr>
            <w:r>
              <w:rPr>
                <w:rFonts w:ascii="Times New Roman" w:cs="Times New Roman" w:eastAsia="Times New Roman" w:hAnsi="Times New Roman"/>
                <w:sz w:val="16"/>
                <w:szCs w:val="16"/>
                <w:color w:val="auto"/>
              </w:rPr>
              <w:t>100%</w:t>
            </w: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64"/>
        </w:trPr>
        <w:tc>
          <w:tcPr>
            <w:tcW w:w="80" w:type="dxa"/>
            <w:vAlign w:val="bottom"/>
            <w:vMerge w:val="continue"/>
          </w:tcPr>
          <w:p>
            <w:pPr>
              <w:spacing w:after="0"/>
              <w:rPr>
                <w:sz w:val="14"/>
                <w:szCs w:val="1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7"/>
              </w:rPr>
              <w:t>Pharvaris Pharmaceuticals, Inc was incorporated in June 2025</w:t>
            </w:r>
          </w:p>
        </w:tc>
        <w:tc>
          <w:tcPr>
            <w:tcW w:w="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ultimate parent company of the Group is Pharvaris N.V., which is based in the Netherlands.</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Basis of preparation</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unaudited condensed consolidated interim financial statements have been prepared in accordance with IAS 34 Interim Financial Reporting as issued by the International Accounting Standards Board (IASB) and should be read in conjunction with the Group’s annual consolidated financial statements for the year ended December 31, 2024 (“last annual financial statements”). These unaudited condensed consolidated interim financial statements do not include all the information required for a complete set of financial statements prepared in accordance with IFRS as issued by the IASB.</w:t>
      </w:r>
    </w:p>
    <w:p>
      <w:pPr>
        <w:spacing w:after="0" w:line="7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However, selected explanatory notes are included to explain events and transactions that are significant to an understanding of the changes in the Group’s financial position and performance since the last annual financial statements.</w:t>
      </w:r>
    </w:p>
    <w:p>
      <w:pPr>
        <w:spacing w:after="0" w:line="48"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The unaudited condensed consolidated interim financial statements have been prepared on a historical cost basis. Unless otherwise stated, the unaudited condensed consolidated interim financial statements are presented in euros and all values are rounded to the nearest EUR (€), except per share amounts.</w:t>
      </w:r>
    </w:p>
    <w:p>
      <w:pPr>
        <w:spacing w:after="0" w:line="4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Certain personnel, consulting, and facility related costs previously reported under General and Administrative expenses were determined to be more appropriately classified as Research and Development expenses. The Company reclassified approximately €0.8 million and €1.8 million from General and Administrative expenses to Research and Development expenses for the three and nine months ending, September 30, 2025, respectively. This reclassification had no impact on the total operating expenses, net loss, or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28" w:name="page29"/>
    <w:bookmarkEnd w:id="28"/>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Going concern</w:t>
      </w:r>
    </w:p>
    <w:p>
      <w:pPr>
        <w:spacing w:after="0" w:line="189"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Management assessed the Company’s ability to fund its operations for a period of at least 12 months after the date of signing these financial statements. Management has not identified significant going concern risks. The financial statements of the Company have been prepared on the basis of the going concern assumption based on its existing funding, taking into account the Company’s current cash position and the projected cash flows based on the activities under execution on the basis of Pharvaris’ business plan and budget.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Use of judgements and estimates</w:t>
      </w:r>
    </w:p>
    <w:p>
      <w:pPr>
        <w:spacing w:after="0" w:line="10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In preparing these unaudited condensed consolidated interim financial statements, management has made judgements and estimates that affect the application of accounting policies and the reported amounts of assets and liabilities, income and expense. Actual results may differ from these estimates.</w:t>
      </w:r>
    </w:p>
    <w:p>
      <w:pPr>
        <w:spacing w:after="0" w:line="4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significant judgements made by management in applying the Group’s accounting policies and the key sources of estimation uncertainty were the same as those described in the last annual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Change in material accounting policies</w:t>
      </w:r>
    </w:p>
    <w:p>
      <w:pPr>
        <w:spacing w:after="0" w:line="10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accounting policies applied in these unaudited condensed consolidated interim financial statements are the same as those applied in the consolidated financial statements for the year ended December 31, 2024.</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Effective Standards</w:t>
      </w:r>
    </w:p>
    <w:p>
      <w:pPr>
        <w:spacing w:after="0" w:line="11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IASB’s Amendments to IAS 21 — Lack of Exchangeability (issued May 2024, effective for annual reporting periods beginning on or after 1 January 2025) provide guidance on how to determine the spot exchange rate when a currency is not exchangeable into another currency. An entity applies the amendments for annual reporting periods beginning on or after 1 January 2025. The Group has evaluated that there is no impact on the company due to this amendment.</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standards and interpretations issued not yet effective</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In April 2024, the IASB issued IFRS 18 Presentation and Disclosure in Financial Statements (“IFRS 18”) which replaces IAS 1 Presentation of Financial Statements. IFRS 18 requires an entity to classify all income and expenses within its statement of profit or loss into one of five categories: operating; investing; financing; income taxes; and discontinued operations. The first three categories are new. These categories are complemented by the requirement to present subtotals and totals for “operating profit or loss”, “profit or loss before financing income and taxes” and “profit or loss”. IFRS 18, and the amendments to the other standards, is effective for reporting periods beginning on or after January 1, 2027, but earlier application is permitted. The Group is currently evaluating the impact of this amendment.</w:t>
      </w:r>
    </w:p>
    <w:p>
      <w:pPr>
        <w:spacing w:after="0" w:line="74"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There are no other IFRS or IFRIC interpretations that are not yet effective and that are expected to have a material impact to the interim consolidated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Research and development expenses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9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w:t>
            </w:r>
          </w:p>
        </w:tc>
        <w:tc>
          <w:tcPr>
            <w:tcW w:w="296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w:t>
            </w: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w:t>
            </w: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5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Clinical expenses</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(16,501,843)</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(15,437,752)</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(48,551,185)</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(37,824,808)</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Personnel expenses (Note 5)</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(9,019,095)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(7,357,286)</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(26,796,193)</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(18,988,262)</w:t>
            </w:r>
          </w:p>
        </w:tc>
      </w:tr>
      <w:tr>
        <w:trPr>
          <w:trHeight w:val="202"/>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Nonclinical expenses</w:t>
            </w: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(1,433,314)</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(307,324)</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(6,141,579)</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(2,012,770)</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Manufacturing costs</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(2,747,027)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(2,535,747)</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(8,546,654)</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(6,671,718)</w:t>
            </w:r>
          </w:p>
        </w:tc>
      </w:tr>
      <w:tr>
        <w:trPr>
          <w:trHeight w:val="203"/>
        </w:trPr>
        <w:tc>
          <w:tcPr>
            <w:tcW w:w="20" w:type="dxa"/>
            <w:vAlign w:val="bottom"/>
          </w:tcPr>
          <w:p>
            <w:pPr>
              <w:spacing w:after="0"/>
              <w:rPr>
                <w:sz w:val="17"/>
                <w:szCs w:val="17"/>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License costs</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(1,500,000)</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 costs</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(113,629)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(144,541)</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(301,598)</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(366,042)</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(29,814,908)</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(25,782,650)</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(90,337,209)</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(67,363,600)</w:t>
            </w: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Development expenses are currently not capitalized but are recorded in the condensed consolidated statements of profit or loss and other comprehensive loss because the recognition criteria for capitalization are not met.</w:t>
      </w:r>
    </w:p>
    <w:p>
      <w:pPr>
        <w:spacing w:after="0" w:line="1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Clinical expenses include costs of conducting and managing our sponsored clinical trials, including clinical investigator cost, costs of clinical sites, and costs for CRO’s assisting with our clinical development programs and travel expenses.</w:t>
      </w:r>
    </w:p>
    <w:p>
      <w:pPr>
        <w:spacing w:after="0" w:line="12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Manufacturing expenses include costs related to manufacturing of active pharmaceutical ingredients and manufacturing of the products used in our clinical trials and research and development activities as well as travel expenses.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Nonclinical expenses include costs of our outsourced discovery and nonclinical development studies and associated travel expenses.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Licensing costs consist of milestone payments reflecting the start of the Phase III study.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 expenses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294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w:t>
            </w:r>
          </w:p>
        </w:tc>
        <w:tc>
          <w:tcPr>
            <w:tcW w:w="3000" w:type="dxa"/>
            <w:vAlign w:val="bottom"/>
            <w:gridSpan w:val="5"/>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w:t>
            </w:r>
          </w:p>
        </w:tc>
      </w:tr>
      <w:tr>
        <w:trPr>
          <w:trHeight w:val="212"/>
        </w:trPr>
        <w:tc>
          <w:tcPr>
            <w:tcW w:w="5300" w:type="dxa"/>
            <w:vAlign w:val="bottom"/>
          </w:tcPr>
          <w:p>
            <w:pPr>
              <w:spacing w:after="0"/>
              <w:rPr>
                <w:sz w:val="18"/>
                <w:szCs w:val="18"/>
                <w:color w:val="auto"/>
              </w:rPr>
            </w:pPr>
          </w:p>
        </w:tc>
        <w:tc>
          <w:tcPr>
            <w:tcW w:w="17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30,</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300" w:type="dxa"/>
            <w:vAlign w:val="bottom"/>
          </w:tcPr>
          <w:p>
            <w:pPr>
              <w:spacing w:after="0"/>
              <w:rPr>
                <w:sz w:val="17"/>
                <w:szCs w:val="17"/>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3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20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Personnel expenses (Note 5)</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(5,345,074)</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(5,335,091)</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(16,149,932)</w:t>
            </w: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(13,013,284)</w:t>
            </w: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(1,627,647)</w:t>
            </w:r>
          </w:p>
        </w:tc>
        <w:tc>
          <w:tcPr>
            <w:tcW w:w="2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(2,222,064)</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(5,918,567)</w:t>
            </w:r>
          </w:p>
        </w:tc>
        <w:tc>
          <w:tcPr>
            <w:tcW w:w="32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(5,555,020)</w:t>
            </w:r>
          </w:p>
        </w:tc>
      </w:tr>
      <w:tr>
        <w:trPr>
          <w:trHeight w:val="20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Facilities, communication &amp; office expenses</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(1,276,944)</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(1,632,564)</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(4,017,027)</w:t>
            </w: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(4,779,786)</w:t>
            </w: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Accounting, tax and auditing fees</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(566,839)</w:t>
            </w:r>
          </w:p>
        </w:tc>
        <w:tc>
          <w:tcPr>
            <w:tcW w:w="2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(868,389)</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(1,928,068)</w:t>
            </w:r>
          </w:p>
        </w:tc>
        <w:tc>
          <w:tcPr>
            <w:tcW w:w="32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(2,973,074)</w:t>
            </w:r>
          </w:p>
        </w:tc>
      </w:tr>
      <w:tr>
        <w:trPr>
          <w:trHeight w:val="20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Travel expenses</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(252,162)</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(656,615)</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(851,363)</w:t>
            </w: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(1,679,755)</w:t>
            </w: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Consulting fees</w:t>
            </w:r>
          </w:p>
        </w:tc>
        <w:tc>
          <w:tcPr>
            <w:tcW w:w="176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(13,999)</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(76,065)</w:t>
            </w:r>
          </w:p>
        </w:tc>
        <w:tc>
          <w:tcPr>
            <w:tcW w:w="32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(873,475)</w:t>
            </w:r>
          </w:p>
        </w:tc>
      </w:tr>
      <w:tr>
        <w:trPr>
          <w:trHeight w:val="20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(780,925)</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(1,390,901)</w:t>
            </w: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(2,945,676)</w:t>
            </w: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(4,358,139)</w:t>
            </w:r>
          </w:p>
        </w:tc>
      </w:tr>
      <w:tr>
        <w:trPr>
          <w:trHeight w:val="20"/>
        </w:trPr>
        <w:tc>
          <w:tcPr>
            <w:tcW w:w="530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3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(9,849,591)</w:t>
            </w:r>
          </w:p>
        </w:tc>
        <w:tc>
          <w:tcPr>
            <w:tcW w:w="2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(12,119,623)</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(31,886,698)</w:t>
            </w:r>
          </w:p>
        </w:tc>
        <w:tc>
          <w:tcPr>
            <w:tcW w:w="32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(33,232,533)</w:t>
            </w:r>
          </w:p>
        </w:tc>
      </w:tr>
      <w:tr>
        <w:trPr>
          <w:trHeight w:val="20"/>
        </w:trPr>
        <w:tc>
          <w:tcPr>
            <w:tcW w:w="5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-162560</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-162560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-162560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Since 2022, the Group entered into a number of short-term rental arrangements, the expenses are included in "Other expenses".</w:t>
      </w:r>
    </w:p>
    <w:p>
      <w:pPr>
        <w:spacing w:after="0" w:line="113"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Depreciation expense for the nine months ended September 30, 2025 and 2024 was €0.3 million and €0.1 million, which related to property, plant and equipment and leases and is included in the 'Other expenses' line.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Personnel expenses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00" w:type="dxa"/>
            <w:vAlign w:val="bottom"/>
          </w:tcPr>
          <w:p>
            <w:pPr>
              <w:spacing w:after="0"/>
              <w:rPr>
                <w:sz w:val="18"/>
                <w:szCs w:val="18"/>
                <w:color w:val="auto"/>
              </w:rPr>
            </w:pPr>
          </w:p>
        </w:tc>
        <w:tc>
          <w:tcPr>
            <w:tcW w:w="350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33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02"/>
        </w:trPr>
        <w:tc>
          <w:tcPr>
            <w:tcW w:w="4400" w:type="dxa"/>
            <w:vAlign w:val="bottom"/>
          </w:tcPr>
          <w:p>
            <w:pPr>
              <w:spacing w:after="0"/>
              <w:rPr>
                <w:sz w:val="17"/>
                <w:szCs w:val="17"/>
                <w:color w:val="auto"/>
              </w:rPr>
            </w:pPr>
          </w:p>
        </w:tc>
        <w:tc>
          <w:tcPr>
            <w:tcW w:w="210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44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Wages and salaries</w:t>
            </w:r>
          </w:p>
        </w:tc>
        <w:tc>
          <w:tcPr>
            <w:tcW w:w="2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(8,061,028)</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(6,560,758)</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(24,016,378)</w:t>
            </w: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(17,584,283)</w:t>
            </w: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2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(4,887,538)</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(5,081,691)</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(14,512,568)</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(11,369,994)</w:t>
            </w:r>
          </w:p>
        </w:tc>
      </w:tr>
      <w:tr>
        <w:trPr>
          <w:trHeight w:val="20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social security charges</w:t>
            </w:r>
          </w:p>
        </w:tc>
        <w:tc>
          <w:tcPr>
            <w:tcW w:w="2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(801,356)</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(658,871)</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(2,428,092)</w:t>
            </w: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(1,904,297)</w:t>
            </w: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Pension charges</w:t>
            </w:r>
          </w:p>
        </w:tc>
        <w:tc>
          <w:tcPr>
            <w:tcW w:w="2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(438,180)</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(391,057)</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(1,572,337)</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(1,142,972)</w:t>
            </w:r>
          </w:p>
        </w:tc>
      </w:tr>
      <w:tr>
        <w:trPr>
          <w:trHeight w:val="20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employee related costs</w:t>
            </w:r>
          </w:p>
        </w:tc>
        <w:tc>
          <w:tcPr>
            <w:tcW w:w="2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(176,067)</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(416,750)</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400" w:type="dxa"/>
            <w:vAlign w:val="bottom"/>
            <w:shd w:val="clear" w:color="auto" w:fill="CFF0FC"/>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400" w:type="dxa"/>
            <w:vAlign w:val="bottom"/>
          </w:tcPr>
          <w:p>
            <w:pPr>
              <w:spacing w:after="0"/>
              <w:rPr>
                <w:sz w:val="17"/>
                <w:szCs w:val="17"/>
                <w:color w:val="auto"/>
              </w:rPr>
            </w:pPr>
          </w:p>
        </w:tc>
        <w:tc>
          <w:tcPr>
            <w:tcW w:w="2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(14,364,169)</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(12,692,377)</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(42,946,125)</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(32,001,546)</w:t>
            </w:r>
          </w:p>
        </w:tc>
      </w:tr>
      <w:tr>
        <w:trPr>
          <w:trHeight w:val="20"/>
        </w:trPr>
        <w:tc>
          <w:tcPr>
            <w:tcW w:w="440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-162560</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-162560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-162560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The average number of staff (in FTEs) employed by the Group in the nine months ended September 30, 2025 was 118 (2024: 83).</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Finance (expense)/ income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96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w:t>
            </w:r>
          </w:p>
        </w:tc>
        <w:tc>
          <w:tcPr>
            <w:tcW w:w="276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w:t>
            </w:r>
          </w:p>
        </w:tc>
      </w:tr>
      <w:tr>
        <w:trPr>
          <w:trHeight w:val="212"/>
        </w:trPr>
        <w:tc>
          <w:tcPr>
            <w:tcW w:w="55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30,</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52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5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exchange differences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244,644</w:t>
            </w:r>
          </w:p>
        </w:tc>
        <w:tc>
          <w:tcPr>
            <w:tcW w:w="120" w:type="dxa"/>
            <w:vAlign w:val="bottom"/>
            <w:shd w:val="clear" w:color="auto" w:fill="CFF0FC"/>
          </w:tcPr>
          <w:p>
            <w:pPr>
              <w:spacing w:after="0"/>
              <w:rPr>
                <w:sz w:val="17"/>
                <w:szCs w:val="17"/>
                <w:color w:val="auto"/>
              </w:rPr>
            </w:pPr>
          </w:p>
        </w:tc>
        <w:tc>
          <w:tcPr>
            <w:tcW w:w="13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(5,545,458)</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(10,645,113)</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(2,406,488)</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income over bank balances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2,151,385</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1,976,199</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4,348,577</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4,154,755</w:t>
            </w: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finance expenses</w:t>
            </w: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(50,034)</w:t>
            </w:r>
          </w:p>
        </w:tc>
        <w:tc>
          <w:tcPr>
            <w:tcW w:w="13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(9,135)</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(114,121)</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(26,890)</w:t>
            </w:r>
          </w:p>
        </w:tc>
      </w:tr>
      <w:tr>
        <w:trPr>
          <w:trHeight w:val="20"/>
        </w:trPr>
        <w:tc>
          <w:tcPr>
            <w:tcW w:w="55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5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2,345,995</w:t>
            </w:r>
          </w:p>
        </w:tc>
        <w:tc>
          <w:tcPr>
            <w:tcW w:w="12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(3,578,394)</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(6,410,657)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1,721,377</w:t>
            </w:r>
          </w:p>
        </w:tc>
        <w:tc>
          <w:tcPr>
            <w:tcW w:w="100" w:type="dxa"/>
            <w:vAlign w:val="bottom"/>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-162560</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-162560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-162560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08"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Income taxes are accounted for in line with IAS 34. The interim period is considered part of a larger financial year, where the income tax is recognized in each interim period based on the best estimate of the weighted average annual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9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income tax rate expected for the full financial year. The estimated tax expenses are determined based on a full-year basis (P&amp;L) and subsequently allocated using the expected full year effective tax rate. The discrete items are recognized in full in the interim period in which they emerge. In the total interim tax charge, no distinction is made between current and deferred tax expenses/ income.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27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8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5800" w:type="dxa"/>
            <w:vAlign w:val="bottom"/>
          </w:tcPr>
          <w:p>
            <w:pPr>
              <w:spacing w:after="0"/>
              <w:rPr>
                <w:sz w:val="18"/>
                <w:szCs w:val="18"/>
                <w:color w:val="auto"/>
              </w:rPr>
            </w:pPr>
          </w:p>
        </w:tc>
        <w:tc>
          <w:tcPr>
            <w:tcW w:w="1780" w:type="dxa"/>
            <w:vAlign w:val="bottom"/>
            <w:tcBorders>
              <w:bottom w:val="single" w:sz="8" w:color="auto"/>
            </w:tcBorders>
            <w:gridSpan w:val="3"/>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Borders>
              <w:bottom w:val="single" w:sz="8" w:color="auto"/>
            </w:tcBorders>
            <w:gridSpan w:val="3"/>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00" w:type="dxa"/>
            <w:vAlign w:val="bottom"/>
          </w:tcPr>
          <w:p>
            <w:pPr>
              <w:spacing w:after="0"/>
              <w:rPr>
                <w:sz w:val="17"/>
                <w:szCs w:val="17"/>
                <w:color w:val="auto"/>
              </w:rPr>
            </w:pPr>
          </w:p>
        </w:tc>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Pr>
          <w:p>
            <w:pPr>
              <w:spacing w:after="0"/>
              <w:rPr>
                <w:sz w:val="17"/>
                <w:szCs w:val="17"/>
                <w:color w:val="auto"/>
              </w:rPr>
            </w:pP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r>
      <w:tr>
        <w:trPr>
          <w:trHeight w:val="196"/>
        </w:trPr>
        <w:tc>
          <w:tcPr>
            <w:tcW w:w="58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 (expense)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11,006</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(230,091)</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(363,915)</w:t>
            </w:r>
          </w:p>
        </w:tc>
        <w:tc>
          <w:tcPr>
            <w:tcW w:w="4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(585,831)</w:t>
            </w:r>
          </w:p>
        </w:tc>
      </w:tr>
      <w:tr>
        <w:trPr>
          <w:trHeight w:val="203"/>
        </w:trPr>
        <w:tc>
          <w:tcPr>
            <w:tcW w:w="5800" w:type="dxa"/>
            <w:vAlign w:val="bottom"/>
          </w:tcPr>
          <w:p>
            <w:pPr>
              <w:spacing w:after="0"/>
              <w:rPr>
                <w:sz w:val="20"/>
                <w:szCs w:val="20"/>
                <w:color w:val="auto"/>
              </w:rPr>
            </w:pPr>
            <w:r>
              <w:rPr>
                <w:rFonts w:ascii="Arial" w:cs="Arial" w:eastAsia="Arial" w:hAnsi="Arial"/>
                <w:sz w:val="16"/>
                <w:szCs w:val="16"/>
                <w:color w:val="auto"/>
              </w:rPr>
              <w:t>Deferred tax charge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170,463</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39,935</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181,469</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(230,091)</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(323,980)</w:t>
            </w:r>
          </w:p>
        </w:tc>
        <w:tc>
          <w:tcPr>
            <w:tcW w:w="4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(585,831)</w:t>
            </w: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tax expense over the three and nine months ended September 30, 2025 and 2024 relates to the Company's U.S. and Dutch subsidiaries as the result of a cost-plus agreement between the Company's principal entity and the U.S. and the Dutch subsidiaries, resulting in an estimated taxable profit in the U.S. and the Netherlands.</w:t>
      </w:r>
    </w:p>
    <w:p>
      <w:pPr>
        <w:spacing w:after="0" w:line="6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Reconciliation of income tax benefit at statutory tax rate and the income tax expense as reported in the unaudited condensed consolidated statement of profit or loss and other comprehensive income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304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w:t>
            </w:r>
          </w:p>
        </w:tc>
        <w:tc>
          <w:tcPr>
            <w:tcW w:w="300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520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200" w:type="dxa"/>
            <w:vAlign w:val="bottom"/>
          </w:tcPr>
          <w:p>
            <w:pPr>
              <w:spacing w:after="0"/>
              <w:rPr>
                <w:sz w:val="17"/>
                <w:szCs w:val="17"/>
                <w:color w:val="auto"/>
              </w:rPr>
            </w:pPr>
          </w:p>
        </w:tc>
        <w:tc>
          <w:tcPr>
            <w:tcW w:w="15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2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income tax</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(37,318,504)</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(41,480,667)</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(128,634,564)</w:t>
            </w:r>
          </w:p>
        </w:tc>
        <w:tc>
          <w:tcPr>
            <w:tcW w:w="4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(98,874,756)</w:t>
            </w: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Income tax at statutory income tax rate in the Netherlands (25.8%)</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9,628,175</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10,702,012</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33,187,718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25,509,687</w:t>
            </w:r>
          </w:p>
        </w:tc>
        <w:tc>
          <w:tcPr>
            <w:tcW w:w="100" w:type="dxa"/>
            <w:vAlign w:val="bottom"/>
          </w:tcPr>
          <w:p>
            <w:pPr>
              <w:spacing w:after="0"/>
              <w:rPr>
                <w:sz w:val="17"/>
                <w:szCs w:val="17"/>
                <w:color w:val="auto"/>
              </w:rPr>
            </w:pPr>
          </w:p>
        </w:tc>
      </w:tr>
      <w:tr>
        <w:trPr>
          <w:trHeight w:val="20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tax rates in other countries</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(5,527,205)</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(5,822,028)</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(18,449,216)</w:t>
            </w:r>
          </w:p>
        </w:tc>
        <w:tc>
          <w:tcPr>
            <w:tcW w:w="4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(14,234,908)</w:t>
            </w: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 recognition effects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(4,016,655)</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(4,810,058)</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(14,553,604)</w:t>
            </w:r>
          </w:p>
        </w:tc>
        <w:tc>
          <w:tcPr>
            <w:tcW w:w="4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(10,817,261)</w:t>
            </w:r>
          </w:p>
        </w:tc>
      </w:tr>
      <w:tr>
        <w:trPr>
          <w:trHeight w:val="20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Non-deductible expenses</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(180,840)</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(300,017)</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(696,700)</w:t>
            </w:r>
          </w:p>
        </w:tc>
        <w:tc>
          <w:tcPr>
            <w:tcW w:w="4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(873,626)</w:t>
            </w:r>
          </w:p>
        </w:tc>
      </w:tr>
      <w:tr>
        <w:trPr>
          <w:trHeight w:val="202"/>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Transfer Pricing adjustment</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(3,795)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(47,782)</w:t>
            </w:r>
          </w:p>
        </w:tc>
        <w:tc>
          <w:tcPr>
            <w:tcW w:w="4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Prior period adjustments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281,789</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235,604</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(169,723)</w:t>
            </w:r>
          </w:p>
        </w:tc>
      </w:tr>
      <w:tr>
        <w:trPr>
          <w:trHeight w:val="20"/>
        </w:trPr>
        <w:tc>
          <w:tcPr>
            <w:tcW w:w="520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181,469</w:t>
            </w:r>
          </w:p>
        </w:tc>
        <w:tc>
          <w:tcPr>
            <w:tcW w:w="1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(230,091)</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(323,980)</w:t>
            </w:r>
          </w:p>
        </w:tc>
        <w:tc>
          <w:tcPr>
            <w:tcW w:w="4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(585,831)</w:t>
            </w:r>
          </w:p>
        </w:tc>
      </w:tr>
      <w:tr>
        <w:trPr>
          <w:trHeight w:val="20"/>
        </w:trPr>
        <w:tc>
          <w:tcPr>
            <w:tcW w:w="5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-162560</wp:posOffset>
            </wp:positionV>
            <wp:extent cx="768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-162560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-162560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Income tax expense is recognized based on management’s estimate of the weighted average effective annual income tax rate expected for the full financial year, bearing in mind the impact of non-discrete and discrete items. Non discrete items in the income tax expense are recognized based on management’s estimate of the weighted average effective annual income tax rate expected for the full financial year. Discrete items in the income tax expense are recognized at the applicable statutory tax rate.</w:t>
      </w:r>
    </w:p>
    <w:p>
      <w:pPr>
        <w:spacing w:after="0" w:line="70"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(estimated) average annual tax rate used for the nine months ended September 30, 2025 was 0.25%, compared to 0.59% for the nine months ended September 30, 2024.</w:t>
      </w:r>
    </w:p>
    <w:p>
      <w:pPr>
        <w:spacing w:after="0" w:line="48" w:lineRule="exact"/>
        <w:rPr>
          <w:sz w:val="20"/>
          <w:szCs w:val="20"/>
          <w:color w:val="auto"/>
        </w:rPr>
      </w:pPr>
    </w:p>
    <w:p>
      <w:pPr>
        <w:jc w:val="both"/>
        <w:ind w:right="780"/>
        <w:spacing w:after="0" w:line="266" w:lineRule="auto"/>
        <w:rPr>
          <w:sz w:val="20"/>
          <w:szCs w:val="20"/>
          <w:color w:val="auto"/>
        </w:rPr>
      </w:pPr>
      <w:r>
        <w:rPr>
          <w:rFonts w:ascii="Arial" w:cs="Arial" w:eastAsia="Arial" w:hAnsi="Arial"/>
          <w:sz w:val="16"/>
          <w:szCs w:val="16"/>
          <w:color w:val="auto"/>
        </w:rPr>
        <w:t>The current period losses for which no deferred tax asset has been recognized mainly consists of the unrecognized tax effect of losses incurred in Switzerland. The differences in the overseas tax rates are due to the lower tax rate in Switzerland compared to the statutory income tax rate in the Netherlands.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Pharvaris N.V. is the head of the fiscal unity including Pharvaris Netherlands B.V. and Pharvaris Holdings B.V.</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w:t>
      </w:r>
    </w:p>
    <w:p>
      <w:pPr>
        <w:spacing w:after="0" w:line="108"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w:t>
      </w:r>
    </w:p>
    <w:p>
      <w:pPr>
        <w:spacing w:after="0" w:line="4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for the Dutch fiscal unity.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plant and equipment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Net book value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Balance at beginning of period</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Depreciation expenses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Balance at end of period</w:t>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Cumulative depreciation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January 1,</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Depreciation</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Balance at end of period</w:t>
      </w: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Cumulative Costs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Balance at beginning of period</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Balance at end of period</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46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8"/>
        </w:trPr>
        <w:tc>
          <w:tcPr>
            <w:tcW w:w="224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180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6"/>
                <w:szCs w:val="16"/>
                <w:color w:val="auto"/>
              </w:rPr>
            </w:pPr>
          </w:p>
        </w:tc>
      </w:tr>
      <w:tr>
        <w:trPr>
          <w:trHeight w:val="203"/>
        </w:trPr>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667,000</w:t>
            </w: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223,678</w:t>
            </w:r>
          </w:p>
        </w:tc>
        <w:tc>
          <w:tcPr>
            <w:tcW w:w="40" w:type="dxa"/>
            <w:vAlign w:val="bottom"/>
          </w:tcPr>
          <w:p>
            <w:pPr>
              <w:spacing w:after="0"/>
              <w:rPr>
                <w:sz w:val="17"/>
                <w:szCs w:val="17"/>
                <w:color w:val="auto"/>
              </w:rPr>
            </w:pPr>
          </w:p>
        </w:tc>
      </w:tr>
      <w:tr>
        <w:trPr>
          <w:trHeight w:val="203"/>
        </w:trPr>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163,081</w:t>
            </w: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538,085</w:t>
            </w:r>
          </w:p>
        </w:tc>
        <w:tc>
          <w:tcPr>
            <w:tcW w:w="40" w:type="dxa"/>
            <w:vAlign w:val="bottom"/>
          </w:tcPr>
          <w:p>
            <w:pPr>
              <w:spacing w:after="0"/>
              <w:rPr>
                <w:sz w:val="17"/>
                <w:szCs w:val="17"/>
                <w:color w:val="auto"/>
              </w:rPr>
            </w:pPr>
          </w:p>
        </w:tc>
      </w:tr>
      <w:tr>
        <w:trPr>
          <w:trHeight w:val="213"/>
        </w:trPr>
        <w:tc>
          <w:tcPr>
            <w:tcW w:w="2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(139,915)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(94,763)</w:t>
            </w:r>
          </w:p>
        </w:tc>
      </w:tr>
      <w:tr>
        <w:trPr>
          <w:trHeight w:val="199"/>
        </w:trPr>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690,166</w:t>
            </w:r>
          </w:p>
        </w:tc>
        <w:tc>
          <w:tcPr>
            <w:tcW w:w="22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667,000</w:t>
            </w:r>
          </w:p>
        </w:tc>
        <w:tc>
          <w:tcPr>
            <w:tcW w:w="40" w:type="dxa"/>
            <w:vAlign w:val="bottom"/>
          </w:tcPr>
          <w:p>
            <w:pPr>
              <w:spacing w:after="0"/>
              <w:rPr>
                <w:sz w:val="17"/>
                <w:szCs w:val="17"/>
                <w:color w:val="auto"/>
              </w:rPr>
            </w:pP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-548005</wp:posOffset>
            </wp:positionV>
            <wp:extent cx="6986270"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86270" cy="12890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-290830</wp:posOffset>
            </wp:positionV>
            <wp:extent cx="698627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8"/>
        </w:trPr>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6"/>
                <w:szCs w:val="16"/>
                <w:color w:val="auto"/>
              </w:rPr>
            </w:pPr>
          </w:p>
        </w:tc>
        <w:tc>
          <w:tcPr>
            <w:tcW w:w="180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r>
      <w:tr>
        <w:trPr>
          <w:trHeight w:val="203"/>
        </w:trPr>
        <w:tc>
          <w:tcPr>
            <w:tcW w:w="2460" w:type="dxa"/>
            <w:vAlign w:val="bottom"/>
            <w:gridSpan w:val="2"/>
          </w:tcPr>
          <w:p>
            <w:pPr>
              <w:ind w:left="1640"/>
              <w:spacing w:after="0"/>
              <w:rPr>
                <w:sz w:val="20"/>
                <w:szCs w:val="20"/>
                <w:color w:val="auto"/>
              </w:rPr>
            </w:pPr>
            <w:r>
              <w:rPr>
                <w:rFonts w:ascii="Times New Roman" w:cs="Times New Roman" w:eastAsia="Times New Roman" w:hAnsi="Times New Roman"/>
                <w:sz w:val="16"/>
                <w:szCs w:val="16"/>
                <w:color w:val="auto"/>
              </w:rPr>
              <w:t>(220,136)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(125,373)</w:t>
            </w:r>
          </w:p>
        </w:tc>
      </w:tr>
      <w:tr>
        <w:trPr>
          <w:trHeight w:val="210"/>
        </w:trPr>
        <w:tc>
          <w:tcPr>
            <w:tcW w:w="2460" w:type="dxa"/>
            <w:vAlign w:val="bottom"/>
            <w:gridSpan w:val="2"/>
          </w:tcPr>
          <w:p>
            <w:pPr>
              <w:ind w:left="1640"/>
              <w:spacing w:after="0"/>
              <w:rPr>
                <w:sz w:val="20"/>
                <w:szCs w:val="20"/>
                <w:color w:val="auto"/>
              </w:rPr>
            </w:pPr>
            <w:r>
              <w:rPr>
                <w:rFonts w:ascii="Times New Roman" w:cs="Times New Roman" w:eastAsia="Times New Roman" w:hAnsi="Times New Roman"/>
                <w:sz w:val="16"/>
                <w:szCs w:val="16"/>
                <w:color w:val="auto"/>
              </w:rPr>
              <w:t>(139,915)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(94,763)</w:t>
            </w:r>
          </w:p>
        </w:tc>
      </w:tr>
      <w:tr>
        <w:trPr>
          <w:trHeight w:val="202"/>
        </w:trPr>
        <w:tc>
          <w:tcPr>
            <w:tcW w:w="2240" w:type="dxa"/>
            <w:vAlign w:val="bottom"/>
            <w:tcBorders>
              <w:top w:val="single" w:sz="8" w:color="auto"/>
              <w:bottom w:val="single" w:sz="8" w:color="auto"/>
            </w:tcBorders>
          </w:tcPr>
          <w:p>
            <w:pPr>
              <w:ind w:left="1640"/>
              <w:spacing w:after="0"/>
              <w:rPr>
                <w:sz w:val="20"/>
                <w:szCs w:val="20"/>
                <w:color w:val="auto"/>
              </w:rPr>
            </w:pPr>
            <w:r>
              <w:rPr>
                <w:rFonts w:ascii="Times New Roman" w:cs="Times New Roman" w:eastAsia="Times New Roman" w:hAnsi="Times New Roman"/>
                <w:sz w:val="16"/>
                <w:szCs w:val="16"/>
                <w:color w:val="auto"/>
                <w:w w:val="92"/>
              </w:rPr>
              <w:t>(360,051)</w:t>
            </w:r>
          </w:p>
        </w:tc>
        <w:tc>
          <w:tcPr>
            <w:tcW w:w="22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(220,136)</w:t>
            </w:r>
          </w:p>
        </w:tc>
        <w:tc>
          <w:tcPr>
            <w:tcW w:w="40" w:type="dxa"/>
            <w:vAlign w:val="bottom"/>
          </w:tcPr>
          <w:p>
            <w:pPr>
              <w:spacing w:after="0"/>
              <w:rPr>
                <w:sz w:val="17"/>
                <w:szCs w:val="17"/>
                <w:color w:val="auto"/>
              </w:rPr>
            </w:pP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-548005</wp:posOffset>
            </wp:positionV>
            <wp:extent cx="6986270"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86270" cy="12890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-290830</wp:posOffset>
            </wp:positionV>
            <wp:extent cx="698627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Pr>
          <w:p>
            <w:pPr>
              <w:spacing w:after="0"/>
              <w:rPr>
                <w:sz w:val="18"/>
                <w:szCs w:val="18"/>
                <w:color w:val="auto"/>
              </w:rPr>
            </w:pPr>
          </w:p>
        </w:tc>
        <w:tc>
          <w:tcPr>
            <w:tcW w:w="1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7"/>
        </w:trPr>
        <w:tc>
          <w:tcPr>
            <w:tcW w:w="224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887,136</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349,051</w:t>
            </w:r>
          </w:p>
        </w:tc>
      </w:tr>
      <w:tr>
        <w:trPr>
          <w:trHeight w:val="210"/>
        </w:trPr>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163,081</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538,085</w:t>
            </w:r>
          </w:p>
        </w:tc>
      </w:tr>
      <w:tr>
        <w:trPr>
          <w:trHeight w:val="202"/>
        </w:trPr>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1,050,217</w:t>
            </w:r>
          </w:p>
        </w:tc>
        <w:tc>
          <w:tcPr>
            <w:tcW w:w="220" w:type="dxa"/>
            <w:vAlign w:val="bottom"/>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887,136</w:t>
            </w: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-565150</wp:posOffset>
            </wp:positionV>
            <wp:extent cx="698627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-290830</wp:posOffset>
            </wp:positionV>
            <wp:extent cx="698627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40" w:space="720"/>
            <w:col w:w="4480"/>
          </w:cols>
          <w:pgMar w:left="320" w:top="1440" w:right="339" w:bottom="1440" w:gutter="0" w:footer="0" w:header="0"/>
        </w:sectPr>
      </w:pPr>
    </w:p>
    <w:p>
      <w:pPr>
        <w:spacing w:after="0" w:line="137"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auto"/>
        </w:rPr>
        <w:t>During the nine months ended September 30, 2025, the Group acquired assets with a cost of €0.3 million (December 31, 2024: €0.5 million). The acquisitions were mainly related to equipment, tools and installations.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Group’s right-of-use assets: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2320" w:type="dxa"/>
            <w:vAlign w:val="bottom"/>
          </w:tcPr>
          <w:p>
            <w:pPr>
              <w:ind w:left="10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840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2"/>
        </w:trPr>
        <w:tc>
          <w:tcPr>
            <w:tcW w:w="6080" w:type="dxa"/>
            <w:vAlign w:val="bottom"/>
          </w:tcPr>
          <w:p>
            <w:pPr>
              <w:spacing w:after="0"/>
              <w:rPr>
                <w:sz w:val="17"/>
                <w:szCs w:val="17"/>
                <w:color w:val="auto"/>
              </w:rPr>
            </w:pPr>
          </w:p>
        </w:tc>
        <w:tc>
          <w:tcPr>
            <w:tcW w:w="2320" w:type="dxa"/>
            <w:vAlign w:val="bottom"/>
            <w:tcBorders>
              <w:top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203"/>
        </w:trPr>
        <w:tc>
          <w:tcPr>
            <w:tcW w:w="8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813,842</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231,893</w:t>
            </w:r>
          </w:p>
        </w:tc>
      </w:tr>
      <w:tr>
        <w:trPr>
          <w:trHeight w:val="203"/>
        </w:trPr>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756,748</w:t>
            </w:r>
          </w:p>
        </w:tc>
      </w:tr>
      <w:tr>
        <w:trPr>
          <w:trHeight w:val="203"/>
        </w:trPr>
        <w:tc>
          <w:tcPr>
            <w:tcW w:w="8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charges</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(173,571)</w:t>
            </w: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(174,799)</w:t>
            </w: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Impact of transaction of foreign currency</w:t>
            </w:r>
          </w:p>
        </w:tc>
        <w:tc>
          <w:tcPr>
            <w:tcW w:w="23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(79,017)</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0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23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561,254</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813,842</w:t>
            </w:r>
          </w:p>
        </w:tc>
      </w:tr>
      <w:tr>
        <w:trPr>
          <w:trHeight w:val="20"/>
        </w:trPr>
        <w:tc>
          <w:tcPr>
            <w:tcW w:w="608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Group’s lease liabilities at September 30, 2025:</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3380" w:type="dxa"/>
            <w:vAlign w:val="bottom"/>
            <w:gridSpan w:val="2"/>
          </w:tcPr>
          <w:p>
            <w:pPr>
              <w:ind w:left="10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78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080" w:type="dxa"/>
            <w:vAlign w:val="bottom"/>
          </w:tcPr>
          <w:p>
            <w:pPr>
              <w:spacing w:after="0"/>
              <w:rPr>
                <w:sz w:val="18"/>
                <w:szCs w:val="18"/>
                <w:color w:val="auto"/>
              </w:rPr>
            </w:pPr>
          </w:p>
        </w:tc>
        <w:tc>
          <w:tcPr>
            <w:tcW w:w="316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6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02"/>
        </w:trPr>
        <w:tc>
          <w:tcPr>
            <w:tcW w:w="6080" w:type="dxa"/>
            <w:vAlign w:val="bottom"/>
          </w:tcPr>
          <w:p>
            <w:pPr>
              <w:spacing w:after="0"/>
              <w:rPr>
                <w:sz w:val="17"/>
                <w:szCs w:val="17"/>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Office leases</w:t>
            </w:r>
          </w:p>
        </w:tc>
        <w:tc>
          <w:tcPr>
            <w:tcW w:w="3380" w:type="dxa"/>
            <w:vAlign w:val="bottom"/>
            <w:gridSpan w:val="2"/>
            <w:shd w:val="clear" w:color="auto" w:fill="CFF0FC"/>
          </w:tcPr>
          <w:p>
            <w:pPr>
              <w:ind w:left="2580"/>
              <w:spacing w:after="0"/>
              <w:rPr>
                <w:sz w:val="20"/>
                <w:szCs w:val="20"/>
                <w:color w:val="auto"/>
              </w:rPr>
            </w:pPr>
            <w:r>
              <w:rPr>
                <w:rFonts w:ascii="Times New Roman" w:cs="Times New Roman" w:eastAsia="Times New Roman" w:hAnsi="Times New Roman"/>
                <w:sz w:val="16"/>
                <w:szCs w:val="16"/>
                <w:color w:val="auto"/>
              </w:rPr>
              <w:t>(578,657)</w:t>
            </w:r>
          </w:p>
        </w:tc>
        <w:tc>
          <w:tcPr>
            <w:tcW w:w="178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rPr>
              <w:t>(861,470)</w:t>
            </w:r>
          </w:p>
        </w:tc>
      </w:tr>
      <w:tr>
        <w:trPr>
          <w:trHeight w:val="203"/>
        </w:trPr>
        <w:tc>
          <w:tcPr>
            <w:tcW w:w="6080" w:type="dxa"/>
            <w:vAlign w:val="bottom"/>
          </w:tcPr>
          <w:p>
            <w:pPr>
              <w:spacing w:after="0"/>
              <w:rPr>
                <w:sz w:val="20"/>
                <w:szCs w:val="20"/>
                <w:color w:val="auto"/>
              </w:rPr>
            </w:pPr>
            <w:r>
              <w:rPr>
                <w:rFonts w:ascii="Arial" w:cs="Arial" w:eastAsia="Arial" w:hAnsi="Arial"/>
                <w:sz w:val="16"/>
                <w:szCs w:val="16"/>
                <w:color w:val="auto"/>
              </w:rPr>
              <w:t>Total lease liability</w:t>
            </w:r>
          </w:p>
        </w:tc>
        <w:tc>
          <w:tcPr>
            <w:tcW w:w="3380" w:type="dxa"/>
            <w:vAlign w:val="bottom"/>
            <w:gridSpan w:val="2"/>
          </w:tcPr>
          <w:p>
            <w:pPr>
              <w:ind w:left="2580"/>
              <w:spacing w:after="0"/>
              <w:rPr>
                <w:sz w:val="20"/>
                <w:szCs w:val="20"/>
                <w:color w:val="auto"/>
              </w:rPr>
            </w:pPr>
            <w:r>
              <w:rPr>
                <w:rFonts w:ascii="Times New Roman" w:cs="Times New Roman" w:eastAsia="Times New Roman" w:hAnsi="Times New Roman"/>
                <w:sz w:val="16"/>
                <w:szCs w:val="16"/>
                <w:color w:val="auto"/>
              </w:rPr>
              <w:t>(578,657)</w:t>
            </w:r>
          </w:p>
        </w:tc>
        <w:tc>
          <w:tcPr>
            <w:tcW w:w="178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(861,470)</w:t>
            </w:r>
          </w:p>
        </w:tc>
      </w:tr>
      <w:tr>
        <w:trPr>
          <w:trHeight w:val="203"/>
        </w:trPr>
        <w:tc>
          <w:tcPr>
            <w:tcW w:w="6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portion</w:t>
            </w:r>
          </w:p>
        </w:tc>
        <w:tc>
          <w:tcPr>
            <w:tcW w:w="3380" w:type="dxa"/>
            <w:vAlign w:val="bottom"/>
            <w:gridSpan w:val="2"/>
            <w:shd w:val="clear" w:color="auto" w:fill="CFF0FC"/>
          </w:tcPr>
          <w:p>
            <w:pPr>
              <w:ind w:left="2580"/>
              <w:spacing w:after="0"/>
              <w:rPr>
                <w:sz w:val="20"/>
                <w:szCs w:val="20"/>
                <w:color w:val="auto"/>
              </w:rPr>
            </w:pPr>
            <w:r>
              <w:rPr>
                <w:rFonts w:ascii="Times New Roman" w:cs="Times New Roman" w:eastAsia="Times New Roman" w:hAnsi="Times New Roman"/>
                <w:sz w:val="16"/>
                <w:szCs w:val="16"/>
                <w:color w:val="auto"/>
              </w:rPr>
              <w:t>(137,617)</w:t>
            </w:r>
          </w:p>
        </w:tc>
        <w:tc>
          <w:tcPr>
            <w:tcW w:w="178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6"/>
                <w:szCs w:val="16"/>
                <w:color w:val="auto"/>
              </w:rPr>
              <w:t>(222,427)</w:t>
            </w:r>
          </w:p>
        </w:tc>
      </w:tr>
      <w:tr>
        <w:trPr>
          <w:trHeight w:val="210"/>
        </w:trPr>
        <w:tc>
          <w:tcPr>
            <w:tcW w:w="6080" w:type="dxa"/>
            <w:vAlign w:val="bottom"/>
          </w:tcPr>
          <w:p>
            <w:pPr>
              <w:spacing w:after="0"/>
              <w:rPr>
                <w:sz w:val="20"/>
                <w:szCs w:val="20"/>
                <w:color w:val="auto"/>
              </w:rPr>
            </w:pPr>
            <w:r>
              <w:rPr>
                <w:rFonts w:ascii="Arial" w:cs="Arial" w:eastAsia="Arial" w:hAnsi="Arial"/>
                <w:sz w:val="16"/>
                <w:szCs w:val="16"/>
                <w:b w:val="1"/>
                <w:bCs w:val="1"/>
                <w:color w:val="auto"/>
              </w:rPr>
              <w:t>Non-current portion</w:t>
            </w:r>
          </w:p>
        </w:tc>
        <w:tc>
          <w:tcPr>
            <w:tcW w:w="3160" w:type="dxa"/>
            <w:vAlign w:val="bottom"/>
            <w:tcBorders>
              <w:top w:val="single" w:sz="8" w:color="auto"/>
              <w:bottom w:val="single" w:sz="8" w:color="auto"/>
            </w:tcBorders>
          </w:tcPr>
          <w:p>
            <w:pPr>
              <w:ind w:left="2580"/>
              <w:spacing w:after="0"/>
              <w:rPr>
                <w:sz w:val="20"/>
                <w:szCs w:val="20"/>
                <w:color w:val="auto"/>
              </w:rPr>
            </w:pPr>
            <w:r>
              <w:rPr>
                <w:rFonts w:ascii="Times New Roman" w:cs="Times New Roman" w:eastAsia="Times New Roman" w:hAnsi="Times New Roman"/>
                <w:sz w:val="16"/>
                <w:szCs w:val="16"/>
                <w:color w:val="auto"/>
                <w:w w:val="89"/>
              </w:rPr>
              <w:t>(441,040)</w:t>
            </w:r>
          </w:p>
        </w:tc>
        <w:tc>
          <w:tcPr>
            <w:tcW w:w="220" w:type="dxa"/>
            <w:vAlign w:val="bottom"/>
          </w:tcPr>
          <w:p>
            <w:pPr>
              <w:spacing w:after="0"/>
              <w:rPr>
                <w:sz w:val="18"/>
                <w:szCs w:val="18"/>
                <w:color w:val="auto"/>
              </w:rPr>
            </w:pPr>
          </w:p>
        </w:tc>
        <w:tc>
          <w:tcPr>
            <w:tcW w:w="168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w w:val="89"/>
              </w:rPr>
              <w:t>(639,043)</w:t>
            </w:r>
          </w:p>
        </w:tc>
        <w:tc>
          <w:tcPr>
            <w:tcW w:w="10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Office leases consist of (i) a lease that was entered into on December 1, 2022 with an expiration date of November 30, 2025 for offices in Leiden, the Netherlands, and (ii) a new lease agreement entered into on October 16, 2024 with an expiration date of December 31, 2029, for office space in Lexington, Massachusetts, United States of America (the "U.S.").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On June 30, 2024 a lease related to office space in Lexington, Cranberry One Suite 300, expired.</w:t>
      </w:r>
    </w:p>
    <w:p>
      <w:pPr>
        <w:spacing w:after="0" w:line="26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average incremental borrowing rate applied to the lease liability related to the Leiden lease was 7.77% during the nine months ended September 30, 2025 and the twelve months ended December 31, 2024.</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2" w:name="page33"/>
    <w:bookmarkEnd w:id="32"/>
    <w:p>
      <w:pPr>
        <w:spacing w:after="0" w:line="22"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The average incremental borrowing rate applied to the lease liability related to the U.S. lease was 6.39% for the year ended nine months ended September 30, 2025 and the twelve months ended December 31, 2024.</w:t>
      </w:r>
    </w:p>
    <w:p>
      <w:pPr>
        <w:spacing w:after="0" w:line="19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Depreciation expense was €0.2 million and €0.1 million for the nine months ended September 30, 2025 and 2024, respectively, and is reflected in general and administrative expenses as determined by the underlying activities.</w:t>
      </w:r>
    </w:p>
    <w:p>
      <w:pPr>
        <w:spacing w:after="0" w:line="169"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252525"/>
        </w:rPr>
        <w:t xml:space="preserve">The total expense related to short-term and low-value leases for the </w:t>
      </w:r>
      <w:r>
        <w:rPr>
          <w:rFonts w:ascii="Arial" w:cs="Arial" w:eastAsia="Arial" w:hAnsi="Arial"/>
          <w:sz w:val="16"/>
          <w:szCs w:val="16"/>
          <w:color w:val="000000"/>
        </w:rPr>
        <w:t>nine</w:t>
      </w:r>
      <w:r>
        <w:rPr>
          <w:rFonts w:ascii="Arial" w:cs="Arial" w:eastAsia="Arial" w:hAnsi="Arial"/>
          <w:sz w:val="16"/>
          <w:szCs w:val="16"/>
          <w:color w:val="252525"/>
        </w:rPr>
        <w:t xml:space="preserve"> months ended </w:t>
      </w:r>
      <w:r>
        <w:rPr>
          <w:rFonts w:ascii="Arial" w:cs="Arial" w:eastAsia="Arial" w:hAnsi="Arial"/>
          <w:sz w:val="16"/>
          <w:szCs w:val="16"/>
          <w:color w:val="000000"/>
        </w:rPr>
        <w:t>September 30, 2025</w:t>
      </w:r>
      <w:r>
        <w:rPr>
          <w:rFonts w:ascii="Arial" w:cs="Arial" w:eastAsia="Arial" w:hAnsi="Arial"/>
          <w:sz w:val="16"/>
          <w:szCs w:val="16"/>
          <w:color w:val="252525"/>
        </w:rPr>
        <w:t xml:space="preserve"> and 2024, was €0.1 million and €0.1 </w:t>
      </w:r>
      <w:r>
        <w:rPr>
          <w:rFonts w:ascii="Arial" w:cs="Arial" w:eastAsia="Arial" w:hAnsi="Arial"/>
          <w:sz w:val="16"/>
          <w:szCs w:val="16"/>
          <w:color w:val="000000"/>
        </w:rPr>
        <w:t>million,</w:t>
      </w:r>
      <w:r>
        <w:rPr>
          <w:rFonts w:ascii="Arial" w:cs="Arial" w:eastAsia="Arial" w:hAnsi="Arial"/>
          <w:sz w:val="16"/>
          <w:szCs w:val="16"/>
          <w:color w:val="252525"/>
        </w:rPr>
        <w:t xml:space="preserve"> </w:t>
      </w:r>
      <w:r>
        <w:rPr>
          <w:rFonts w:ascii="Arial" w:cs="Arial" w:eastAsia="Arial" w:hAnsi="Arial"/>
          <w:sz w:val="16"/>
          <w:szCs w:val="16"/>
          <w:color w:val="000000"/>
        </w:rPr>
        <w:t xml:space="preserve">respectively, </w:t>
      </w:r>
      <w:r>
        <w:rPr>
          <w:rFonts w:ascii="Arial" w:cs="Arial" w:eastAsia="Arial" w:hAnsi="Arial"/>
          <w:sz w:val="16"/>
          <w:szCs w:val="16"/>
          <w:color w:val="252525"/>
        </w:rPr>
        <w:t>and is included in facility, communication, and office expenses.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Cash outflows related to leases during the nine months ended September 30, 2025 and 2024 were €0.1 million and €0.1 million,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Receivables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7"/>
                <w:szCs w:val="17"/>
                <w:color w:val="auto"/>
              </w:rPr>
            </w:pPr>
          </w:p>
        </w:tc>
        <w:tc>
          <w:tcPr>
            <w:tcW w:w="17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660" w:type="dxa"/>
            <w:vAlign w:val="bottom"/>
          </w:tcPr>
          <w:p>
            <w:pPr>
              <w:spacing w:after="0"/>
              <w:rPr>
                <w:sz w:val="18"/>
                <w:szCs w:val="18"/>
                <w:color w:val="auto"/>
              </w:rPr>
            </w:pPr>
          </w:p>
        </w:tc>
        <w:tc>
          <w:tcPr>
            <w:tcW w:w="16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8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02"/>
        </w:trPr>
        <w:tc>
          <w:tcPr>
            <w:tcW w:w="766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tax receivable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2,537,137</w:t>
            </w:r>
          </w:p>
        </w:tc>
        <w:tc>
          <w:tcPr>
            <w:tcW w:w="1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2,486,680</w:t>
            </w:r>
          </w:p>
        </w:tc>
      </w:tr>
      <w:tr>
        <w:trPr>
          <w:trHeight w:val="20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VAT receivables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400,012</w:t>
            </w:r>
          </w:p>
        </w:tc>
        <w:tc>
          <w:tcPr>
            <w:tcW w:w="220" w:type="dxa"/>
            <w:vAlign w:val="bottom"/>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457,834</w:t>
            </w:r>
          </w:p>
        </w:tc>
        <w:tc>
          <w:tcPr>
            <w:tcW w:w="100" w:type="dxa"/>
            <w:vAlign w:val="bottom"/>
          </w:tcPr>
          <w:p>
            <w:pPr>
              <w:spacing w:after="0"/>
              <w:rPr>
                <w:sz w:val="17"/>
                <w:szCs w:val="17"/>
                <w:color w:val="auto"/>
              </w:rPr>
            </w:pPr>
          </w:p>
        </w:tc>
      </w:tr>
      <w:tr>
        <w:trPr>
          <w:trHeight w:val="236"/>
        </w:trPr>
        <w:tc>
          <w:tcPr>
            <w:tcW w:w="766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2,937,149</w:t>
            </w:r>
          </w:p>
        </w:tc>
        <w:tc>
          <w:tcPr>
            <w:tcW w:w="1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2,944,514</w:t>
            </w:r>
          </w:p>
        </w:tc>
      </w:tr>
      <w:tr>
        <w:trPr>
          <w:trHeight w:val="519"/>
        </w:trPr>
        <w:tc>
          <w:tcPr>
            <w:tcW w:w="766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11. Other current assets</w:t>
            </w:r>
          </w:p>
        </w:tc>
        <w:tc>
          <w:tcPr>
            <w:tcW w:w="16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-367030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-349885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-367030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-349885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7"/>
                <w:szCs w:val="17"/>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660" w:type="dxa"/>
            <w:vAlign w:val="bottom"/>
          </w:tcPr>
          <w:p>
            <w:pPr>
              <w:spacing w:after="0"/>
              <w:rPr>
                <w:sz w:val="18"/>
                <w:szCs w:val="18"/>
                <w:color w:val="auto"/>
              </w:rPr>
            </w:pPr>
          </w:p>
        </w:tc>
        <w:tc>
          <w:tcPr>
            <w:tcW w:w="162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02"/>
        </w:trPr>
        <w:tc>
          <w:tcPr>
            <w:tcW w:w="7660" w:type="dxa"/>
            <w:vAlign w:val="bottom"/>
          </w:tcPr>
          <w:p>
            <w:pPr>
              <w:spacing w:after="0"/>
              <w:rPr>
                <w:sz w:val="17"/>
                <w:szCs w:val="17"/>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6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Prepayments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4,964,146</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5,747,025</w:t>
            </w:r>
          </w:p>
        </w:tc>
        <w:tc>
          <w:tcPr>
            <w:tcW w:w="100" w:type="dxa"/>
            <w:vAlign w:val="bottom"/>
            <w:shd w:val="clear" w:color="auto" w:fill="CFF0FC"/>
          </w:tcPr>
          <w:p>
            <w:pPr>
              <w:spacing w:after="0"/>
              <w:rPr>
                <w:sz w:val="17"/>
                <w:szCs w:val="17"/>
                <w:color w:val="auto"/>
              </w:rPr>
            </w:pPr>
          </w:p>
        </w:tc>
      </w:tr>
      <w:tr>
        <w:trPr>
          <w:trHeight w:val="196"/>
        </w:trPr>
        <w:tc>
          <w:tcPr>
            <w:tcW w:w="766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4,964,146</w:t>
            </w:r>
          </w:p>
        </w:tc>
        <w:tc>
          <w:tcPr>
            <w:tcW w:w="26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5,747,025</w:t>
            </w:r>
          </w:p>
        </w:tc>
        <w:tc>
          <w:tcPr>
            <w:tcW w:w="10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Prepayments mainly relate to prepaid insurance, prepaid research and development expenses and rent.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Cash and cash equivalents</w:t>
      </w:r>
    </w:p>
    <w:p>
      <w:pPr>
        <w:spacing w:after="0" w:line="108" w:lineRule="exact"/>
        <w:rPr>
          <w:sz w:val="20"/>
          <w:szCs w:val="20"/>
          <w:color w:val="auto"/>
        </w:rPr>
      </w:pPr>
    </w:p>
    <w:p>
      <w:pPr>
        <w:jc w:val="both"/>
        <w:ind w:right="160"/>
        <w:spacing w:after="0" w:line="286" w:lineRule="auto"/>
        <w:rPr>
          <w:sz w:val="20"/>
          <w:szCs w:val="20"/>
          <w:color w:val="auto"/>
        </w:rPr>
      </w:pPr>
      <w:r>
        <w:rPr>
          <w:rFonts w:ascii="Arial" w:cs="Arial" w:eastAsia="Arial" w:hAnsi="Arial"/>
          <w:sz w:val="16"/>
          <w:szCs w:val="16"/>
          <w:color w:val="auto"/>
        </w:rPr>
        <w:t>As of September 30, 2025 and December 31, 2024, there were no restricted cash and cash equivalent balances. Cash and cash equivalent balances as of September 30, 2025 include investments in money market funds of €237.5 million at fair market value. (Cost: €95.7 million) (December 31, 2024: Euro nil).</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w:t>
      </w:r>
    </w:p>
    <w:p>
      <w:pPr>
        <w:spacing w:after="0" w:line="10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On September 30, 2025, the Company’s authorized share capital amounted to € 14.1 million divided into 117,500,000 ordinary shares each with a nominal value of twelve eurocents (€0.12).</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2025, the total number of issued and fully paid shares was 64,959,454 (2024: 54,007,711). On September 30, 2025, the issued share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capital totaled €7.8 million (2024: €6.5 million).</w:t>
      </w:r>
    </w:p>
    <w:p>
      <w:pPr>
        <w:spacing w:after="0" w:line="286"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In March 2022, the Company filed a Form F-3 Registration Statement and prospectus, allowing the Company to sell up to $350 million of its securities with the Securities and Exchange Commission. This Registration Statement was supplemented by a prospectus supplement covering an at-the-market program providing for the sales from time to time of up to $75 million of its ordinary shares pursuant to a Sales Agreement with Leerink Partners.</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As of September 30, 2025, the Company has sold a total of 593,927 ordinary shares under the sales agreement generating total net proceeds of €9.3 million ($9.8 million), after deducting €0.3 million ($0.3 million), which was payable to Leerink Partners as commission in respect of such sales. On April 12, 2024, the Company terminated the March 2022 sales agreement and entered into a new sales agreement with Leerink Partners (the “April 2024 Sales Agreement”), pursuant to which it may sell ordinary shares having an aggregate offering price of up to $175 million from time to time through Leerink Partners. In April 2024, the Company filed a Form F-3 ASR Registration Statement (the “F-3 ASR”) and prospectus, allowing the Company to sell an unspecified amount of its securities with the Securities and Exchange Commission. The F-3 ASR was supplemented by a prospectus supplement covering an at-the-market program providing for the sales from time to time of up to $175 million of its ordinary shares pursuant to the April 2024 Sales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90"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In June 2023, the Company sold a total of 6,951,340 ordinary shares, par value €0.12 per share, in a private placement at a purchase price of $10.07 per ordinary share. The sale generated total proceeds of approximately €64.2 million ($70 million).</w:t>
      </w:r>
    </w:p>
    <w:p>
      <w:pPr>
        <w:spacing w:after="0" w:line="4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December 2023, the Company entered into an underwriting agreement with Morgan Stanley &amp; Co. LLC and Leerink Partners, LLC as underwriters, pursuant to which the Company agreed to issue and sell (i) 11,125,000 ordinary shares, par value €0.12 per share and (ii) pre-funded warrants to purchase up to 1,375,000 ordinary shares in an underwritten offering. The offering closed on December 8, 2023, and the Company generated net proceeds of €261.6 million ($282.0 million), after deducting bank fees of €16.7 million ($18.0 million).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pre-funded warrants were exercised in January 2024 for gross exercise proceeds of $0.01 million and resulted in issuance of 1,375,000 ordinary shares.</w:t>
      </w:r>
    </w:p>
    <w:p>
      <w:pPr>
        <w:spacing w:after="0" w:line="11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In March 2024, the Company received a partial reimbursement for certain of its expenses in connection with the December 2023 offering which have been accounted for in the share premium.</w:t>
      </w:r>
    </w:p>
    <w:p>
      <w:pPr>
        <w:spacing w:after="0" w:line="4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 xml:space="preserve">In July 2025, the Company entered into an underwriting agreement with Morgan Stanley &amp; Co. LLC and Leerink Partners, LLC as representatives of the underwriters, pursuant to which the Company agreed to issue and sell (i) </w:t>
      </w:r>
      <w:r>
        <w:rPr>
          <w:rFonts w:ascii="Times New Roman" w:cs="Times New Roman" w:eastAsia="Times New Roman" w:hAnsi="Times New Roman"/>
          <w:sz w:val="17"/>
          <w:szCs w:val="17"/>
          <w:color w:val="auto"/>
        </w:rPr>
        <w:t>9,562,500 ordinary shares</w:t>
      </w:r>
      <w:r>
        <w:rPr>
          <w:rFonts w:ascii="Arial" w:cs="Arial" w:eastAsia="Arial" w:hAnsi="Arial"/>
          <w:sz w:val="16"/>
          <w:szCs w:val="16"/>
          <w:color w:val="auto"/>
        </w:rPr>
        <w:t>, par value €0.12 per share and (ii) pre-funded warrants to purchase up to 500,000 ordinary shares in an underwritten offering. The offering closed on July 24, 2025, and the Company generated net proceeds of €160.3 million ($188.5 million), after deducting fees and expenses of €10.9 million ($12.8 million).</w:t>
      </w:r>
    </w:p>
    <w:p>
      <w:pPr>
        <w:spacing w:after="0" w:line="6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pre-funded warrants were exercised in September 2025 for gross exercise proceeds of €0.04 million ($0.05 million) and resulted in issuance of 500,000 ordinary shares.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6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88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r>
      <w:tr>
        <w:trPr>
          <w:trHeight w:val="202"/>
        </w:trPr>
        <w:tc>
          <w:tcPr>
            <w:tcW w:w="764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7"/>
                <w:szCs w:val="17"/>
                <w:color w:val="auto"/>
              </w:rPr>
            </w:pPr>
          </w:p>
        </w:tc>
      </w:tr>
      <w:tr>
        <w:trPr>
          <w:trHeight w:val="19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Ordinary shares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64,959,454</w:t>
            </w:r>
          </w:p>
        </w:tc>
        <w:tc>
          <w:tcPr>
            <w:tcW w:w="28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54,379,491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64,959,454</w:t>
            </w: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54,379,491</w:t>
            </w:r>
          </w:p>
        </w:tc>
      </w:tr>
      <w:tr>
        <w:trPr>
          <w:trHeight w:val="20"/>
        </w:trPr>
        <w:tc>
          <w:tcPr>
            <w:tcW w:w="76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-161925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Trade and other payables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6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7"/>
                <w:szCs w:val="17"/>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660" w:type="dxa"/>
            <w:vAlign w:val="bottom"/>
          </w:tcPr>
          <w:p>
            <w:pPr>
              <w:spacing w:after="0"/>
              <w:rPr>
                <w:sz w:val="18"/>
                <w:szCs w:val="18"/>
                <w:color w:val="auto"/>
              </w:rPr>
            </w:pPr>
          </w:p>
        </w:tc>
        <w:tc>
          <w:tcPr>
            <w:tcW w:w="16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02"/>
        </w:trPr>
        <w:tc>
          <w:tcPr>
            <w:tcW w:w="7660" w:type="dxa"/>
            <w:vAlign w:val="bottom"/>
          </w:tcPr>
          <w:p>
            <w:pPr>
              <w:spacing w:after="0"/>
              <w:rPr>
                <w:sz w:val="17"/>
                <w:szCs w:val="17"/>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6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 payables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2,548,047</w:t>
            </w:r>
          </w:p>
        </w:tc>
        <w:tc>
          <w:tcPr>
            <w:tcW w:w="19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4,562,900</w:t>
            </w:r>
          </w:p>
        </w:tc>
      </w:tr>
      <w:tr>
        <w:trPr>
          <w:trHeight w:val="196"/>
        </w:trPr>
        <w:tc>
          <w:tcPr>
            <w:tcW w:w="766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2,548,047</w:t>
            </w:r>
          </w:p>
        </w:tc>
        <w:tc>
          <w:tcPr>
            <w:tcW w:w="26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4,562,900</w:t>
            </w:r>
          </w:p>
        </w:tc>
        <w:tc>
          <w:tcPr>
            <w:tcW w:w="10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Accrued liabilities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18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720" w:type="dxa"/>
            <w:vAlign w:val="bottom"/>
          </w:tcPr>
          <w:p>
            <w:pPr>
              <w:spacing w:after="0"/>
              <w:rPr>
                <w:sz w:val="18"/>
                <w:szCs w:val="18"/>
                <w:color w:val="auto"/>
              </w:rPr>
            </w:pPr>
          </w:p>
        </w:tc>
        <w:tc>
          <w:tcPr>
            <w:tcW w:w="15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16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02"/>
        </w:trPr>
        <w:tc>
          <w:tcPr>
            <w:tcW w:w="77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Clinical accrued liabilities</w:t>
            </w: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9,382,209</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5,221,572</w:t>
            </w: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Personnel related accruals</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7,932,250</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7,827,392</w:t>
            </w: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Manufacturing accrued liabilities</w:t>
            </w: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2,547,462</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1,767,291</w:t>
            </w: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Nonclinical accrued liabilities</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314,601</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445,238</w:t>
            </w: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Consulting, professional and audit liability</w:t>
            </w: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1,018,154</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729,162</w:t>
            </w: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1,484,673</w:t>
            </w:r>
          </w:p>
        </w:tc>
        <w:tc>
          <w:tcPr>
            <w:tcW w:w="24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1,597,752</w:t>
            </w:r>
          </w:p>
        </w:tc>
        <w:tc>
          <w:tcPr>
            <w:tcW w:w="100" w:type="dxa"/>
            <w:vAlign w:val="bottom"/>
          </w:tcPr>
          <w:p>
            <w:pPr>
              <w:spacing w:after="0"/>
              <w:rPr>
                <w:sz w:val="17"/>
                <w:szCs w:val="17"/>
                <w:color w:val="auto"/>
              </w:rPr>
            </w:pPr>
          </w:p>
        </w:tc>
      </w:tr>
      <w:tr>
        <w:trPr>
          <w:trHeight w:val="236"/>
        </w:trPr>
        <w:tc>
          <w:tcPr>
            <w:tcW w:w="772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22,679,349</w:t>
            </w:r>
          </w:p>
        </w:tc>
        <w:tc>
          <w:tcPr>
            <w:tcW w:w="24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17,588,407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Risk management activities</w:t>
      </w:r>
    </w:p>
    <w:p>
      <w:pPr>
        <w:spacing w:after="0" w:line="10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Group’s risk management activities are the same as disclosed in Note 17 of the consolidated financial statements for the year ended December 31, 2024.</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values</w:t>
      </w:r>
    </w:p>
    <w:p>
      <w:pPr>
        <w:spacing w:after="0" w:line="10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Fair values of cash balances, trade receivables, trade payables, and other current liabilities approximate their carrying amounts largely due to the short-term maturities of these instruments.</w:t>
      </w:r>
    </w:p>
    <w:p>
      <w:pPr>
        <w:spacing w:after="0" w:line="15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fair value of the cash equivalents, Group’s financial instruments measured at fair value on recurring basis, is categorized within level 1 of the fair value hierarchy, as the valuation is based on quoted net asset values (NAV) in active markets at the reporting date.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payments</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2016, the Company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Equity Incentive Plan (the “2021 Plan”).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Set out below is an overview of changes in the Stock Options and Restricted Stock Units (“RSUs”) during the nine months ended September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1920" w:type="dxa"/>
            <w:vAlign w:val="bottom"/>
            <w:gridSpan w:val="3"/>
          </w:tcPr>
          <w:p>
            <w:pPr>
              <w:ind w:left="1000"/>
              <w:spacing w:after="0"/>
              <w:rPr>
                <w:sz w:val="20"/>
                <w:szCs w:val="20"/>
                <w:color w:val="auto"/>
              </w:rPr>
            </w:pPr>
            <w:r>
              <w:rPr>
                <w:rFonts w:ascii="Times New Roman" w:cs="Times New Roman" w:eastAsia="Times New Roman" w:hAnsi="Times New Roman"/>
                <w:sz w:val="16"/>
                <w:szCs w:val="16"/>
                <w:color w:val="auto"/>
                <w:w w:val="98"/>
              </w:rPr>
              <w:t>Stock Options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RSUs</w:t>
            </w:r>
          </w:p>
        </w:tc>
      </w:tr>
      <w:tr>
        <w:trPr>
          <w:trHeight w:val="183"/>
        </w:trPr>
        <w:tc>
          <w:tcPr>
            <w:tcW w:w="656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6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60" w:type="dxa"/>
            <w:vAlign w:val="bottom"/>
          </w:tcPr>
          <w:p>
            <w:pPr>
              <w:spacing w:after="0"/>
              <w:rPr>
                <w:sz w:val="17"/>
                <w:szCs w:val="17"/>
                <w:color w:val="auto"/>
              </w:rPr>
            </w:pPr>
          </w:p>
        </w:tc>
        <w:tc>
          <w:tcPr>
            <w:tcW w:w="192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2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15"/>
        </w:trPr>
        <w:tc>
          <w:tcPr>
            <w:tcW w:w="6560" w:type="dxa"/>
            <w:vAlign w:val="bottom"/>
          </w:tcPr>
          <w:p>
            <w:pPr>
              <w:spacing w:after="0"/>
              <w:rPr>
                <w:sz w:val="18"/>
                <w:szCs w:val="18"/>
                <w:color w:val="auto"/>
              </w:rPr>
            </w:pPr>
          </w:p>
        </w:tc>
        <w:tc>
          <w:tcPr>
            <w:tcW w:w="192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RSUs</w:t>
            </w:r>
          </w:p>
        </w:tc>
      </w:tr>
      <w:tr>
        <w:trPr>
          <w:trHeight w:val="199"/>
        </w:trPr>
        <w:tc>
          <w:tcPr>
            <w:tcW w:w="656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January 1, 2025</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3,869,188</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1,272,790</w:t>
            </w:r>
          </w:p>
        </w:tc>
        <w:tc>
          <w:tcPr>
            <w:tcW w:w="120" w:type="dxa"/>
            <w:vAlign w:val="bottom"/>
            <w:shd w:val="clear" w:color="auto" w:fill="CFF0FC"/>
          </w:tcPr>
          <w:p>
            <w:pPr>
              <w:spacing w:after="0"/>
              <w:rPr>
                <w:sz w:val="17"/>
                <w:szCs w:val="17"/>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630,000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634,005</w:t>
            </w:r>
          </w:p>
        </w:tc>
        <w:tc>
          <w:tcPr>
            <w:tcW w:w="120" w:type="dxa"/>
            <w:vAlign w:val="bottom"/>
          </w:tcPr>
          <w:p>
            <w:pPr>
              <w:spacing w:after="0"/>
              <w:rPr>
                <w:sz w:val="17"/>
                <w:szCs w:val="17"/>
                <w:color w:val="auto"/>
              </w:rPr>
            </w:pP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 (Vested and Settled)</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(230,293)</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(373,938)</w:t>
            </w: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92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(18,349)</w:t>
            </w:r>
          </w:p>
        </w:tc>
      </w:tr>
      <w:tr>
        <w:trPr>
          <w:trHeight w:val="20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Expired Options</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(139,167)</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2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Outstanding September 30, 2025</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4,129,728</w:t>
            </w:r>
          </w:p>
        </w:tc>
        <w:tc>
          <w:tcPr>
            <w:tcW w:w="22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220" w:type="dxa"/>
            <w:vAlign w:val="bottom"/>
            <w:tcBorders>
              <w:top w:val="single" w:sz="8" w:color="CFF0FC"/>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1,514,508</w:t>
            </w:r>
          </w:p>
        </w:tc>
        <w:tc>
          <w:tcPr>
            <w:tcW w:w="120" w:type="dxa"/>
            <w:vAlign w:val="bottom"/>
            <w:tcBorders>
              <w:top w:val="single" w:sz="8" w:color="CFF0FC"/>
            </w:tcBorders>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-161925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-161925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7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During the nine months ended September 30, 2025, a total of 423,005 RSUs were granted to employees that joined the Group in the same period and to existing employees. The RSUs shall vest equally over a four-year period on each of the four anniversaries of the vesting start date until either the RSUs are fully vested or the RSUs holders’ continuous service terminates.</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During the nine months ended September 30, 2025, 186,000 RSUs were issued to existing key management. The RSUs shall vest over a four-year period, with 25% of the aggregate number of RSUs vesting on the 12-month anniversary of the vesting commencement date, and thereafter 1/48th of the aggregate number of RSUs vesting on each subsequent monthly anniversary of the vesting commencement date, subject to continuous service through each applicable vesting date.</w:t>
      </w:r>
    </w:p>
    <w:p>
      <w:pPr>
        <w:spacing w:after="0" w:line="7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During the nine months ended September 30, 2025, 25,000 RSUs were issued to members of the Board of Directors. The RSUs shall vest on the 12-month anniversary of the vesting start date.</w:t>
      </w:r>
    </w:p>
    <w:p>
      <w:pPr>
        <w:spacing w:after="0" w:line="4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fair value of the RSUs is determined based on the share value per ordinary share at the grant date (or at the first trading day after the grant date if the Nasdaq Stock Exchange is not open on this date). The grant dates and share closing prices for grants during the first nine months of 2025 were: February 1 (€16.57), March 1 (€14.60), March 12 (€14.71), April 1 (€13.74), and May 1 (€15.80), July 1(€14.61), August 1(€17.26) and September 1(€19.21), respectively.</w:t>
      </w:r>
    </w:p>
    <w:p>
      <w:pPr>
        <w:spacing w:after="0" w:line="7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On March 12, 2025, a total of 75,000 stock options were granted to members of the Board of Directors with an exercise price of €14.74 per share with a final exercise date of March 11, 2035, unless forfeited or exercised on an earlier date. 100% of the aggregate number of shares subject to the option shall vest on the 12-month anniversary of the vesting commencement date, subject to the option holder’s continuous service.</w:t>
      </w:r>
    </w:p>
    <w:p>
      <w:pPr>
        <w:spacing w:after="0" w:line="6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On March 12, 2025, a total of 555,000 stock options were granted to members of key management with an exercise price of €14.74 per share with a final exercise date of March 11, 2035,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2025, a total number of 2,652,936 stock options are exercisable (September 30, 2024: 2,346,733).</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90"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For the nine months ended September 30, 2025, the Group recognized €14.5 million of share-based payment expense in the unaudited condensed consolidated statement of income or loss and other comprehensive income (nine months ended September 30, 2024: €11.4 million).</w:t>
      </w:r>
    </w:p>
    <w:p>
      <w:pPr>
        <w:spacing w:after="0" w:line="4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inputs and outputs used in the measurement of the fair value per option at each grant/ measurement date using the Black-Scholes formula (including the related number of options and the fair value of the options)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160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w w:val="99"/>
              </w:rPr>
              <w:t>March 12, 2025*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March 12, 2025**</w:t>
            </w:r>
          </w:p>
        </w:tc>
      </w:tr>
      <w:tr>
        <w:trPr>
          <w:trHeight w:val="19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Number of options</w:t>
            </w:r>
          </w:p>
        </w:tc>
        <w:tc>
          <w:tcPr>
            <w:tcW w:w="160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75,000</w:t>
            </w: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555,000</w:t>
            </w:r>
          </w:p>
        </w:tc>
        <w:tc>
          <w:tcPr>
            <w:tcW w:w="140" w:type="dxa"/>
            <w:vAlign w:val="bottom"/>
            <w:shd w:val="clear" w:color="auto" w:fill="CFF0FC"/>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the options</w:t>
            </w:r>
          </w:p>
        </w:tc>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40" w:type="dxa"/>
            <w:vAlign w:val="bottom"/>
          </w:tcPr>
          <w:p>
            <w:pPr>
              <w:spacing w:after="0"/>
              <w:rPr>
                <w:sz w:val="17"/>
                <w:szCs w:val="17"/>
                <w:color w:val="auto"/>
              </w:rPr>
            </w:pPr>
          </w:p>
        </w:tc>
      </w:tr>
      <w:tr>
        <w:trPr>
          <w:trHeight w:val="20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of the ordinary shares</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140" w:type="dxa"/>
            <w:vAlign w:val="bottom"/>
            <w:shd w:val="clear" w:color="auto" w:fill="CFF0FC"/>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40" w:type="dxa"/>
            <w:vAlign w:val="bottom"/>
          </w:tcPr>
          <w:p>
            <w:pPr>
              <w:spacing w:after="0"/>
              <w:rPr>
                <w:sz w:val="17"/>
                <w:szCs w:val="17"/>
                <w:color w:val="auto"/>
              </w:rPr>
            </w:pPr>
          </w:p>
        </w:tc>
      </w:tr>
      <w:tr>
        <w:trPr>
          <w:trHeight w:val="20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volatility (%)</w:t>
            </w:r>
          </w:p>
        </w:tc>
        <w:tc>
          <w:tcPr>
            <w:tcW w:w="16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6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105%</w:t>
            </w: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Expected life (years)</w:t>
            </w:r>
          </w:p>
        </w:tc>
        <w:tc>
          <w:tcPr>
            <w:tcW w:w="16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tcPr>
          <w:p>
            <w:pPr>
              <w:spacing w:after="0"/>
              <w:rPr>
                <w:sz w:val="17"/>
                <w:szCs w:val="17"/>
                <w:color w:val="auto"/>
              </w:rPr>
            </w:pPr>
          </w:p>
        </w:tc>
      </w:tr>
      <w:tr>
        <w:trPr>
          <w:trHeight w:val="20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Risk-free interest rate (%)</w:t>
            </w:r>
          </w:p>
        </w:tc>
        <w:tc>
          <w:tcPr>
            <w:tcW w:w="16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6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Granted to the Board of Directors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Granted to members of key management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Basic and diluted loss per share</w:t>
      </w:r>
    </w:p>
    <w:p>
      <w:pPr>
        <w:spacing w:after="0" w:line="10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Basic and diluted loss per share is calculated by dividing the loss attributable to equity holders of the Company by the weighted average number of issued and outstanding ordinary shares during the three months ended September 30, 2025 and 2024.</w:t>
      </w:r>
    </w:p>
    <w:p>
      <w:pPr>
        <w:spacing w:after="0" w:line="4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All of the Company’s potential dilutive securities have been excluded from the computation of diluted net loss per share attributable to ordinary stockholders as the effect of including them would be antidilutive.</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298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w:t>
            </w:r>
          </w:p>
        </w:tc>
        <w:tc>
          <w:tcPr>
            <w:tcW w:w="284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w:t>
            </w:r>
          </w:p>
        </w:tc>
      </w:tr>
      <w:tr>
        <w:trPr>
          <w:trHeight w:val="212"/>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30,</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(37,137,035)</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(41,710,758)</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(128,958,544)</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(99,460,587)</w:t>
            </w:r>
          </w:p>
        </w:tc>
      </w:tr>
      <w:tr>
        <w:trPr>
          <w:trHeight w:val="203"/>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 outstanding</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62,255,988</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54,069,979</w:t>
            </w:r>
          </w:p>
        </w:tc>
        <w:tc>
          <w:tcPr>
            <w:tcW w:w="8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57,172,297</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53,919,736</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and diluted loss per share</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(0.60)</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(0.77)</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(2.26)</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(1.84)</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claims known to management related to the activities of the Group.</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5"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Group's contractual obligations and commitments as of September 30, 2025 amounted to €117 million, (December 31, 2024: €109.9 million) primarily related to research and development activities.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Group had no contingent liabilities and no contingent assets as of September 30, 2025 and December 31, 2024.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parties</w:t>
      </w:r>
    </w:p>
    <w:p>
      <w:pPr>
        <w:spacing w:after="0" w:line="108"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Note 1.2 provides information about the Group’s structure, including details of the subsidiaries and the holding company. The following provides the total amount of transactions that have been entered into with related parties for the relevant financial period.</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management personnel compensation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3240" w:type="dxa"/>
            <w:vAlign w:val="bottom"/>
            <w:gridSpan w:val="4"/>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9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32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60" w:type="dxa"/>
            <w:vAlign w:val="bottom"/>
            <w:gridSpan w:val="2"/>
            <w:vMerge w:val="restart"/>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960" w:type="dxa"/>
            <w:vAlign w:val="bottom"/>
            <w:gridSpan w:val="2"/>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Pr>
          <w:p>
            <w:pPr>
              <w:spacing w:after="0"/>
              <w:rPr>
                <w:sz w:val="17"/>
                <w:szCs w:val="17"/>
                <w:color w:val="auto"/>
              </w:rPr>
            </w:pPr>
          </w:p>
        </w:tc>
        <w:tc>
          <w:tcPr>
            <w:tcW w:w="156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6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000" w:type="dxa"/>
            <w:vAlign w:val="bottom"/>
            <w:tcBorders>
              <w:top w:val="single" w:sz="8" w:color="auto"/>
            </w:tcBorders>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7"/>
                <w:szCs w:val="17"/>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 term employee benefits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1,238,937</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1,509,102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3,856,915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4,171,088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Post employee benefits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63,781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101,198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196,793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227,387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payments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2,744,836</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3,101,495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8,697,178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6,502,415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4,047,554</w:t>
            </w:r>
          </w:p>
        </w:tc>
        <w:tc>
          <w:tcPr>
            <w:tcW w:w="12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4,711,795</w:t>
            </w:r>
          </w:p>
        </w:tc>
        <w:tc>
          <w:tcPr>
            <w:tcW w:w="1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12,750,886</w:t>
            </w:r>
          </w:p>
        </w:tc>
        <w:tc>
          <w:tcPr>
            <w:tcW w:w="1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10,900,890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The Group engages a management entity for the purpose of providing key management services and/or strategic advisory services to the Company. This management entity is considered a related party, as it provides key management advisory services and exercises key management functions.</w:t>
      </w:r>
    </w:p>
    <w:p>
      <w:pPr>
        <w:spacing w:after="0" w:line="237"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The aggregate amount of expense recognized in the unaudited condensed consolidated interim financial statements related to this related party was €0.5 million in each of the nine months ended September 30, 2025 and 2024, respectively.</w:t>
      </w:r>
    </w:p>
    <w:p>
      <w:pPr>
        <w:spacing w:after="0" w:line="12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outstanding balances payable to key management personnel, or entities which they control, as per September 30, 2025 and December 31, 2024 were €1.2 million and €1.5 million, respectively.</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0" w:right="399" w:bottom="1440" w:gutter="0" w:footer="0" w:header="0"/>
        </w:sectPr>
      </w:pPr>
    </w:p>
    <w:bookmarkStart w:id="37" w:name="page38"/>
    <w:bookmarkEnd w:id="37"/>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Events after the reporting period</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has evaluated subsequent events through November 12, 2025, which is the date the condensed consolidated interim financial statements were authorized for issuance, and did not identify any significant event after reporting period that needs to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38" w:name="page39"/>
    <w:bookmarkEnd w:id="38"/>
    <w:p>
      <w:pPr>
        <w:spacing w:after="0" w:line="85" w:lineRule="exact"/>
        <w:rPr>
          <w:sz w:val="20"/>
          <w:szCs w:val="20"/>
          <w:color w:val="auto"/>
        </w:rPr>
      </w:pPr>
    </w:p>
    <w:p>
      <w:pPr>
        <w:ind w:right="3119"/>
        <w:spacing w:after="0" w:line="443" w:lineRule="auto"/>
        <w:rPr>
          <w:sz w:val="20"/>
          <w:szCs w:val="20"/>
          <w:color w:val="auto"/>
        </w:rPr>
      </w:pPr>
      <w:r>
        <w:rPr>
          <w:rFonts w:ascii="Arial" w:cs="Arial" w:eastAsia="Arial" w:hAnsi="Arial"/>
          <w:sz w:val="18"/>
          <w:szCs w:val="18"/>
          <w:b w:val="1"/>
          <w:bCs w:val="1"/>
          <w:color w:val="auto"/>
        </w:rPr>
        <w:t xml:space="preserve">Signatories to the unaudited condensed consolidated interim financial statements </w:t>
      </w:r>
      <w:r>
        <w:rPr>
          <w:rFonts w:ascii="Arial" w:cs="Arial" w:eastAsia="Arial" w:hAnsi="Arial"/>
          <w:sz w:val="18"/>
          <w:szCs w:val="18"/>
          <w:color w:val="auto"/>
        </w:rPr>
        <w:t>Leiden, November 12, 2025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Pharvaris N.V.</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B.A.E. Modig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R.H. Glassman</w:t>
      </w:r>
    </w:p>
    <w:p>
      <w:pPr>
        <w:spacing w:after="0" w:line="211" w:lineRule="exact"/>
        <w:rPr>
          <w:sz w:val="20"/>
          <w:szCs w:val="20"/>
          <w:color w:val="auto"/>
        </w:rPr>
      </w:pPr>
    </w:p>
    <w:p>
      <w:pPr>
        <w:sectPr>
          <w:pgSz w:w="11900" w:h="16838" w:orient="portrait"/>
          <w:cols w:equalWidth="0" w:num="2">
            <w:col w:w="4760" w:space="720"/>
            <w:col w:w="4659"/>
          </w:cols>
          <w:pgMar w:left="320" w:top="1440" w:right="1440"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E. Björk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J.G.C.P. Schikan</w:t>
      </w:r>
    </w:p>
    <w:p>
      <w:pPr>
        <w:spacing w:after="0" w:line="211" w:lineRule="exact"/>
        <w:rPr>
          <w:sz w:val="20"/>
          <w:szCs w:val="20"/>
          <w:color w:val="auto"/>
        </w:rPr>
      </w:pPr>
    </w:p>
    <w:p>
      <w:pPr>
        <w:sectPr>
          <w:pgSz w:w="11900" w:h="16838" w:orient="portrait"/>
          <w:cols w:equalWidth="0" w:num="2">
            <w:col w:w="4760" w:space="720"/>
            <w:col w:w="4659"/>
          </w:cols>
          <w:pgMar w:left="320" w:top="1440" w:right="1440"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D.P. Meeker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V. Monges</w:t>
      </w:r>
    </w:p>
    <w:p>
      <w:pPr>
        <w:spacing w:after="0" w:line="200" w:lineRule="exact"/>
        <w:rPr>
          <w:sz w:val="20"/>
          <w:szCs w:val="20"/>
          <w:color w:val="auto"/>
        </w:rPr>
      </w:pPr>
    </w:p>
    <w:p>
      <w:pPr>
        <w:sectPr>
          <w:pgSz w:w="11900" w:h="16838" w:orient="portrait"/>
          <w:cols w:equalWidth="0" w:num="2">
            <w:col w:w="4760" w:space="720"/>
            <w:col w:w="465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2025-11-12T07:11:02Z</dcterms:created>
  <dcterms:modified xsi:type="dcterms:W3CDTF">2025-11-12T07:11:02Z</dcterms:modified>
</cp:coreProperties>
</file>