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2023</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3"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44" w:lineRule="exact"/>
        <w:rPr>
          <w:sz w:val="24"/>
          <w:szCs w:val="24"/>
          <w:color w:val="auto"/>
        </w:rPr>
      </w:pPr>
    </w:p>
    <w:p>
      <w:pPr>
        <w:ind w:right="300"/>
        <w:spacing w:after="0" w:line="260"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44"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200" w:lineRule="exact"/>
        <w:rPr>
          <w:sz w:val="20"/>
          <w:szCs w:val="20"/>
          <w:color w:val="auto"/>
        </w:rPr>
      </w:pPr>
    </w:p>
    <w:p>
      <w:pPr>
        <w:spacing w:after="0" w:line="21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On June 26, 2023 Pharvaris N.V. (the “Company”) issued a press release. The press release is attached as Exhibit 99.1 hereto and is incorporated by reference herein. This Report on Form 6-K (including Exhibit 99.1) shall be deemed to be incorporated by reference into the registration statements on Form F-3 (Registration Number 333-263198) and Form S-8 (Registration Number 333-252897).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620" w:type="dxa"/>
            <w:vAlign w:val="bottom"/>
          </w:tcPr>
          <w:p>
            <w:pPr>
              <w:spacing w:after="0"/>
              <w:rPr>
                <w:sz w:val="21"/>
                <w:szCs w:val="21"/>
                <w:color w:val="auto"/>
              </w:rPr>
            </w:pPr>
          </w:p>
        </w:tc>
        <w:tc>
          <w:tcPr>
            <w:tcW w:w="7600" w:type="dxa"/>
            <w:vAlign w:val="bottom"/>
            <w:gridSpan w:val="2"/>
          </w:tcPr>
          <w:p>
            <w:pPr>
              <w:ind w:left="198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620" w:type="dxa"/>
            <w:vAlign w:val="bottom"/>
          </w:tcPr>
          <w:p>
            <w:pPr>
              <w:spacing w:after="0"/>
              <w:rPr>
                <w:sz w:val="20"/>
                <w:szCs w:val="20"/>
                <w:color w:val="auto"/>
              </w:rPr>
            </w:pPr>
            <w:r>
              <w:rPr>
                <w:rFonts w:ascii="Arial" w:cs="Arial" w:eastAsia="Arial" w:hAnsi="Arial"/>
                <w:sz w:val="18"/>
                <w:szCs w:val="18"/>
                <w:color w:val="auto"/>
              </w:rPr>
              <w:t>Date: June 26, 2023</w:t>
            </w:r>
          </w:p>
        </w:tc>
        <w:tc>
          <w:tcPr>
            <w:tcW w:w="2920" w:type="dxa"/>
            <w:vAlign w:val="bottom"/>
          </w:tcPr>
          <w:p>
            <w:pPr>
              <w:ind w:left="19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29"/>
        </w:trPr>
        <w:tc>
          <w:tcPr>
            <w:tcW w:w="3620" w:type="dxa"/>
            <w:vAlign w:val="bottom"/>
          </w:tcPr>
          <w:p>
            <w:pPr>
              <w:spacing w:after="0"/>
              <w:rPr>
                <w:sz w:val="19"/>
                <w:szCs w:val="19"/>
                <w:color w:val="auto"/>
              </w:rPr>
            </w:pPr>
          </w:p>
        </w:tc>
        <w:tc>
          <w:tcPr>
            <w:tcW w:w="2920" w:type="dxa"/>
            <w:vAlign w:val="bottom"/>
          </w:tcPr>
          <w:p>
            <w:pPr>
              <w:ind w:left="198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43"/>
        </w:trPr>
        <w:tc>
          <w:tcPr>
            <w:tcW w:w="3620" w:type="dxa"/>
            <w:vAlign w:val="bottom"/>
          </w:tcPr>
          <w:p>
            <w:pPr>
              <w:spacing w:after="0"/>
              <w:rPr>
                <w:sz w:val="21"/>
                <w:szCs w:val="21"/>
                <w:color w:val="auto"/>
              </w:rPr>
            </w:pPr>
          </w:p>
        </w:tc>
        <w:tc>
          <w:tcPr>
            <w:tcW w:w="2920" w:type="dxa"/>
            <w:vAlign w:val="bottom"/>
          </w:tcPr>
          <w:p>
            <w:pPr>
              <w:ind w:left="198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080" w:type="dxa"/>
            <w:vAlign w:val="bottom"/>
          </w:tcPr>
          <w:p>
            <w:pPr>
              <w:ind w:left="860"/>
              <w:spacing w:after="0"/>
              <w:rPr>
                <w:sz w:val="20"/>
                <w:szCs w:val="20"/>
                <w:color w:val="auto"/>
              </w:rPr>
            </w:pPr>
            <w:r>
              <w:rPr>
                <w:rFonts w:ascii="Arial" w:cs="Arial" w:eastAsia="Arial" w:hAnsi="Arial"/>
                <w:sz w:val="18"/>
                <w:szCs w:val="18"/>
                <w:b w:val="1"/>
                <w:bCs w:val="1"/>
                <w:color w:val="auto"/>
              </w:rPr>
              <w:t>EXHIB INDEX</w:t>
            </w:r>
          </w:p>
        </w:tc>
      </w:tr>
      <w:tr>
        <w:trPr>
          <w:trHeight w:val="436"/>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246"/>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40" w:type="dxa"/>
            <w:vAlign w:val="bottom"/>
          </w:tcPr>
          <w:p>
            <w:pPr>
              <w:spacing w:after="0"/>
              <w:rPr>
                <w:sz w:val="21"/>
                <w:szCs w:val="21"/>
                <w:color w:val="auto"/>
              </w:rPr>
            </w:pPr>
          </w:p>
        </w:tc>
        <w:tc>
          <w:tcPr>
            <w:tcW w:w="10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040" w:type="dxa"/>
            <w:vAlign w:val="bottom"/>
          </w:tcPr>
          <w:p>
            <w:pPr>
              <w:ind w:left="20"/>
              <w:spacing w:after="0" w:line="189" w:lineRule="exact"/>
              <w:rPr>
                <w:sz w:val="20"/>
                <w:szCs w:val="20"/>
                <w:color w:val="auto"/>
              </w:rPr>
            </w:pPr>
            <w:r>
              <w:rPr>
                <w:rFonts w:ascii="Arial" w:cs="Arial" w:eastAsia="Arial" w:hAnsi="Arial"/>
                <w:sz w:val="18"/>
                <w:szCs w:val="18"/>
                <w:color w:val="auto"/>
              </w:rPr>
              <w:t>99.1</w:t>
            </w:r>
          </w:p>
        </w:tc>
        <w:tc>
          <w:tcPr>
            <w:tcW w:w="140" w:type="dxa"/>
            <w:vAlign w:val="bottom"/>
          </w:tcPr>
          <w:p>
            <w:pPr>
              <w:spacing w:after="0"/>
              <w:rPr>
                <w:sz w:val="16"/>
                <w:szCs w:val="16"/>
                <w:color w:val="auto"/>
              </w:rPr>
            </w:pPr>
          </w:p>
        </w:tc>
        <w:tc>
          <w:tcPr>
            <w:tcW w:w="10060" w:type="dxa"/>
            <w:vAlign w:val="bottom"/>
            <w:gridSpan w:val="2"/>
          </w:tcPr>
          <w:p>
            <w:pPr>
              <w:spacing w:after="0" w:line="189" w:lineRule="exact"/>
              <w:rPr>
                <w:sz w:val="20"/>
                <w:szCs w:val="20"/>
                <w:color w:val="auto"/>
              </w:rPr>
            </w:pPr>
            <w:r>
              <w:rPr>
                <w:rFonts w:ascii="Arial" w:cs="Arial" w:eastAsia="Arial" w:hAnsi="Arial"/>
                <w:sz w:val="18"/>
                <w:szCs w:val="18"/>
                <w:color w:val="0000FF"/>
              </w:rPr>
              <w:t>Press Release, dated June 26, 2023.</w:t>
            </w:r>
          </w:p>
        </w:tc>
      </w:tr>
      <w:tr>
        <w:trPr>
          <w:trHeight w:val="567"/>
        </w:trPr>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980" w:type="dxa"/>
            <w:vAlign w:val="bottom"/>
            <w:tcBorders>
              <w:top w:val="single" w:sz="8" w:color="0000FF"/>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10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4018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40180" cy="214630"/>
                    </a:xfrm>
                    <a:prstGeom prst="rect">
                      <a:avLst/>
                    </a:prstGeom>
                    <a:noFill/>
                  </pic:spPr>
                </pic:pic>
              </a:graphicData>
            </a:graphic>
          </wp:anchor>
        </w:drawing>
        <w:t>Exhibit 99.1</w:t>
      </w:r>
    </w:p>
    <w:p>
      <w:pPr>
        <w:spacing w:after="0" w:line="43" w:lineRule="exact"/>
        <w:rPr>
          <w:sz w:val="20"/>
          <w:szCs w:val="20"/>
          <w:color w:val="auto"/>
        </w:rPr>
      </w:pPr>
    </w:p>
    <w:p>
      <w:pPr>
        <w:jc w:val="center"/>
        <w:ind w:right="60"/>
        <w:spacing w:after="0" w:line="259" w:lineRule="auto"/>
        <w:rPr>
          <w:sz w:val="20"/>
          <w:szCs w:val="20"/>
          <w:color w:val="auto"/>
        </w:rPr>
      </w:pPr>
      <w:r>
        <w:rPr>
          <w:rFonts w:ascii="Arial" w:cs="Arial" w:eastAsia="Arial" w:hAnsi="Arial"/>
          <w:sz w:val="25"/>
          <w:szCs w:val="25"/>
          <w:b w:val="1"/>
          <w:bCs w:val="1"/>
          <w:color w:val="auto"/>
        </w:rPr>
        <w:t>Pharvaris Announces FDA Removal of Clinical Hold of Deucrictibant for the On-Demand Treatment of HAE</w:t>
      </w:r>
    </w:p>
    <w:p>
      <w:pPr>
        <w:spacing w:after="0" w:line="325"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b w:val="1"/>
          <w:bCs w:val="1"/>
          <w:color w:val="auto"/>
        </w:rPr>
        <w:t xml:space="preserve">Zug, Switzerland, June 26, 2023 </w:t>
      </w:r>
      <w:r>
        <w:rPr>
          <w:rFonts w:ascii="Arial" w:cs="Arial" w:eastAsia="Arial" w:hAnsi="Arial"/>
          <w:sz w:val="20"/>
          <w:szCs w:val="20"/>
          <w:color w:val="auto"/>
        </w:rPr>
        <w:t>– Pharvaris (Nasdaq: PHVS), a clinical-stage company developing novel, oral bradykinin-B2-receptor</w:t>
      </w:r>
      <w:r>
        <w:rPr>
          <w:rFonts w:ascii="Arial" w:cs="Arial" w:eastAsia="Arial" w:hAnsi="Arial"/>
          <w:sz w:val="20"/>
          <w:szCs w:val="20"/>
          <w:b w:val="1"/>
          <w:bCs w:val="1"/>
          <w:color w:val="auto"/>
        </w:rPr>
        <w:t xml:space="preserve"> </w:t>
      </w:r>
      <w:r>
        <w:rPr>
          <w:rFonts w:ascii="Arial" w:cs="Arial" w:eastAsia="Arial" w:hAnsi="Arial"/>
          <w:sz w:val="20"/>
          <w:szCs w:val="20"/>
          <w:color w:val="auto"/>
        </w:rPr>
        <w:t>antagonists to treat and prevent hereditary angioedema (HAE) attacks, today announced the U.S. Food and Drug Administration (FDA) has lifted the clinical hold on the Investigational New Drug (IND) application for deucrictibant for the on-demand treatment of HAE following review of data from a preplanned interim analysis of the ongoing 26-week nonclinical study. Pharvaris expects to submit data from the 26-week nonclinical study by the end of 2023 to address the remaining hold on the IND application for deucrictibant for prophylactic treatment of HAE.</w:t>
      </w:r>
    </w:p>
    <w:p>
      <w:pPr>
        <w:spacing w:after="0" w:line="204"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“The lift of the clinical hold on our on-demand clinical trials enables us to continue development of PHVS416 (deucrictibant immediate-release capsules) in the U.S., including resuming RAPIDe-2, our extension study for acute treatment of attacks,” said Peng Lu, M.D., Ph.D., Chief Medical Officer of Pharvaris. “Our team plans to request an end of Phase 2 meeting with the agency and is preparing for RAPIDe-3, our global Phase 3 study of PHVS416 for the on-demand treatment of HAE, to include U.S. sites. The 26-week nonclinical study to address the remaining hold on prophylactic deucrictibant in the U.S. is still progressing and we plan to submit the data from that study to the FDA by the end of the year. Based on current enrollment, we confirm that top-line data from CHAPTER-1, our Phase 2 proof-of-concept study of PHVS416 for the prophylactic treatment of HAE, remains on track to be announced by the end of the year.”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Pharvaris</w:t>
      </w:r>
    </w:p>
    <w:p>
      <w:pPr>
        <w:spacing w:after="0" w:line="22"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Building on its deep-seated roots in hereditary angioedema (HAE), Pharvaris is a clinical-stage company developing novel, oral bradykinin-B2-receptor antagonists to treat and prevent HAE attacks. By directly targeting this clinically proven therapeutic target with novel small molecules, the Pharvaris team aspires to offer people with all sub-types of HAE safe, effective, and convenient alternatives to treat attacks, both on-demand and prophylactically. The company brings together the best talent in the industry with deep expertise in rare diseases and HAE. For more information, visit https://pharvaris.com/.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the Offering and the use of proceeds therefrom, and any statements containing the words “believe,” “anticipate,” “expect,”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8"/>
          <w:szCs w:val="18"/>
          <w:color w:val="auto"/>
        </w:rPr>
        <w:t>“may,”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with respect to the clinical hold on prophylactic deucrictibant in the U.S.; the expected timing, progress, or success of our clinical development programs, especially for PHVS416 (immediate-release deucrictibant capsules) and PHVS719 (extended-release deucrictibant tablets), which are in mid-stage global clinical trials; risks associated with the COVID-19 pandemic, which may adversely impact our business, nonclinical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changes in general market, political and economic conditions, including as a result of the current conflict between Russia and Ukraine;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Maggie Beller</w:t>
      </w:r>
    </w:p>
    <w:p>
      <w:pPr>
        <w:spacing w:after="0"/>
        <w:rPr>
          <w:sz w:val="20"/>
          <w:szCs w:val="20"/>
          <w:color w:val="auto"/>
        </w:rPr>
      </w:pPr>
      <w:r>
        <w:rPr>
          <w:rFonts w:ascii="Arial" w:cs="Arial" w:eastAsia="Arial" w:hAnsi="Arial"/>
          <w:sz w:val="18"/>
          <w:szCs w:val="18"/>
          <w:color w:val="auto"/>
        </w:rPr>
        <w:t>Head of Public Relations and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6"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2023-06-26T05:56:50Z</dcterms:created>
  <dcterms:modified xsi:type="dcterms:W3CDTF">2023-06-26T05:56:50Z</dcterms:modified>
</cp:coreProperties>
</file>