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 par value €0.12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N69605108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37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580" w:hanging="370"/>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580" w:hanging="370"/>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0"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2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3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4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5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VHCP Management III,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6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VHCP Management EG, LLC</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7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Shah, Nimish</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8"/>
        </w:trPr>
        <w:tc>
          <w:tcPr>
            <w:tcW w:w="1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100" w:type="dxa"/>
            <w:vAlign w:val="bottom"/>
          </w:tcPr>
          <w:p>
            <w:pPr>
              <w:ind w:left="8140"/>
              <w:spacing w:after="0"/>
              <w:rPr>
                <w:sz w:val="20"/>
                <w:szCs w:val="20"/>
                <w:color w:val="auto"/>
              </w:rPr>
            </w:pPr>
            <w:r>
              <w:rPr>
                <w:rFonts w:ascii="Times New Roman" w:cs="Times New Roman" w:eastAsia="Times New Roman" w:hAnsi="Times New Roman"/>
                <w:sz w:val="18"/>
                <w:szCs w:val="18"/>
                <w:b w:val="1"/>
                <w:bCs w:val="1"/>
                <w:color w:val="auto"/>
                <w:w w:val="99"/>
              </w:rPr>
              <w:t>Page 8 of 14</w:t>
            </w:r>
          </w:p>
        </w:tc>
        <w:tc>
          <w:tcPr>
            <w:tcW w:w="0" w:type="dxa"/>
            <w:vAlign w:val="bottom"/>
          </w:tcPr>
          <w:p>
            <w:pPr>
              <w:spacing w:after="0"/>
              <w:rPr>
                <w:sz w:val="1"/>
                <w:szCs w:val="1"/>
                <w:color w:val="auto"/>
              </w:rPr>
            </w:pPr>
          </w:p>
        </w:tc>
      </w:tr>
      <w:tr>
        <w:trPr>
          <w:trHeight w:val="432"/>
        </w:trPr>
        <w:tc>
          <w:tcPr>
            <w:tcW w:w="70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Koh, Bong</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1054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38"/>
        </w:trPr>
        <w:tc>
          <w:tcPr>
            <w:tcW w:w="700" w:type="dxa"/>
            <w:vAlign w:val="bottom"/>
            <w:tcBorders>
              <w:left w:val="single" w:sz="8" w:color="auto"/>
              <w:right w:val="single" w:sz="8" w:color="auto"/>
            </w:tcBorders>
          </w:tcPr>
          <w:p>
            <w:pPr>
              <w:spacing w:after="0"/>
              <w:rPr>
                <w:sz w:val="24"/>
                <w:szCs w:val="24"/>
                <w:color w:val="auto"/>
              </w:rPr>
            </w:pPr>
          </w:p>
        </w:tc>
        <w:tc>
          <w:tcPr>
            <w:tcW w:w="1440" w:type="dxa"/>
            <w:vAlign w:val="bottom"/>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(b) </w:t>
            </w:r>
            <w:r>
              <w:rPr>
                <w:rFonts w:ascii="MS PGothic" w:cs="MS PGothic" w:eastAsia="MS PGothic" w:hAnsi="MS PGothic"/>
                <w:sz w:val="18"/>
                <w:szCs w:val="18"/>
                <w:color w:val="auto"/>
              </w:rPr>
              <w:t>☐</w:t>
            </w: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70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9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1054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United States</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380" w:type="dxa"/>
            <w:vAlign w:val="bottom"/>
            <w:tcBorders>
              <w:left w:val="single" w:sz="8" w:color="auto"/>
              <w:right w:val="single" w:sz="8" w:color="auto"/>
            </w:tcBorders>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1"/>
                <w:szCs w:val="11"/>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99"/>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tcBorders>
              <w:right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99"/>
        </w:trPr>
        <w:tc>
          <w:tcPr>
            <w:tcW w:w="138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Owned by</w:t>
            </w:r>
          </w:p>
        </w:tc>
        <w:tc>
          <w:tcPr>
            <w:tcW w:w="4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1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380" w:type="dxa"/>
            <w:vAlign w:val="bottom"/>
            <w:tcBorders>
              <w:left w:val="single" w:sz="8" w:color="auto"/>
              <w:right w:val="single" w:sz="8" w:color="auto"/>
            </w:tcBorders>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6"/>
                <w:szCs w:val="6"/>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7"/>
        </w:trPr>
        <w:tc>
          <w:tcPr>
            <w:tcW w:w="70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70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Reporting</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1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80" w:type="dxa"/>
            <w:vAlign w:val="bottom"/>
            <w:tcBorders>
              <w:left w:val="single" w:sz="8" w:color="auto"/>
              <w:right w:val="single" w:sz="8" w:color="auto"/>
            </w:tcBorders>
            <w:gridSpan w:val="2"/>
            <w:vMerge w:val="restart"/>
          </w:tcPr>
          <w:p>
            <w:pPr>
              <w:ind w:left="140"/>
              <w:spacing w:after="0" w:line="194" w:lineRule="exact"/>
              <w:rPr>
                <w:sz w:val="20"/>
                <w:szCs w:val="20"/>
                <w:color w:val="auto"/>
              </w:rPr>
            </w:pPr>
            <w:r>
              <w:rPr>
                <w:rFonts w:ascii="Times New Roman" w:cs="Times New Roman" w:eastAsia="Times New Roman" w:hAnsi="Times New Roman"/>
                <w:sz w:val="18"/>
                <w:szCs w:val="18"/>
                <w:color w:val="auto"/>
              </w:rPr>
              <w:t>Person With</w:t>
            </w:r>
          </w:p>
        </w:tc>
        <w:tc>
          <w:tcPr>
            <w:tcW w:w="40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tcBorders>
              <w:left w:val="single" w:sz="8" w:color="auto"/>
              <w:right w:val="single" w:sz="8" w:color="auto"/>
            </w:tcBorders>
            <w:gridSpan w:val="2"/>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3,395,606 (2)</w:t>
            </w: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8"/>
              </w:rPr>
              <w:t>3,395,606 (2)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54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6.5% (3)</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91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0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5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700" w:type="dxa"/>
            <w:vAlign w:val="bottom"/>
            <w:tcBorders>
              <w:left w:val="single" w:sz="8" w:color="auto"/>
              <w:right w:val="single" w:sz="8" w:color="auto"/>
            </w:tcBorders>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 VHCP Management EG, LLC, Nimish Shah and Bong Koh are members of a group for the purposes of this Schedule 13G/A.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tabs>
          <w:tab w:leader="none" w:pos="1026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9 of 14</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Introductory Note: </w:t>
      </w:r>
      <w:r>
        <w:rPr>
          <w:rFonts w:ascii="Times New Roman" w:cs="Times New Roman" w:eastAsia="Times New Roman" w:hAnsi="Times New Roman"/>
          <w:sz w:val="18"/>
          <w:szCs w:val="18"/>
          <w:color w:val="auto"/>
        </w:rPr>
        <w:t>This Schedule 13G/A is filed on behalf of Venrock Healthcare Capital Partners III, L.P., a limited partnership organized under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III, LLC, a limited liability company organized under the laws of the State of Delaware (“VHCP Management III”), VHCP Management EG, LLC, a limited liability company organized under the laws of the State of Delaware (“VHCP Management EG” and collectively with VHCP III LP, VHCP Co-Investment III, VHCP EG and VHCP Management III, the “Venrock Entities”), Nimish Shah (“Shah”) and Bong Koh (“Koh”) in respect of the Ordinary Shares of Pharvaris N.V.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jc w:val="both"/>
        <w:ind w:left="1480" w:right="8660" w:hanging="460"/>
        <w:spacing w:after="0" w:line="530" w:lineRule="auto"/>
        <w:tabs>
          <w:tab w:leader="none" w:pos="14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Pharvaris N.V.</w:t>
      </w:r>
    </w:p>
    <w:p>
      <w:pPr>
        <w:ind w:left="1480" w:hanging="460"/>
        <w:spacing w:after="0"/>
        <w:tabs>
          <w:tab w:leader="none" w:pos="1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1480" w:right="8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Emmy Noetherweg 2 2333 BK Leiden The Netherlands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1480" w:hanging="460"/>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5" w:lineRule="exact"/>
        <w:rPr>
          <w:rFonts w:ascii="Times New Roman" w:cs="Times New Roman" w:eastAsia="Times New Roman" w:hAnsi="Times New Roman"/>
          <w:sz w:val="18"/>
          <w:szCs w:val="18"/>
          <w:color w:val="auto"/>
        </w:rPr>
      </w:pPr>
    </w:p>
    <w:p>
      <w:pPr>
        <w:ind w:left="1480" w:right="64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Venrock Healthcare Capital Partners III, L.P. VHCP Co-Investment Holdings III, LLC Venrock Healthcare Capital Partners EG, L.P. VHCP Management III, LLC</w:t>
      </w:r>
    </w:p>
    <w:p>
      <w:pPr>
        <w:spacing w:after="0" w:line="2" w:lineRule="exact"/>
        <w:rPr>
          <w:rFonts w:ascii="Times New Roman" w:cs="Times New Roman" w:eastAsia="Times New Roman" w:hAnsi="Times New Roman"/>
          <w:sz w:val="18"/>
          <w:szCs w:val="18"/>
          <w:color w:val="auto"/>
        </w:rPr>
      </w:pPr>
    </w:p>
    <w:p>
      <w:pPr>
        <w:ind w:left="1480" w:right="75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VHCP Management EG, LLC Nimish Shah</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Bong Koh</w:t>
      </w:r>
    </w:p>
    <w:p>
      <w:pPr>
        <w:spacing w:after="0" w:line="206"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ectPr>
          <w:pgSz w:w="11900" w:h="16838" w:orient="portrait"/>
          <w:cols w:equalWidth="0" w:num="1">
            <w:col w:w="11240"/>
          </w:cols>
          <w:pgMar w:left="320" w:top="225" w:right="339" w:bottom="1440" w:gutter="0" w:footer="0" w:header="0"/>
        </w:sectPr>
      </w:pPr>
    </w:p>
    <w:p>
      <w:pPr>
        <w:spacing w:after="0" w:line="22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7"/>
          <w:szCs w:val="17"/>
          <w:color w:val="auto"/>
        </w:rPr>
        <w:t>New York Office: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Office:</w:t>
      </w:r>
    </w:p>
    <w:p>
      <w:pPr>
        <w:spacing w:after="0" w:line="200" w:lineRule="exact"/>
        <w:rPr>
          <w:sz w:val="20"/>
          <w:szCs w:val="20"/>
          <w:color w:val="auto"/>
        </w:rPr>
      </w:pPr>
    </w:p>
    <w:p>
      <w:pPr>
        <w:sectPr>
          <w:pgSz w:w="11900" w:h="16838" w:orient="portrait"/>
          <w:cols w:equalWidth="0" w:num="2">
            <w:col w:w="3560" w:space="720"/>
            <w:col w:w="6960"/>
          </w:cols>
          <w:pgMar w:left="320" w:top="225" w:right="339" w:bottom="1440" w:gutter="0" w:footer="0" w:header="0"/>
          <w:type w:val="continuous"/>
        </w:sectPr>
      </w:pPr>
    </w:p>
    <w:p>
      <w:pPr>
        <w:spacing w:after="0" w:line="3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7 Bryant Park</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23rd Floor</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New York, NY 10018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3340 Hillview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404" w:lineRule="exact"/>
        <w:rPr>
          <w:sz w:val="20"/>
          <w:szCs w:val="20"/>
          <w:color w:val="auto"/>
        </w:rPr>
      </w:pPr>
    </w:p>
    <w:p>
      <w:pPr>
        <w:sectPr>
          <w:pgSz w:w="11900" w:h="16838" w:orient="portrait"/>
          <w:cols w:equalWidth="0" w:num="2">
            <w:col w:w="3560" w:space="720"/>
            <w:col w:w="6960"/>
          </w:cols>
          <w:pgMar w:left="320" w:top="225" w:right="339" w:bottom="1440" w:gutter="0" w:footer="0" w:header="0"/>
          <w:type w:val="continuous"/>
        </w:sectPr>
      </w:pPr>
    </w:p>
    <w:p>
      <w:pPr>
        <w:spacing w:after="0" w:line="18" w:lineRule="exact"/>
        <w:rPr>
          <w:sz w:val="20"/>
          <w:szCs w:val="20"/>
          <w:color w:val="auto"/>
        </w:rPr>
      </w:pPr>
    </w:p>
    <w:p>
      <w:pPr>
        <w:ind w:left="1480" w:hanging="460"/>
        <w:spacing w:after="0"/>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 of the Venrock Entities were organized in Delaware. The individuals are both United States citizens.</w:t>
      </w:r>
    </w:p>
    <w:p>
      <w:pPr>
        <w:spacing w:after="0" w:line="236"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par value €0.12 per share</w:t>
      </w:r>
    </w:p>
    <w:p>
      <w:pPr>
        <w:spacing w:after="0" w:line="225" w:lineRule="exact"/>
        <w:rPr>
          <w:rFonts w:ascii="Times New Roman" w:cs="Times New Roman" w:eastAsia="Times New Roman" w:hAnsi="Times New Roman"/>
          <w:sz w:val="18"/>
          <w:szCs w:val="18"/>
          <w:color w:val="auto"/>
        </w:rPr>
      </w:pPr>
    </w:p>
    <w:p>
      <w:pPr>
        <w:ind w:left="1480" w:right="8620" w:hanging="460"/>
        <w:spacing w:after="0" w:line="578" w:lineRule="auto"/>
        <w:tabs>
          <w:tab w:leader="none" w:pos="1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N69605108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Page 10 of 14</w:t>
            </w:r>
          </w:p>
        </w:tc>
      </w:tr>
      <w:tr>
        <w:trPr>
          <w:trHeight w:val="64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tc>
      </w:tr>
      <w:tr>
        <w:trPr>
          <w:trHeight w:val="432"/>
        </w:trPr>
        <w:tc>
          <w:tcPr>
            <w:tcW w:w="780" w:type="dxa"/>
            <w:vAlign w:val="bottom"/>
          </w:tcPr>
          <w:p>
            <w:pPr>
              <w:spacing w:after="0"/>
              <w:rPr>
                <w:sz w:val="24"/>
                <w:szCs w:val="24"/>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 applicable</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Amount beneficially owned as of December 31, 2023:</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980" w:type="dxa"/>
            <w:vAlign w:val="bottom"/>
          </w:tcPr>
          <w:p>
            <w:pPr>
              <w:spacing w:after="0"/>
              <w:rPr>
                <w:sz w:val="18"/>
                <w:szCs w:val="18"/>
                <w:color w:val="auto"/>
              </w:rPr>
            </w:pPr>
          </w:p>
        </w:tc>
      </w:tr>
      <w:tr>
        <w:trPr>
          <w:trHeight w:val="432"/>
        </w:trPr>
        <w:tc>
          <w:tcPr>
            <w:tcW w:w="780" w:type="dxa"/>
            <w:vAlign w:val="bottom"/>
          </w:tcPr>
          <w:p>
            <w:pPr>
              <w:spacing w:after="0"/>
              <w:rPr>
                <w:sz w:val="24"/>
                <w:szCs w:val="24"/>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   Percent of class as of December 31, 2023:</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80" w:type="dxa"/>
            <w:vAlign w:val="bottom"/>
          </w:tcPr>
          <w:p>
            <w:pPr>
              <w:spacing w:after="0"/>
              <w:rPr>
                <w:sz w:val="18"/>
                <w:szCs w:val="18"/>
                <w:color w:val="auto"/>
              </w:rPr>
            </w:pPr>
          </w:p>
        </w:tc>
      </w:tr>
    </w:tbl>
    <w:p>
      <w:pPr>
        <w:spacing w:after="0" w:line="198" w:lineRule="exact"/>
        <w:rPr>
          <w:sz w:val="20"/>
          <w:szCs w:val="20"/>
          <w:color w:val="auto"/>
        </w:rPr>
      </w:pPr>
    </w:p>
    <w:p>
      <w:pPr>
        <w:ind w:left="1480" w:hanging="460"/>
        <w:spacing w:after="0"/>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 as of December 31, 2023:</w:t>
      </w:r>
    </w:p>
    <w:p>
      <w:pPr>
        <w:spacing w:after="0" w:line="225"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980" w:type="dxa"/>
            <w:vAlign w:val="bottom"/>
          </w:tcPr>
          <w:p>
            <w:pPr>
              <w:spacing w:after="0"/>
              <w:rPr>
                <w:sz w:val="18"/>
                <w:szCs w:val="18"/>
                <w:color w:val="auto"/>
              </w:rPr>
            </w:pPr>
          </w:p>
        </w:tc>
      </w:tr>
      <w:tr>
        <w:trPr>
          <w:trHeight w:val="432"/>
        </w:trPr>
        <w:tc>
          <w:tcPr>
            <w:tcW w:w="19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(ii)</w:t>
            </w:r>
          </w:p>
        </w:tc>
        <w:tc>
          <w:tcPr>
            <w:tcW w:w="4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5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216"/>
        </w:trPr>
        <w:tc>
          <w:tcPr>
            <w:tcW w:w="19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c>
          <w:tcPr>
            <w:tcW w:w="1980" w:type="dxa"/>
            <w:vAlign w:val="bottom"/>
          </w:tcPr>
          <w:p>
            <w:pPr>
              <w:spacing w:after="0"/>
              <w:rPr>
                <w:sz w:val="18"/>
                <w:szCs w:val="18"/>
                <w:color w:val="auto"/>
              </w:rPr>
            </w:pPr>
          </w:p>
        </w:tc>
      </w:tr>
      <w:tr>
        <w:trPr>
          <w:trHeight w:val="675"/>
        </w:trPr>
        <w:tc>
          <w:tcPr>
            <w:tcW w:w="19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0" w:name="page11"/>
    <w:bookmarkEnd w:id="10"/>
    <w:p>
      <w:pPr>
        <w:spacing w:after="0"/>
        <w:tabs>
          <w:tab w:leader="none" w:pos="1018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11 of 14</w:t>
      </w:r>
    </w:p>
    <w:p>
      <w:pPr>
        <w:spacing w:after="0" w:line="200" w:lineRule="exact"/>
        <w:rPr>
          <w:sz w:val="20"/>
          <w:szCs w:val="20"/>
          <w:color w:val="auto"/>
        </w:rPr>
      </w:pPr>
    </w:p>
    <w:p>
      <w:pPr>
        <w:spacing w:after="0" w:line="245" w:lineRule="exact"/>
        <w:rPr>
          <w:sz w:val="20"/>
          <w:szCs w:val="20"/>
          <w:color w:val="auto"/>
        </w:rPr>
      </w:pPr>
    </w:p>
    <w:p>
      <w:pPr>
        <w:ind w:left="2040" w:hanging="561"/>
        <w:spacing w:after="0"/>
        <w:tabs>
          <w:tab w:leader="none" w:pos="2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2040" w:hanging="561"/>
        <w:spacing w:after="0"/>
        <w:tabs>
          <w:tab w:leader="none" w:pos="2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III,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Co-Investment Holdings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Venrock Healthcare Capital Partners EG, L.P.</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VHCP Management III, LLC</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VHCP Management EG, LLC</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Nimish Shah</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Bong Koh</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3,395,606 (1)</w:t>
            </w:r>
          </w:p>
        </w:tc>
      </w:tr>
    </w:tbl>
    <w:p>
      <w:pPr>
        <w:spacing w:after="0" w:line="198" w:lineRule="exact"/>
        <w:rPr>
          <w:sz w:val="20"/>
          <w:szCs w:val="20"/>
          <w:color w:val="auto"/>
        </w:rPr>
      </w:pPr>
    </w:p>
    <w:p>
      <w:pPr>
        <w:jc w:val="both"/>
        <w:ind w:left="1280" w:hanging="408"/>
        <w:spacing w:after="0" w:line="258"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564,312 shares held by Venrock Healthcare Capital Partners III, L.P.; (ii) 56,444 shares held by VHCP Co-Investment Holdings III, LLC; and (iii) 2,774,850 shares held by Venrock Healthcare Capital Partners EG, L.P.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210" w:lineRule="exact"/>
        <w:rPr>
          <w:rFonts w:ascii="Times New Roman" w:cs="Times New Roman" w:eastAsia="Times New Roman" w:hAnsi="Times New Roman"/>
          <w:sz w:val="18"/>
          <w:szCs w:val="18"/>
          <w:color w:val="auto"/>
        </w:rPr>
      </w:pPr>
    </w:p>
    <w:p>
      <w:pPr>
        <w:ind w:left="1280" w:hanging="408"/>
        <w:spacing w:after="0" w:line="282"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52,108,675 ordinary shares outstanding as of December 8, 2023 as disclosed in the Issuer’s prospectus supplement dated December 6, 2023 filed with the Securities and Exchange Commission on December 7, 2023.</w:t>
      </w:r>
    </w:p>
    <w:p>
      <w:pPr>
        <w:spacing w:after="0" w:line="18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02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6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Page 12 of 14</w:t>
            </w:r>
          </w:p>
        </w:tc>
      </w:tr>
      <w:tr>
        <w:trPr>
          <w:trHeight w:val="675"/>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10"/>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tc>
      </w:tr>
      <w:tr>
        <w:trPr>
          <w:trHeight w:val="238"/>
        </w:trPr>
        <w:tc>
          <w:tcPr>
            <w:tcW w:w="8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or Control Person</w:t>
            </w:r>
          </w:p>
        </w:tc>
        <w:tc>
          <w:tcPr>
            <w:tcW w:w="26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 applicable</w:t>
            </w:r>
          </w:p>
        </w:tc>
        <w:tc>
          <w:tcPr>
            <w:tcW w:w="2620" w:type="dxa"/>
            <w:vAlign w:val="bottom"/>
          </w:tcPr>
          <w:p>
            <w:pPr>
              <w:spacing w:after="0"/>
              <w:rPr>
                <w:sz w:val="24"/>
                <w:szCs w:val="24"/>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2620" w:type="dxa"/>
            <w:vAlign w:val="bottom"/>
          </w:tcPr>
          <w:p>
            <w:pPr>
              <w:spacing w:after="0"/>
              <w:rPr>
                <w:sz w:val="24"/>
                <w:szCs w:val="24"/>
                <w:color w:val="auto"/>
              </w:rPr>
            </w:pPr>
          </w:p>
        </w:tc>
      </w:tr>
      <w:tr>
        <w:trPr>
          <w:trHeight w:val="414"/>
        </w:trPr>
        <w:tc>
          <w:tcPr>
            <w:tcW w:w="820" w:type="dxa"/>
            <w:vAlign w:val="bottom"/>
          </w:tcPr>
          <w:p>
            <w:pPr>
              <w:spacing w:after="0"/>
              <w:rPr>
                <w:sz w:val="24"/>
                <w:szCs w:val="24"/>
                <w:color w:val="auto"/>
              </w:rPr>
            </w:pP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w:t>
            </w:r>
          </w:p>
        </w:tc>
      </w:tr>
      <w:tr>
        <w:trPr>
          <w:trHeight w:val="216"/>
        </w:trPr>
        <w:tc>
          <w:tcPr>
            <w:tcW w:w="820" w:type="dxa"/>
            <w:vAlign w:val="bottom"/>
          </w:tcPr>
          <w:p>
            <w:pPr>
              <w:spacing w:after="0"/>
              <w:rPr>
                <w:sz w:val="18"/>
                <w:szCs w:val="18"/>
                <w:color w:val="auto"/>
              </w:rPr>
            </w:pPr>
          </w:p>
        </w:tc>
        <w:tc>
          <w:tcPr>
            <w:tcW w:w="10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the purpose of or with the effect of changing or influencing the control of the issuer of the securities and were not acquired and are not held in</w:t>
            </w:r>
          </w:p>
        </w:tc>
      </w:tr>
      <w:tr>
        <w:trPr>
          <w:trHeight w:val="234"/>
        </w:trPr>
        <w:tc>
          <w:tcPr>
            <w:tcW w:w="820" w:type="dxa"/>
            <w:vAlign w:val="bottom"/>
          </w:tcPr>
          <w:p>
            <w:pPr>
              <w:spacing w:after="0"/>
              <w:rPr>
                <w:sz w:val="20"/>
                <w:szCs w:val="20"/>
                <w:color w:val="auto"/>
              </w:rPr>
            </w:pPr>
          </w:p>
        </w:tc>
        <w:tc>
          <w:tcPr>
            <w:tcW w:w="7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connection with or as a participant in any transaction having such purpose or effect.</w:t>
            </w:r>
          </w:p>
        </w:tc>
        <w:tc>
          <w:tcPr>
            <w:tcW w:w="2620" w:type="dxa"/>
            <w:vAlign w:val="bottom"/>
          </w:tcPr>
          <w:p>
            <w:pPr>
              <w:spacing w:after="0"/>
              <w:rPr>
                <w:sz w:val="20"/>
                <w:szCs w:val="20"/>
                <w:color w:val="auto"/>
              </w:rPr>
            </w:pPr>
          </w:p>
        </w:tc>
      </w:tr>
      <w:tr>
        <w:trPr>
          <w:trHeight w:val="675"/>
        </w:trPr>
        <w:tc>
          <w:tcPr>
            <w:tcW w:w="8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2" w:name="page13"/>
    <w:bookmarkEnd w:id="12"/>
    <w:p>
      <w:pPr>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13 of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240"/>
          </w:cols>
          <w:pgMar w:left="320" w:top="225"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3214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058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EG,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Sherman G. Souther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17145</wp:posOffset>
            </wp:positionV>
            <wp:extent cx="3206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1823085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225" w:right="339" w:bottom="1440" w:gutter="0" w:footer="0" w:header="0"/>
          <w:type w:val="continuous"/>
        </w:sectPr>
      </w:pPr>
    </w:p>
    <w:bookmarkStart w:id="13" w:name="page14"/>
    <w:bookmarkEnd w:id="13"/>
    <w:p>
      <w:pPr>
        <w:spacing w:after="0"/>
        <w:tabs>
          <w:tab w:leader="none" w:pos="1016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Page 14 of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Joint Filing Agreement (incorporated by reference to Exhibit A to Schedule 13G filed on November 30, 2023)</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Power of Attorney for Nimish Shah (incorporated by reference to Exhibit B to Schedule 13G filed November 30, 2023)</w:t>
        </w:r>
      </w:hyperlink>
    </w:p>
    <w:p>
      <w:pPr>
        <w:spacing w:after="0" w:line="225" w:lineRule="exact"/>
        <w:rPr>
          <w:rFonts w:ascii="Times New Roman" w:cs="Times New Roman" w:eastAsia="Times New Roman" w:hAnsi="Times New Roman"/>
          <w:sz w:val="18"/>
          <w:szCs w:val="18"/>
          <w:u w:val="single" w:color="auto"/>
          <w:color w:val="0000EE"/>
        </w:rPr>
      </w:pPr>
    </w:p>
    <w:p>
      <w:pPr>
        <w:ind w:left="660" w:hanging="652"/>
        <w:spacing w:after="0"/>
        <w:tabs>
          <w:tab w:leader="none" w:pos="660" w:val="left"/>
        </w:tabs>
        <w:numPr>
          <w:ilvl w:val="0"/>
          <w:numId w:val="18"/>
        </w:numPr>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Power of Attorney for Bong Koh (incorporated by reference to Exhibit C to Schedule 13G filed on November 30,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3"/>
    </w:lvl>
  </w:abstractNum>
  <w:abstractNum w:abstractNumId="13">
    <w:nsid w:val="6B68079A"/>
    <w:multiLevelType w:val="hybridMultilevel"/>
    <w:lvl w:ilvl="0">
      <w:lvlJc w:val="left"/>
      <w:lvlText w:val="(%1)"/>
      <w:numFmt w:val="lowerLetter"/>
      <w:start w:val="3"/>
    </w:lvl>
    <w:lvl w:ilvl="1">
      <w:lvlJc w:val="left"/>
      <w:lvlText w:val="(%2)"/>
      <w:numFmt w:val="lowerLetter"/>
      <w:start w:val="9"/>
    </w:lvl>
  </w:abstractNum>
  <w:abstractNum w:abstractNumId="14">
    <w:nsid w:val="4E6AFB66"/>
    <w:multiLevelType w:val="hybridMultilevel"/>
    <w:lvl w:ilvl="0">
      <w:lvlJc w:val="left"/>
      <w:lvlText w:val="(%1)"/>
      <w:numFmt w:val="lowerRoman"/>
      <w:start w:val="3"/>
    </w:lvl>
  </w:abstractNum>
  <w:abstractNum w:abstractNumId="15">
    <w:nsid w:val="25E45D32"/>
    <w:multiLevelType w:val="hybridMultilevel"/>
    <w:lvl w:ilvl="0">
      <w:lvlJc w:val="left"/>
      <w:lvlText w:val="(%1)"/>
      <w:numFmt w:val="lowerRoman"/>
      <w:start w:val="4"/>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4" Type="http://schemas.openxmlformats.org/officeDocument/2006/relationships/hyperlink" Target="https://www.sec.gov/Archives/edgar/data/1738048/000110465923122433/tm2331803d1_sc13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2024-02-14T19:47:12Z</dcterms:created>
  <dcterms:modified xsi:type="dcterms:W3CDTF">2024-02-14T19:47:12Z</dcterms:modified>
</cp:coreProperties>
</file>